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Bulk Commercial-Truck Fleet Procurement From China: Duty-Cycle Engineering, 2026 Export-Licence Rules and Acceptance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Buying a Chinese Truck Fleet in Bulk: Spec, Licence &amp; Acceptance</w:t>
      </w:r>
    </w:p>
    <w:p>
      <w:pPr>
        <w:pStyle w:val="ListBullet"/>
      </w:pPr>
      <w:r>
        <w:rPr>
          <w:b/>
        </w:rPr>
        <w:t>Meta Description</w:t>
      </w:r>
      <w:r>
        <w:t>: Engineer and bulk-procure Chinese heavy/dump/specialised trucks — duty-cycle spec, axles/frame/body, the official 2026 China vehicle export-licence regime, tender-grade acceptance and the document chain.</w:t>
      </w:r>
    </w:p>
    <w:p>
      <w:pPr>
        <w:pStyle w:val="ListBullet"/>
      </w:pPr>
      <w:r>
        <w:rPr>
          <w:b/>
        </w:rPr>
        <w:t>Suggested URL</w:t>
      </w:r>
      <w:r>
        <w:t>: /guides/commercial-truck-fleet-procurement-china/</w:t>
      </w:r>
    </w:p>
    <w:p>
      <w:pPr>
        <w:pStyle w:val="ListBullet"/>
      </w:pPr>
      <w:r>
        <w:rPr>
          <w:b/>
        </w:rPr>
        <w:t>H1</w:t>
      </w:r>
      <w:r>
        <w:t>: Procuring a Commercial-Truck Fleet From China: Duty Cycle, Exporter Licence and Acceptance</w:t>
      </w:r>
    </w:p>
    <w:p>
      <w:pPr>
        <w:pStyle w:val="ListBullet"/>
      </w:pPr>
      <w:r>
        <w:rPr>
          <w:b/>
        </w:rPr>
        <w:t>Primary Keyword</w:t>
      </w:r>
      <w:r>
        <w:t>: bulk commercial truck fleet procurement China specification export licence</w:t>
      </w:r>
    </w:p>
    <w:p>
      <w:pPr>
        <w:pStyle w:val="ListBullet"/>
      </w:pPr>
      <w:r>
        <w:rPr>
          <w:b/>
        </w:rPr>
        <w:t>Secondary Search Terms</w:t>
      </w:r>
      <w:r>
        <w:t>: China dump truck 6x4 8x4 export, 2026 vehicle export licence MOFCOM, pure-EV passenger export licence HS 8703801090, reinforced axle frame, fleet tender acceptance, commercial vehicle export documents</w:t>
      </w:r>
    </w:p>
    <w:p>
      <w:pPr>
        <w:pStyle w:val="ListBullet"/>
      </w:pPr>
      <w:r>
        <w:rPr>
          <w:b/>
        </w:rPr>
        <w:t>Internal Link Suggestions</w:t>
      </w:r>
      <w:r>
        <w:t>: /vehicles/shacman-x3000-dump-truck/ ; /vehicles/sinotruk-howo-t7h-tractor/ ; /vehicles/foton-aumark-refrigerated-truck/ ; /guides/verify-china-car-export-supplier/</w:t>
      </w:r>
    </w:p>
    <w:p>
      <w:pPr>
        <w:pStyle w:val="ListBullet"/>
      </w:pPr>
      <w:r>
        <w:rPr>
          <w:b/>
        </w:rPr>
        <w:t>Image Suggestions</w:t>
      </w:r>
      <w:r>
        <w:t>: duty-cycle-to-spec worksheet; reinforced frame/axle; tender acceptance inspection; export document chain</w:t>
      </w:r>
    </w:p>
    <w:p>
      <w:pPr>
        <w:pStyle w:val="ListBullet"/>
      </w:pPr>
      <w:r>
        <w:rPr>
          <w:b/>
        </w:rPr>
        <w:t>ALT Suggestions</w:t>
      </w:r>
      <w:r>
        <w:t>: "Truck fleet duty-cycle specification worksheet"; "double-layer frame and reinforced drive axle"; "fleet tender acceptance at factory"</w:t>
      </w:r>
    </w:p>
    <w:p>
      <w:pPr>
        <w:pStyle w:val="Heading2"/>
      </w:pPr>
      <w:r>
        <w:t>A Fleet Is Engineered to Order, Not Picked Off a Shelf</w:t>
      </w:r>
    </w:p>
    <w:p>
      <w:r>
        <w:t xml:space="preserve">A 6×4 mining tipper, an 8×4 on-highway dump, a long-haul tractor and a reefer or tanker demand different powertrain, frame, axles and body choices, and bulk orders must additionally satisfy China's </w:t>
      </w:r>
      <w:r>
        <w:rPr>
          <w:b/>
        </w:rPr>
        <w:t>current (2026) export-licence regime</w:t>
      </w:r>
      <w:r>
        <w:t>, a tight document chain and tender-style acceptance. This guide gives fleet buyers, contractors and CV importers a repeatable path. It quotes no discounts, MOQs or lead times — those are negotiated per project and no authoritative public figures exist.</w:t>
      </w:r>
    </w:p>
    <w:p>
      <w:pPr>
        <w:pStyle w:val="Heading2"/>
      </w:pPr>
      <w:r>
        <w:t>Step 1 — Define the Duty Cycle Before Price</w:t>
      </w:r>
    </w:p>
    <w:p>
      <w:r>
        <w:t>Specify, in writing, the operating reality (per commercial-vehicle procurement guidance):</w:t>
      </w:r>
    </w:p>
    <w:p>
      <w:pPr>
        <w:pStyle w:val="ListBullet"/>
      </w:pPr>
      <w:r>
        <w:rPr>
          <w:b/>
        </w:rPr>
        <w:t>Application/configuration</w:t>
      </w:r>
      <w:r>
        <w:t>: 6×4 quarry haul vs 8×4 highway dump vs 4×2 tractor; urban distribution vs long-haul.</w:t>
      </w:r>
    </w:p>
    <w:p>
      <w:pPr>
        <w:pStyle w:val="ListBullet"/>
      </w:pPr>
      <w:r>
        <w:rPr>
          <w:b/>
        </w:rPr>
        <w:t>Payload/GVW target</w:t>
      </w:r>
      <w:r>
        <w:t>, terrain (gradient, unpaved roads), annual mileage, climate.</w:t>
      </w:r>
    </w:p>
    <w:p>
      <w:pPr>
        <w:pStyle w:val="ListBullet"/>
      </w:pPr>
      <w:r>
        <w:rPr>
          <w:b/>
        </w:rPr>
        <w:t>Fuel</w:t>
      </w:r>
      <w:r>
        <w:t>: diesel vs LNG/CNG, chosen against local fuel availability and emission rules, not Chinese domestic habits.</w:t>
      </w:r>
    </w:p>
    <w:p>
      <w:pPr>
        <w:pStyle w:val="ListBullet"/>
      </w:pPr>
      <w:r>
        <w:rPr>
          <w:b/>
        </w:rPr>
        <w:t>Destination-accepted emission stage</w:t>
      </w:r>
      <w:r>
        <w:t xml:space="preserve"> (e.g., Euro II vs Euro V class) — over-specifying raises cost; under-specifying blocks import.</w:t>
      </w:r>
    </w:p>
    <w:p>
      <w:pPr>
        <w:pStyle w:val="ListBullet"/>
      </w:pPr>
      <w:r>
        <w:rPr>
          <w:b/>
        </w:rPr>
        <w:t>Tyres</w:t>
      </w:r>
      <w:r>
        <w:t>, plus RHD/LHD, refrigeration/hydraulics, PTO and other fitments.</w:t>
      </w:r>
    </w:p>
    <w:p>
      <w:pPr>
        <w:pStyle w:val="Heading2"/>
      </w:pPr>
      <w:r>
        <w:t>Step 2 — Engineer the Specification to the Work</w:t>
      </w:r>
    </w:p>
    <w:p>
      <w:pPr>
        <w:pStyle w:val="ListBullet"/>
      </w:pPr>
      <w:r>
        <w:rPr>
          <w:b/>
        </w:rPr>
        <w:t>Frame</w:t>
      </w:r>
      <w:r>
        <w:t>: double-layer (reinforced) chassis for overload-prone/rough work.</w:t>
      </w:r>
    </w:p>
    <w:p>
      <w:pPr>
        <w:pStyle w:val="ListBullet"/>
      </w:pPr>
      <w:r>
        <w:rPr>
          <w:b/>
        </w:rPr>
        <w:t>Axles</w:t>
      </w:r>
      <w:r>
        <w:t>: reinforced drive axles for traction/load; final-drive ratio matched to grade and GVW.</w:t>
      </w:r>
    </w:p>
    <w:p>
      <w:pPr>
        <w:pStyle w:val="ListBullet"/>
      </w:pPr>
      <w:r>
        <w:rPr>
          <w:b/>
        </w:rPr>
        <w:t>Suspension, brakes, tyres</w:t>
      </w:r>
      <w:r>
        <w:t xml:space="preserve"> sized to GVW/terrain; cooling/intake for hot/dusty environments.</w:t>
      </w:r>
    </w:p>
    <w:p>
      <w:pPr>
        <w:pStyle w:val="ListBullet"/>
      </w:pPr>
      <w:r>
        <w:rPr>
          <w:b/>
        </w:rPr>
        <w:t>Superstructure</w:t>
      </w:r>
      <w:r>
        <w:t>: for dump/tanker/reefer/sweeper, the body is a separate engineering decision from the chassis — specify material, thickness and lift/pump system (see the Foton reefer page for chassis/box/unit separation).</w:t>
      </w:r>
    </w:p>
    <w:p>
      <w:pPr>
        <w:pStyle w:val="Heading2"/>
      </w:pPr>
      <w:r>
        <w:t>Step 3 — Write Tender-Grade Acceptance Criteria</w:t>
      </w:r>
    </w:p>
    <w:p>
      <w:r>
        <w:t xml:space="preserve">Avoid "looks the same, built weaker" disputes with hard, measurable contract parameters. A </w:t>
      </w:r>
      <w:r>
        <w:rPr>
          <w:b/>
        </w:rPr>
        <w:t>real Chinese tender</w:t>
      </w:r>
      <w:r>
        <w:t xml:space="preserve"> for dump trucks (Hunan Road &amp; Bridge, Dushanbe-Tajikistan project, 15 units; VERIFIED tender document) bound the supplier to: cargo body </w:t>
      </w:r>
      <w:r>
        <w:rPr>
          <w:b/>
        </w:rPr>
        <w:t>≥15 m³</w:t>
      </w:r>
      <w:r>
        <w:t xml:space="preserve">, </w:t>
      </w:r>
      <w:r>
        <w:rPr>
          <w:b/>
        </w:rPr>
        <w:t>T700 high-strength wear-resistant steel</w:t>
      </w:r>
      <w:r>
        <w:t xml:space="preserve">, floor </w:t>
      </w:r>
      <w:r>
        <w:rPr>
          <w:b/>
        </w:rPr>
        <w:t>≥10 mm</w:t>
      </w:r>
      <w:r>
        <w:t xml:space="preserve">, side </w:t>
      </w:r>
      <w:r>
        <w:rPr>
          <w:b/>
        </w:rPr>
        <w:t>≥8 mm</w:t>
      </w:r>
      <w:r>
        <w:t>, specified gear count and hoist type. Apply the same discipline: name engine/gearbox/axle brands and models, steel grade and plate thicknesses, body volume, tyre brand, paint/weld standards, and the inspection method (factory witness, third-party inspection, or arrival acceptance).</w:t>
      </w:r>
    </w:p>
    <w:p>
      <w:pPr>
        <w:pStyle w:val="Heading2"/>
      </w:pPr>
      <w:r>
        <w:t>Step 4 — Vet the Exporter Against the **2026** Licence Regime (official)</w:t>
      </w:r>
    </w:p>
    <w:p>
      <w:r>
        <w:t>China's vehicle export rules are now anchored in current primary documents (VERIFIED):</w:t>
      </w:r>
    </w:p>
    <w:p>
      <w:pPr>
        <w:pStyle w:val="ListBullet"/>
      </w:pPr>
      <w:r>
        <w:rPr>
          <w:b/>
        </w:rPr>
        <w:t>MOFCOM General Office Notice on the 2026 automobile/motorcycle export-licence application (商办贸函〔2025〕408号, 28 Sep 2025)</w:t>
      </w:r>
      <w:r>
        <w:t xml:space="preserve"> moves applications online (ecomp.licence.org.cn), with local-commerce preliminary review and a published qualified-enterprise list.</w:t>
      </w:r>
    </w:p>
    <w:p>
      <w:pPr>
        <w:pStyle w:val="ListBullet"/>
      </w:pPr>
      <w:r>
        <w:rPr>
          <w:b/>
        </w:rPr>
        <w:t>Joint Announcement No. 54 (2025, MOFCOM/MIIT/GAC/SAMR)</w:t>
      </w:r>
      <w:r>
        <w:t xml:space="preserve"> places </w:t>
      </w:r>
      <w:r>
        <w:rPr>
          <w:b/>
        </w:rPr>
        <w:t>pure-electric passenger vehicles (reference HS 8703801090) under an export-licence regime from 1 January 2026</w:t>
      </w:r>
      <w:r>
        <w:t>.</w:t>
      </w:r>
    </w:p>
    <w:p>
      <w:pPr>
        <w:pStyle w:val="ListBullet"/>
      </w:pPr>
      <w:r>
        <w:t xml:space="preserve">The </w:t>
      </w:r>
      <w:r>
        <w:rPr>
          <w:b/>
        </w:rPr>
        <w:t>2026 qualified-enterprise list</w:t>
      </w:r>
      <w:r>
        <w:t xml:space="preserve"> was published 30 Dec 2025; a separate </w:t>
      </w:r>
      <w:r>
        <w:rPr>
          <w:b/>
        </w:rPr>
        <w:t>four-ministry notice (Nov 2025) tightens used-car export management</w:t>
      </w:r>
      <w:r>
        <w:t>, requiring export-licence fields (brand, model, registration and transfer-for-export dates) to match the vehicle registration certificate.</w:t>
      </w:r>
    </w:p>
    <w:p>
      <w:r>
        <w:t>CV-specific diligence:</w:t>
      </w:r>
    </w:p>
    <w:p>
      <w:pPr>
        <w:pStyle w:val="ListBullet"/>
      </w:pPr>
      <w:r>
        <w:t xml:space="preserve">Prefer a </w:t>
      </w:r>
      <w:r>
        <w:rPr>
          <w:b/>
        </w:rPr>
        <w:t>tier-1 authorised dealer or the factory</w:t>
      </w:r>
      <w:r>
        <w:t>; verify years in business, certifications, references and capacity (method in the supplier-vetting guide).</w:t>
      </w:r>
    </w:p>
    <w:p>
      <w:pPr>
        <w:pStyle w:val="ListBullet"/>
      </w:pPr>
      <w:r>
        <w:t xml:space="preserve">Confirm the exporter is on the </w:t>
      </w:r>
      <w:r>
        <w:rPr>
          <w:b/>
        </w:rPr>
        <w:t>current-year</w:t>
      </w:r>
      <w:r>
        <w:t xml:space="preserve"> qualified list and holds the correct export licence for the category (new-energy passenger licensing is new for 2026).</w:t>
      </w:r>
    </w:p>
    <w:p>
      <w:pPr>
        <w:pStyle w:val="ListBullet"/>
      </w:pPr>
      <w:r>
        <w:rPr>
          <w:b/>
        </w:rPr>
        <w:t>New</w:t>
      </w:r>
      <w:r>
        <w:t xml:space="preserve"> trucks need OEM authorisation; </w:t>
      </w:r>
      <w:r>
        <w:rPr>
          <w:b/>
        </w:rPr>
        <w:t>used</w:t>
      </w:r>
      <w:r>
        <w:t xml:space="preserve"> trucks must meet the current used-car export conditions (including the registration-certificate consistency rules) and third-party inspection.</w:t>
      </w:r>
    </w:p>
    <w:p>
      <w:pPr>
        <w:pStyle w:val="ListBullet"/>
      </w:pPr>
      <w:r>
        <w:t xml:space="preserve">For FAW/Sinotruk/Shacman/Foton/Dongfeng, verify the </w:t>
      </w:r>
      <w:r>
        <w:rPr>
          <w:b/>
        </w:rPr>
        <w:t>overseas authorised service/spare-parts network</w:t>
      </w:r>
      <w:r>
        <w:t xml:space="preserve"> in the destination — a cheap truck without local parts is a fleet liability.</w:t>
      </w:r>
    </w:p>
    <w:p>
      <w:pPr>
        <w:pStyle w:val="Heading2"/>
      </w:pPr>
      <w:r>
        <w:t>Step 5 — Assemble the Export Document Chain</w:t>
      </w:r>
    </w:p>
    <w:p>
      <w:r>
        <w:t xml:space="preserve">Customs export declaration; commercial invoice stating Incoterm and insured value; packing list carrying </w:t>
      </w:r>
      <w:r>
        <w:rPr>
          <w:b/>
        </w:rPr>
        <w:t>VIN, engine number and unit/container numbers</w:t>
      </w:r>
      <w:r>
        <w:t>; foreign-trade contract with technical annex, acceptance standard and after-sales terms; certificate of origin; OEM authorisation; the export licence where the category requires it; and third-party/used-vehicle certificates where applicable.</w:t>
      </w:r>
    </w:p>
    <w:p>
      <w:pPr>
        <w:pStyle w:val="Heading2"/>
      </w:pPr>
      <w:r>
        <w:t>Step 6 — Destination Compliance Before Production</w:t>
      </w:r>
    </w:p>
    <w:p>
      <w:r>
        <w:t xml:space="preserve">Research the destination </w:t>
      </w:r>
      <w:r>
        <w:rPr>
          <w:b/>
        </w:rPr>
        <w:t>before</w:t>
      </w:r>
      <w:r>
        <w:t xml:space="preserve"> tooling: banned/restricted models, RHD/LHD, vehicle-age rules, accident/modified-unit treatment and the accepted emission stage — country-specific (see the Saudi, Russia and Chile guides). A China-domestic-spec fleet is not automatically importable.</w:t>
      </w:r>
    </w:p>
    <w:p>
      <w:pPr>
        <w:pStyle w:val="Heading2"/>
      </w:pPr>
      <w:r>
        <w:t>What AutoBridge Adds Beyond a Sourcing-Agent Template</w:t>
      </w:r>
    </w:p>
    <w:p>
      <w:r>
        <w:t xml:space="preserve">Agents quote a truck; The recommended framework is to translate the buyer's </w:t>
      </w:r>
      <w:r>
        <w:rPr>
          <w:b/>
        </w:rPr>
        <w:t>duty cycle into a measurable technical annex</w:t>
      </w:r>
      <w:r>
        <w:t xml:space="preserve">, check the exporter against the </w:t>
      </w:r>
      <w:r>
        <w:rPr>
          <w:b/>
        </w:rPr>
        <w:t>2026 qualified list and the new pure-EV passenger licensing rule by category</w:t>
      </w:r>
      <w:r>
        <w:t xml:space="preserve">, and specify </w:t>
      </w:r>
      <w:r>
        <w:rPr>
          <w:b/>
        </w:rPr>
        <w:t>tender-grade, inspectable acceptance criteria</w:t>
      </w:r>
      <w:r>
        <w:t xml:space="preserve"> (steel grade, plate thickness, named axles/gearbox) so a fleet cannot be delivered in a weaker build that still "matches the model name."</w:t>
      </w:r>
    </w:p>
    <w:p>
      <w:pPr>
        <w:pStyle w:val="Heading2"/>
      </w:pPr>
      <w:r>
        <w:t>Negotiation Dimensions (no invented numbers)</w:t>
      </w:r>
    </w:p>
    <w:p>
      <w:r>
        <w:t>Pin contractually: unit price vs specification level, spare-parts/common-wear kit, technician training/warranty, milestone-tied delivery schedule, inspection rights and phased payment against production/inspection evidence. Obtain real figures per project; never assume a bulk-discount percentage.</w:t>
      </w:r>
    </w:p>
    <w:p>
      <w:pPr>
        <w:pStyle w:val="Heading2"/>
      </w:pPr>
      <w:r>
        <w:t>Pre-Contract Checklist</w:t>
      </w:r>
    </w:p>
    <w:p>
      <w:pPr>
        <w:pStyle w:val="ListBullet"/>
      </w:pPr>
      <w:r>
        <w:t>Duty cycle, GVW/payload, fuel and destination emission stage fixed in writing.</w:t>
      </w:r>
    </w:p>
    <w:p>
      <w:pPr>
        <w:pStyle w:val="ListBullet"/>
      </w:pPr>
      <w:r>
        <w:t>Frame/axle/suspension/body materials and thicknesses to tender grade.</w:t>
      </w:r>
    </w:p>
    <w:p>
      <w:pPr>
        <w:pStyle w:val="ListBullet"/>
      </w:pPr>
      <w:r>
        <w:t xml:space="preserve">Exporter verified on the </w:t>
      </w:r>
      <w:r>
        <w:rPr>
          <w:b/>
        </w:rPr>
        <w:t>2026</w:t>
      </w:r>
      <w:r>
        <w:t xml:space="preserve"> qualified list with the correct category export licence + OEM authorisation (or used-car conditions).</w:t>
      </w:r>
    </w:p>
    <w:p>
      <w:pPr>
        <w:pStyle w:val="ListBullet"/>
      </w:pPr>
      <w:r>
        <w:t>Local OEM service/spare-parts coverage confirmed.</w:t>
      </w:r>
    </w:p>
    <w:p>
      <w:pPr>
        <w:pStyle w:val="ListBullet"/>
      </w:pPr>
      <w:r>
        <w:t>Document chain (VIN/engine number, Incoterm, insured value, licence) templated.</w:t>
      </w:r>
    </w:p>
    <w:p>
      <w:pPr>
        <w:pStyle w:val="ListBullet"/>
      </w:pPr>
      <w:r>
        <w:t>Destination RHD/age/emission/import restrictions cleared.</w:t>
      </w:r>
    </w:p>
    <w:p>
      <w:pPr>
        <w:pStyle w:val="ListBullet"/>
      </w:pPr>
      <w:r>
        <w:t>Acceptance/inspection method and after-sales embedded in the contract.</w:t>
      </w:r>
    </w:p>
    <w:p>
      <w:pPr>
        <w:pStyle w:val="Heading2"/>
      </w:pPr>
      <w:r>
        <w:t>Frequently Asked Questions</w:t>
      </w:r>
    </w:p>
    <w:p>
      <w:r>
        <w:rPr>
          <w:b/>
        </w:rPr>
        <w:t>What changed in China's export rules for 2026?</w:t>
      </w:r>
      <w:r>
        <w:t xml:space="preserve"> The 2026 application round runs under 商办贸函〔2025〕408号, and from 1 Jan 2026 pure-electric passenger vehicles (HS 8703801090) require an export licence under joint Announcement No. 54; use the current-year qualified list.</w:t>
      </w:r>
    </w:p>
    <w:p>
      <w:r>
        <w:rPr>
          <w:b/>
        </w:rPr>
        <w:t>How do I stop weaker steel/axles being substituted?</w:t>
      </w:r>
      <w:r>
        <w:t xml:space="preserve"> Write measurable criteria (steel grade, plate thickness, named axle/gearbox models, body volume) into the contract and inspect against them, as real tenders do.</w:t>
      </w:r>
    </w:p>
    <w:p>
      <w:r>
        <w:rPr>
          <w:b/>
        </w:rPr>
        <w:t>New vs used export condition?</w:t>
      </w:r>
      <w:r>
        <w:t xml:space="preserve"> New units need OEM authorisation and category licensing; used units must meet the Nov-2025 four-ministry rules (registration-certificate consistency) plus third-party inspection.</w:t>
      </w:r>
    </w:p>
    <w:p>
      <w:r>
        <w:rPr>
          <w:b/>
        </w:rPr>
        <w:t>Price or local parts support?</w:t>
      </w:r>
      <w:r>
        <w:t xml:space="preserve"> For a working fleet, local service/spare-parts coverage often sets total cost of ownership — verify the OEM network before choosing on price.</w:t>
      </w:r>
    </w:p>
    <w:p>
      <w:r>
        <w:rPr>
          <w:b/>
        </w:rPr>
        <w:t>Are bulk discounts/MOQs published?</w:t>
      </w:r>
      <w:r>
        <w:t xml:space="preserve"> No — they are per-project commercial terms; negotiate against a tightly specified technical annex.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Commercial-truck fleet procurement from China,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Commercial-truck fleet procurement from China,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Commercial-truck fleet procurement from China,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Commercial-truck fleet procurement from China,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Commercial-truck fleet procurement from China,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輸出バイヤー向けリファレンス｜Commercial-truck fleet procurement from China,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자료｜Commercial-truck fleet procurement from China,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Commercial-truck fleet procurement from China,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Commercial-truck fleet procurement from China,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Commercial-truck fleet procurement from China,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Commercial-truck fleet procurement from China,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出口采购参考｜Commercial-truck fleet procurement from China,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2026 automobile/motorcycle export-licence application notice (商办贸函〔2025〕408号)</w:t>
            </w:r>
          </w:p>
        </w:tc>
        <w:tc>
          <w:tcPr>
            <w:tcW w:type="dxa" w:w="1234"/>
          </w:tcPr>
          <w:p>
            <w:r>
              <w:t>MOFCOM (**government official**)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https://www.mofcom.gov.cn/zwgk/zcfb/art/2025/art_7c50d6688ca34d1786a1bfd2ccde7d19.html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Online application system, local review, qualified-list process</w:t>
            </w:r>
          </w:p>
        </w:tc>
      </w:tr>
      <w:tr>
        <w:tc>
          <w:tcPr>
            <w:tcW w:type="dxa" w:w="1234"/>
          </w:tcPr>
          <w:p>
            <w:r>
              <w:t>Pure-EV passenger export licensing from 2026-01-01 (Announcement No. 54; HS 8703801090)</w:t>
            </w:r>
          </w:p>
        </w:tc>
        <w:tc>
          <w:tcPr>
            <w:tcW w:type="dxa" w:w="1234"/>
          </w:tcPr>
          <w:p>
            <w:r>
              <w:t>MOFCOM/MIIT/GAC/SAMR (**government official**)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https://wms.mofcom.gov.cn/zcfb/wmgl/art/2025/art_4fffefa930ec42c1875859eac89ff1e4.html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2026 NEV-passenger export-licence regime</w:t>
            </w:r>
          </w:p>
        </w:tc>
      </w:tr>
      <w:tr>
        <w:tc>
          <w:tcPr>
            <w:tcW w:type="dxa" w:w="1234"/>
          </w:tcPr>
          <w:p>
            <w:r>
              <w:t>2026 qualified export-licence enterprise list</w:t>
            </w:r>
          </w:p>
        </w:tc>
        <w:tc>
          <w:tcPr>
            <w:tcW w:type="dxa" w:w="1234"/>
          </w:tcPr>
          <w:p>
            <w:r>
              <w:t>MOFCOM Foreign Trade Dept (**government official**)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http://wms.mofcom.gov.cn/zcfb/wmgl/art/2025/art_6685d244c4f4429e9a749a1a9f34bf19.html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Current-year qualified enterprises</w:t>
            </w:r>
          </w:p>
        </w:tc>
      </w:tr>
      <w:tr>
        <w:tc>
          <w:tcPr>
            <w:tcW w:type="dxa" w:w="1234"/>
          </w:tcPr>
          <w:p>
            <w:r>
              <w:t>Further strengthening used-car export management (Nov 2025)</w:t>
            </w:r>
          </w:p>
        </w:tc>
        <w:tc>
          <w:tcPr>
            <w:tcW w:type="dxa" w:w="1234"/>
          </w:tcPr>
          <w:p>
            <w:r>
              <w:t>MOFCOM/MIIT/MPS/GAC via gov.cn (**government official**)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https://www.gov.cn/zhengce/zhengceku/202511/content_7048644.htm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Used-car export-licence field/registration-certificate consistency</w:t>
            </w:r>
          </w:p>
        </w:tc>
      </w:tr>
      <w:tr>
        <w:tc>
          <w:tcPr>
            <w:tcW w:type="dxa" w:w="1234"/>
          </w:tcPr>
          <w:p>
            <w:r>
              <w:t>15-unit dump-truck tender (binding technical indicators)</w:t>
            </w:r>
          </w:p>
        </w:tc>
        <w:tc>
          <w:tcPr>
            <w:tcW w:type="dxa" w:w="1234"/>
          </w:tcPr>
          <w:p>
            <w:r>
              <w:t>Hunan Road &amp; Bridge Group (real tender)</w:t>
            </w:r>
          </w:p>
        </w:tc>
        <w:tc>
          <w:tcPr>
            <w:tcW w:type="dxa" w:w="1234"/>
          </w:tcPr>
          <w:p>
            <w:r>
              <w:t>CN→Central Asia</w:t>
            </w:r>
          </w:p>
        </w:tc>
        <w:tc>
          <w:tcPr>
            <w:tcW w:type="dxa" w:w="1234"/>
          </w:tcPr>
          <w:p>
            <w:r>
              <w:t>http://www.hnrb.cn/2025/zhaobiaogonggao_0925/9717.html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≥15 m³, T700 steel, floor ≥10 mm, side ≥8 mm, lift type</w:t>
            </w:r>
          </w:p>
        </w:tc>
      </w:tr>
      <w:tr>
        <w:tc>
          <w:tcPr>
            <w:tcW w:type="dxa" w:w="1234"/>
          </w:tcPr>
          <w:p>
            <w:r>
              <w:t>Duty-cycle/customisation guidance (double-layer frame, duty-rated axles)</w:t>
            </w:r>
          </w:p>
        </w:tc>
        <w:tc>
          <w:tcPr>
            <w:tcW w:type="dxa" w:w="1234"/>
          </w:tcPr>
          <w:p>
            <w:r>
              <w:t>CV manufacturers (Chary/FAW guidance; Chengli 12-step flow)</w:t>
            </w:r>
          </w:p>
        </w:tc>
        <w:tc>
          <w:tcPr>
            <w:tcW w:type="dxa" w:w="1234"/>
          </w:tcPr>
          <w:p>
            <w:r>
              <w:t>CN→Global</w:t>
            </w:r>
          </w:p>
        </w:tc>
        <w:tc>
          <w:tcPr>
            <w:tcW w:type="dxa" w:w="1234"/>
          </w:tcPr>
          <w:p>
            <w:r>
              <w:t>https://www.charymachinery.com/the-step-by-step-guide-for-international-buyers-sourcing-commercial-vehicles-from-china.html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Engineering/process guidance</w:t>
            </w:r>
          </w:p>
        </w:tc>
      </w:tr>
    </w:tbl>
    <w:p>
      <w:r>
        <w:t>*Confidence note: the 2026 export-licence regime and the tender acceptance indicators are VERIFIED on government/real-tender sources. Engineering/process guidance is manufacturer/industry (CROSS_CHECKED); current-year lists, OEM overseas networks and all commercial terms (discount/MOQ/lead time) are obtained live and never estimated.*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Global (commercial vehicles sourced from China)</w:t>
      </w:r>
    </w:p>
    <w:p>
      <w:pPr>
        <w:pStyle w:val="ListBullet"/>
      </w:pPr>
      <w:r>
        <w:rPr>
          <w:b/>
        </w:rPr>
        <w:t>Verification method</w:t>
      </w:r>
      <w:r>
        <w:t>: Government primary sources for the 2026 licence regime; a real tender for acceptance criteria; commercial figures left to negotiation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#FleetProcurement #CommercialTruck #ExportLicence #DutyCycle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