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Specifying Vehicles for Gulf Heat and Dust: Points to Evaluate With the OEM or Upfitter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Middle East/GCC Heat &amp; Dust Vehicle Adaptation Buyer Guide</w:t>
      </w:r>
    </w:p>
    <w:p>
      <w:pPr>
        <w:pStyle w:val="ListBullet"/>
      </w:pPr>
      <w:r>
        <w:rPr>
          <w:b/>
        </w:rPr>
        <w:t>Meta Description</w:t>
      </w:r>
      <w:r>
        <w:t>: What to evaluate with the OEM/upfitter before sending a China-spec vehicle into Gulf heat and dust — ICE cooling/charging/AC and wiring candidates, EV thermal-management options, and the separate GCC/GSO conformity track.</w:t>
      </w:r>
    </w:p>
    <w:p>
      <w:pPr>
        <w:pStyle w:val="ListBullet"/>
      </w:pPr>
      <w:r>
        <w:rPr>
          <w:b/>
        </w:rPr>
        <w:t>Suggested URL</w:t>
      </w:r>
      <w:r>
        <w:t>: /guides/middle-east-heat-dust-vehicle-adaptation/</w:t>
      </w:r>
    </w:p>
    <w:p>
      <w:pPr>
        <w:pStyle w:val="ListBullet"/>
      </w:pPr>
      <w:r>
        <w:rPr>
          <w:b/>
        </w:rPr>
        <w:t>H1</w:t>
      </w:r>
      <w:r>
        <w:t>: Adapting China-Spec Vehicles for Gulf Heat and Dust: Evaluation Points (ICE, EV, Compliance)</w:t>
      </w:r>
    </w:p>
    <w:p>
      <w:pPr>
        <w:pStyle w:val="ListBullet"/>
      </w:pPr>
      <w:r>
        <w:rPr>
          <w:b/>
        </w:rPr>
        <w:t>Primary Keyword</w:t>
      </w:r>
      <w:r>
        <w:t>: middle east gcc heat dust vehicle adaptation spec</w:t>
      </w:r>
    </w:p>
    <w:p>
      <w:pPr>
        <w:pStyle w:val="ListBullet"/>
      </w:pPr>
      <w:r>
        <w:rPr>
          <w:b/>
        </w:rPr>
        <w:t>Secondary Search Terms</w:t>
      </w:r>
      <w:r>
        <w:t>: GCC high temperature vehicle spec, desert dust sealing car, EV battery thermal management hot climate, Middle East AC cooling upgrade, GSO vehicle conformity heat</w:t>
      </w:r>
    </w:p>
    <w:p>
      <w:pPr>
        <w:pStyle w:val="ListBullet"/>
      </w:pPr>
      <w:r>
        <w:rPr>
          <w:b/>
        </w:rPr>
        <w:t>Internal Link Suggestions</w:t>
      </w:r>
      <w:r>
        <w:t>: /guides/vehicle-coc-type-approval-dossier/ ; /guides/uae-vehicle-import-registration-documents/ ; /vehicles/li-auto-l6/</w:t>
      </w:r>
    </w:p>
    <w:p>
      <w:pPr>
        <w:pStyle w:val="ListBullet"/>
      </w:pPr>
      <w:r>
        <w:rPr>
          <w:b/>
        </w:rPr>
        <w:t>Image Suggestions</w:t>
      </w:r>
      <w:r>
        <w:t>: heat-load systems diagram (ICE vs EV); dust-ingress points; radiator/AC condenser; battery thermal-management loop</w:t>
      </w:r>
    </w:p>
    <w:p>
      <w:pPr>
        <w:pStyle w:val="ListBullet"/>
      </w:pPr>
      <w:r>
        <w:rPr>
          <w:b/>
        </w:rPr>
        <w:t>ALT Suggestions</w:t>
      </w:r>
      <w:r>
        <w:t>: "ICE versus EV heat adaptation evaluation points"; "Gulf dust ingress protection points"</w:t>
      </w:r>
    </w:p>
    <w:p/>
    <w:p>
      <w:pPr>
        <w:pStyle w:val="Heading2"/>
      </w:pPr>
      <w:r>
        <w:t>Evidence Boundary</w:t>
      </w:r>
    </w:p>
    <w:p>
      <w:r>
        <w:t xml:space="preserve">Two evidence layers are kept separate. The </w:t>
      </w:r>
      <w:r>
        <w:rPr>
          <w:b/>
        </w:rPr>
        <w:t>conformity track now rests on primary sources</w:t>
      </w:r>
      <w:r>
        <w:t xml:space="preserve"> — the GCC Standardization Organization (GSO) framework, applied nationally by Saudi Arabia through SASO/SABER and by the UAE through MoIAT (ECAS) — and is cited in Sources. The </w:t>
      </w:r>
      <w:r>
        <w:rPr>
          <w:b/>
        </w:rPr>
        <w:t>engineering adaptation items</w:t>
      </w:r>
      <w:r>
        <w:t xml:space="preserve"> below (cooling, charging, AC, sealing and EV thermal candidates) still each rest on a single upfit/engineering or industry source and remain SINGLE_SOURCE evaluation points, not Gulf legal requirements. There is no single uniform "Gulf spec": confirm every item with the OEM/upfitter for the model and operating envelope, and against the </w:t>
      </w:r>
      <w:r>
        <w:rPr>
          <w:b/>
        </w:rPr>
        <w:t>destination country's own</w:t>
      </w:r>
      <w:r>
        <w:t xml:space="preserve"> application of the GSO text (Saudi and UAE routes differ and are shown separately below).</w:t>
      </w:r>
    </w:p>
    <w:p/>
    <w:p>
      <w:pPr>
        <w:pStyle w:val="Heading2"/>
      </w:pPr>
      <w:r>
        <w:t>Why a China-Spec Car Is Not Automatically Gulf-Ready</w:t>
      </w:r>
    </w:p>
    <w:p>
      <w:r>
        <w:t xml:space="preserve">A vehicle tuned for temperate Chinese conditions meets a different thermal and dust load in the Gulf. One upfit source describes Gulf summer ambient around </w:t>
      </w:r>
      <w:r>
        <w:rPr>
          <w:b/>
        </w:rPr>
        <w:t>40–50 °C</w:t>
      </w:r>
      <w:r>
        <w:t xml:space="preserve">, winters near 20 °C, with frequent </w:t>
      </w:r>
      <w:r>
        <w:rPr>
          <w:b/>
        </w:rPr>
        <w:t>dust and high humidity</w:t>
      </w:r>
      <w:r>
        <w:t xml:space="preserve"> (single-source). Sustained high ambient can raise coolant/intake temperatures, put air-conditioning on near-continuous duty, drive fine dust into electrical and sensor housings, and — for EVs — stress the battery's thermal envelope. Whether a given China-spec build already covers that envelope is a model-specific engineering question, not an assumption.</w:t>
      </w:r>
    </w:p>
    <w:p/>
    <w:p>
      <w:pPr>
        <w:pStyle w:val="Heading2"/>
      </w:pPr>
      <w:r>
        <w:t>ICE Vehicles: Candidate Points to Evaluate (not a mandatory kit)</w:t>
      </w:r>
    </w:p>
    <w:p>
      <w:r>
        <w:t>A single upfit source raises the following as candidates; each should be discussed with the OEM/upfitter and validated against the model's existing design rather than treated as a required Gulf standard:</w:t>
      </w:r>
    </w:p>
    <w:p>
      <w:pPr>
        <w:pStyle w:val="ListBullet"/>
      </w:pPr>
      <w:r>
        <w:rPr>
          <w:b/>
        </w:rPr>
        <w:t>Cooling capacity</w:t>
      </w:r>
      <w:r>
        <w:t xml:space="preserve"> — whether the radiator/fan combination is adequate for low-speed, high-load hot operation; evaluate, don't assume enlargement is required.</w:t>
      </w:r>
    </w:p>
    <w:p>
      <w:pPr>
        <w:pStyle w:val="ListBullet"/>
      </w:pPr>
      <w:r>
        <w:rPr>
          <w:b/>
        </w:rPr>
        <w:t>Electrical supply</w:t>
      </w:r>
      <w:r>
        <w:t xml:space="preserve"> — whether continuous AC/fan duty justifies a different alternator/battery rating; evaluate against the actual electrical load.</w:t>
      </w:r>
    </w:p>
    <w:p>
      <w:pPr>
        <w:pStyle w:val="ListBullet"/>
      </w:pPr>
      <w:r>
        <w:rPr>
          <w:b/>
        </w:rPr>
        <w:t>Air conditioning</w:t>
      </w:r>
      <w:r>
        <w:t xml:space="preserve"> — cooling capacity at peak ambient; whether a heater core is retained is a build decision, not something to remove by default.</w:t>
      </w:r>
    </w:p>
    <w:p>
      <w:pPr>
        <w:pStyle w:val="ListBullet"/>
      </w:pPr>
      <w:r>
        <w:rPr>
          <w:b/>
        </w:rPr>
        <w:t>Wiring/connectors</w:t>
      </w:r>
      <w:r>
        <w:t xml:space="preserve"> — heat-resistance and dust-sealing ratings where the application warrants it.</w:t>
      </w:r>
    </w:p>
    <w:p>
      <w:pPr>
        <w:pStyle w:val="ListBullet"/>
      </w:pPr>
      <w:r>
        <w:rPr>
          <w:b/>
        </w:rPr>
        <w:t>Filtration</w:t>
      </w:r>
      <w:r>
        <w:t xml:space="preserve"> — engine/cabin filtration and shortened service intervals for dusty operation.</w:t>
      </w:r>
    </w:p>
    <w:p>
      <w:r>
        <w:t xml:space="preserve">These are </w:t>
      </w:r>
      <w:r>
        <w:rPr>
          <w:b/>
        </w:rPr>
        <w:t>evaluation points</w:t>
      </w:r>
      <w:r>
        <w:t>, not automatic changes and not a universal Gulf adaptation requirement; a well-specced China build may already satisfy some of them.</w:t>
      </w:r>
    </w:p>
    <w:p/>
    <w:p>
      <w:pPr>
        <w:pStyle w:val="Heading2"/>
      </w:pPr>
      <w:r>
        <w:t>EV / Hybrid: Thermal-Management Options to Evaluate</w:t>
      </w:r>
    </w:p>
    <w:p>
      <w:r>
        <w:t xml:space="preserve">For electrified vehicles the battery is the heat-sensitive system. One engineering source discusses </w:t>
      </w:r>
      <w:r>
        <w:rPr>
          <w:b/>
        </w:rPr>
        <w:t>liquid thermal management with cell-temperature equalisation</w:t>
      </w:r>
      <w:r>
        <w:t xml:space="preserve"> and notes that air-cooled packs can be more vulnerable under sustained high temperature (single-source). The correct reading for procurement:</w:t>
      </w:r>
    </w:p>
    <w:p>
      <w:pPr>
        <w:pStyle w:val="ListBullet"/>
      </w:pPr>
      <w:r>
        <w:rPr>
          <w:b/>
        </w:rPr>
        <w:t>Ask the OEM for thermal data</w:t>
      </w:r>
      <w:r>
        <w:t xml:space="preserve"> comparing its cooling approach against the target envelope; </w:t>
      </w:r>
      <w:r>
        <w:rPr>
          <w:b/>
        </w:rPr>
        <w:t>liquid cooling is one option to evaluate — do not reject air cooling categorically, and do not assume liquid cooling is mandatory</w:t>
      </w:r>
      <w:r>
        <w:t>, absent an OEM/engineering-standard basis for that model.</w:t>
      </w:r>
    </w:p>
    <w:p>
      <w:pPr>
        <w:pStyle w:val="ListBullet"/>
      </w:pPr>
      <w:r>
        <w:t xml:space="preserve">Discuss </w:t>
      </w:r>
      <w:r>
        <w:rPr>
          <w:b/>
        </w:rPr>
        <w:t>BMS high-temperature strategy</w:t>
      </w:r>
      <w:r>
        <w:t xml:space="preserve"> — derating, charge-current limits, thermal warnings.</w:t>
      </w:r>
    </w:p>
    <w:p>
      <w:pPr>
        <w:pStyle w:val="ListBullet"/>
      </w:pPr>
      <w:r>
        <w:t xml:space="preserve">Evaluate </w:t>
      </w:r>
      <w:r>
        <w:rPr>
          <w:b/>
        </w:rPr>
        <w:t>hot-climate DC fast-charge behaviour, cabin pre-cooling</w:t>
      </w:r>
      <w:r>
        <w:t>, and connector/onboard-charger tolerance of hot, dusty operation.</w:t>
      </w:r>
    </w:p>
    <w:p>
      <w:pPr>
        <w:pStyle w:val="ListBullet"/>
      </w:pPr>
      <w:r>
        <w:t xml:space="preserve">A Chinese policy reference cites a battery-environment </w:t>
      </w:r>
      <w:r>
        <w:rPr>
          <w:b/>
        </w:rPr>
        <w:t>target of −30 °C to 55 °C</w:t>
      </w:r>
      <w:r>
        <w:t xml:space="preserve"> (single-source) — a design target only, not a Gulf legal threshold.</w:t>
      </w:r>
    </w:p>
    <w:p/>
    <w:p>
      <w:pPr>
        <w:pStyle w:val="Heading2"/>
      </w:pPr>
      <w:r>
        <w:t>Compliance Runs in Parallel With Engineering</w:t>
      </w:r>
    </w:p>
    <w:p>
      <w:r>
        <w:t>Adaptation does not replace market access: the vehicle and any changed components (</w:t>
      </w:r>
      <w:r>
        <w:rPr>
          <w:b/>
        </w:rPr>
        <w:t>harnesses, sensors, ADAS units</w:t>
      </w:r>
      <w:r>
        <w:t xml:space="preserve">) still have to satisfy </w:t>
      </w:r>
      <w:r>
        <w:rPr>
          <w:b/>
        </w:rPr>
        <w:t>GCC/GSO conformity</w:t>
      </w:r>
      <w:r>
        <w:t>, and changed parts should carry the appropriate certification. Engineering evaluation and homologation must converge on the same VIN/configuration — an upfitted part that voids conformity is a net loss.</w:t>
      </w:r>
    </w:p>
    <w:p/>
    <w:p>
      <w:r>
        <w:rPr>
          <w:b/>
        </w:rPr>
        <w:t>Apply the GSO framework country by country (COUNTRY_SPECIFIC).</w:t>
      </w:r>
      <w:r>
        <w:t xml:space="preserve"> In </w:t>
      </w:r>
      <w:r>
        <w:rPr>
          <w:b/>
        </w:rPr>
        <w:t>Saudi Arabia</w:t>
      </w:r>
      <w:r>
        <w:t xml:space="preserve">, type approval and shipment conformity run through SASO and the SABER platform (PCoC/SCoC logic, exact certificate type by HS and vehicle category). In the </w:t>
      </w:r>
      <w:r>
        <w:rPr>
          <w:b/>
        </w:rPr>
        <w:t>UAE</w:t>
      </w:r>
      <w:r>
        <w:t xml:space="preserve">, regulated-product conformity certificates are issued by MoIAT (the ECAS successor), with registration completed at emirate level. </w:t>
      </w:r>
      <w:r>
        <w:rPr>
          <w:b/>
        </w:rPr>
        <w:t>GSO harmonises the technical regulations, but each member state applies them through its own body and timeline</w:t>
      </w:r>
      <w:r>
        <w:t xml:space="preserve"> — do not treat a Saudi certificate, an Emirates registration, or a single GSO list as interchangeable proof for Kuwait, Oman, Qatar or Bahrain; verify the destination's current route separately.</w:t>
      </w:r>
    </w:p>
    <w:p/>
    <w:p>
      <w:pPr>
        <w:pStyle w:val="Heading2"/>
      </w:pPr>
      <w:r>
        <w:t>What This Guide Recommends You Raise With the OEM/Upfitter</w:t>
      </w:r>
    </w:p>
    <w:p>
      <w:pPr>
        <w:pStyle w:val="ListNumber"/>
      </w:pPr>
      <w:r>
        <w:t xml:space="preserve">The </w:t>
      </w:r>
      <w:r>
        <w:rPr>
          <w:b/>
        </w:rPr>
        <w:t>target operating envelope</w:t>
      </w:r>
      <w:r>
        <w:t xml:space="preserve"> (peak ambient, humidity, dust) for the route.</w:t>
      </w:r>
    </w:p>
    <w:p>
      <w:pPr>
        <w:pStyle w:val="ListNumber"/>
      </w:pPr>
      <w:r>
        <w:rPr>
          <w:b/>
        </w:rPr>
        <w:t>ICE candidates</w:t>
      </w:r>
      <w:r>
        <w:t xml:space="preserve"> — cooling, alternator/battery, AC, harness rating, filtration — as questions backed by the model's thermal data, not assumed upgrades.</w:t>
      </w:r>
    </w:p>
    <w:p>
      <w:pPr>
        <w:pStyle w:val="ListNumber"/>
      </w:pPr>
      <w:r>
        <w:rPr>
          <w:b/>
        </w:rPr>
        <w:t>EV</w:t>
      </w:r>
      <w:r>
        <w:t xml:space="preserve"> — ask for the thermal-management comparison and BMS hot-climate strategy; evaluate cooling approach on evidence rather than a blanket rule.</w:t>
      </w:r>
    </w:p>
    <w:p>
      <w:pPr>
        <w:pStyle w:val="ListNumber"/>
      </w:pPr>
      <w:r>
        <w:rPr>
          <w:b/>
        </w:rPr>
        <w:t>Dust sealing</w:t>
      </w:r>
      <w:r>
        <w:t xml:space="preserve"> for connectors/sensors/ADAS and a filter-maintenance plan.</w:t>
      </w:r>
    </w:p>
    <w:p>
      <w:pPr>
        <w:pStyle w:val="ListNumber"/>
      </w:pPr>
      <w:r>
        <w:rPr>
          <w:b/>
        </w:rPr>
        <w:t>GCC/GSO conformity</w:t>
      </w:r>
      <w:r>
        <w:t xml:space="preserve"> for whatever configuration results, citing the actual GSO standard text.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Does every China-spec car need a Gulf adaptation kit?</w:t>
      </w:r>
      <w:r>
        <w:t xml:space="preserve"> Not automatically — the items here are points to evaluate with the OEM/upfitter per model; some China builds already cover the envelope.</w:t>
      </w:r>
    </w:p>
    <w:p>
      <w:r>
        <w:rPr>
          <w:b/>
        </w:rPr>
        <w:t>Is air cooling unacceptable for Gulf EVs?</w:t>
      </w:r>
      <w:r>
        <w:t xml:space="preserve"> Don't decide by rule of thumb — ask the OEM for thermal data for the target envelope; liquid cooling is an option to evaluate, not a stated universal requirement.</w:t>
      </w:r>
    </w:p>
    <w:p>
      <w:r>
        <w:rPr>
          <w:b/>
        </w:rPr>
        <w:t>Is engineering adaptation the same as homologation?</w:t>
      </w:r>
      <w:r>
        <w:t xml:space="preserve"> No — adaptation is engineering evaluation; GCC/GSO conformity is a separate, mandatory workstream and both must match the same build.</w:t>
      </w:r>
    </w:p>
    <w:p>
      <w:r>
        <w:rPr>
          <w:b/>
        </w:rPr>
        <w:t>What temperature should the vehicle handle?</w:t>
      </w:r>
      <w:r>
        <w:t xml:space="preserve"> One source describes ~40–50 °C Gulf summers; a Chinese policy reference cites a −30 to 55 °C design target — neither is a Gulf legal limit.</w:t>
      </w:r>
    </w:p>
    <w:p>
      <w:r>
        <w:rPr>
          <w:b/>
        </w:rPr>
        <w:t>Where do I find the exact GSO heat/AC standards?</w:t>
      </w:r>
      <w:r>
        <w:t xml:space="preserve"> Start from the GSO technical-regulations list, then open the </w:t>
      </w:r>
      <w:r>
        <w:rPr>
          <w:b/>
        </w:rPr>
        <w:t>destination country's</w:t>
      </w:r>
      <w:r>
        <w:t xml:space="preserve"> national route — SASO/SABER for Saudi Arabia, MoIAT for the UAE — because GSO text is applied nationally. This guide cites no specific heat/AC standard number it could not verify directly; the engineering candidates here still require OEM/upfitter confirmation.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Gulf heat and dust vehicle specification,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Gulf heat and dust vehicle specification,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Gulf heat and dust vehicle specification,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Gulf heat and dust vehicle specification,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Gulf heat and dust vehicle specification,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輸出バイヤー向けリファレンス｜Gulf heat and dust vehicle specification,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자료｜Gulf heat and dust vehicle specification,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Gulf heat and dust vehicle specification,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Gulf heat and dust vehicle specification,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Gulf heat and dust vehicle specification,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Gulf heat and dust vehicle specification,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出口采购参考｜Gulf heat and dust vehicle specification,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GCC high-temp/dusty-vehicle adaptation upfit</w:t>
            </w:r>
          </w:p>
        </w:tc>
        <w:tc>
          <w:tcPr>
            <w:tcW w:type="dxa" w:w="1234"/>
          </w:tcPr>
          <w:p>
            <w:r>
              <w:t>Certification/upfit provider</w:t>
            </w:r>
          </w:p>
        </w:tc>
        <w:tc>
          <w:tcPr>
            <w:tcW w:type="dxa" w:w="1234"/>
          </w:tcPr>
          <w:p>
            <w:r>
              <w:t>Gulf</w:t>
            </w:r>
          </w:p>
        </w:tc>
        <w:tc>
          <w:tcPr>
            <w:tcW w:type="dxa" w:w="1234"/>
          </w:tcPr>
          <w:p>
            <w:r>
              <w:t>https://m.11467.com/product/d15654879.htm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Climate range; ICE candidate adaptation points (one source)</w:t>
            </w:r>
          </w:p>
        </w:tc>
      </w:tr>
      <w:tr>
        <w:tc>
          <w:tcPr>
            <w:tcW w:type="dxa" w:w="1234"/>
          </w:tcPr>
          <w:p>
            <w:r>
              <w:t>All-climate NEV (high-temp liquid cooling / low-temp self-heating)</w:t>
            </w:r>
          </w:p>
        </w:tc>
        <w:tc>
          <w:tcPr>
            <w:tcW w:type="dxa" w:w="1234"/>
          </w:tcPr>
          <w:p>
            <w:r>
              <w:t>Engineering in China / Toutiao</w:t>
            </w:r>
          </w:p>
        </w:tc>
        <w:tc>
          <w:tcPr>
            <w:tcW w:type="dxa" w:w="1234"/>
          </w:tcPr>
          <w:p>
            <w:r>
              <w:t>Global</w:t>
            </w:r>
          </w:p>
        </w:tc>
        <w:tc>
          <w:tcPr>
            <w:tcW w:type="dxa" w:w="1234"/>
          </w:tcPr>
          <w:p>
            <w:r>
              <w:t>http://m.toutiao.com/group/6868212100762698247/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Liquid vs air thermal-management discussion (one source)</w:t>
            </w:r>
          </w:p>
        </w:tc>
      </w:tr>
      <w:tr>
        <w:tc>
          <w:tcPr>
            <w:tcW w:type="dxa" w:w="1234"/>
          </w:tcPr>
          <w:p>
            <w:r>
              <w:t>Battery high/low-temperature performance (−30~55 target)</w:t>
            </w:r>
          </w:p>
        </w:tc>
        <w:tc>
          <w:tcPr>
            <w:tcW w:type="dxa" w:w="1234"/>
          </w:tcPr>
          <w:p>
            <w:r>
              <w:t>D1EV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http://m.toutiao.com/group/6396788247036428802/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−30 to 55 °C policy design target (one source)</w:t>
            </w:r>
          </w:p>
        </w:tc>
      </w:tr>
      <w:tr>
        <w:tc>
          <w:tcPr>
            <w:tcW w:type="dxa" w:w="1234"/>
          </w:tcPr>
          <w:p>
            <w:r>
              <w:t>2026 Jeddah auto-parts fair (heat/dust parts, BMS)</w:t>
            </w:r>
          </w:p>
        </w:tc>
        <w:tc>
          <w:tcPr>
            <w:tcW w:type="dxa" w:w="1234"/>
          </w:tcPr>
          <w:p>
            <w:r>
              <w:t>Sohu</w:t>
            </w:r>
          </w:p>
        </w:tc>
        <w:tc>
          <w:tcPr>
            <w:tcW w:type="dxa" w:w="1234"/>
          </w:tcPr>
          <w:p>
            <w:r>
              <w:t>Saudi</w:t>
            </w:r>
          </w:p>
        </w:tc>
        <w:tc>
          <w:tcPr>
            <w:tcW w:type="dxa" w:w="1234"/>
          </w:tcPr>
          <w:p>
            <w:r>
              <w:t>https://m.sohu.com/a/1056965136_122956666/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Heat/dust-resistant components; GCC compliance note (one source)</w:t>
            </w:r>
          </w:p>
        </w:tc>
      </w:tr>
    </w:tbl>
    <w:p>
      <w:r>
        <w:t>*Evidence ceiling: every adaptation fact rests on a single source (all SINGLE_SOURCE); no GSO primary standard or OEM engineering spec was captured. Items are framed as evaluation points for the OEM/upfitter, not universal Gulf requirements; no legal threshold or mandatory configuration is asserted.*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GCC motor-vehicle technical regulations list</w:t>
            </w:r>
          </w:p>
        </w:tc>
        <w:tc>
          <w:tcPr>
            <w:tcW w:type="dxa" w:w="1234"/>
          </w:tcPr>
          <w:p>
            <w:r>
              <w:t>GCC Standardization Organization (GSO)</w:t>
            </w:r>
          </w:p>
        </w:tc>
        <w:tc>
          <w:tcPr>
            <w:tcW w:type="dxa" w:w="1234"/>
          </w:tcPr>
          <w:p>
            <w:r>
              <w:t>GCC</w:t>
            </w:r>
          </w:p>
        </w:tc>
        <w:tc>
          <w:tcPr>
            <w:tcW w:type="dxa" w:w="1234"/>
          </w:tcPr>
          <w:p>
            <w:r>
              <w:t>https://www.gso.org.sa/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GCC-wide vehicle technical regulations, incl. climate/emission timelines (country application varies)</w:t>
            </w:r>
          </w:p>
        </w:tc>
      </w:tr>
      <w:tr>
        <w:tc>
          <w:tcPr>
            <w:tcW w:type="dxa" w:w="1234"/>
          </w:tcPr>
          <w:p>
            <w:r>
              <w:t>Saudi standards and conformity (SASO / Saleem)</w:t>
            </w:r>
          </w:p>
        </w:tc>
        <w:tc>
          <w:tcPr>
            <w:tcW w:type="dxa" w:w="1234"/>
          </w:tcPr>
          <w:p>
            <w:r>
              <w:t>Saudi Standards, Metrology and Quality Org. (SASO)</w:t>
            </w:r>
          </w:p>
        </w:tc>
        <w:tc>
          <w:tcPr>
            <w:tcW w:type="dxa" w:w="1234"/>
          </w:tcPr>
          <w:p>
            <w:r>
              <w:t>SA</w:t>
            </w:r>
          </w:p>
        </w:tc>
        <w:tc>
          <w:tcPr>
            <w:tcW w:type="dxa" w:w="1234"/>
          </w:tcPr>
          <w:p>
            <w:r>
              <w:t>https://www.saso.gov.sa/en/Pages/default.aspx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Saudi-specific standards and conformity scope</w:t>
            </w:r>
          </w:p>
        </w:tc>
      </w:tr>
      <w:tr>
        <w:tc>
          <w:tcPr>
            <w:tcW w:type="dxa" w:w="1234"/>
          </w:tcPr>
          <w:p>
            <w:r>
              <w:t>Issue conformity certificates for regulated products (incl. vehicles/parts)</w:t>
            </w:r>
          </w:p>
        </w:tc>
        <w:tc>
          <w:tcPr>
            <w:tcW w:type="dxa" w:w="1234"/>
          </w:tcPr>
          <w:p>
            <w:r>
              <w:t>UAE Ministry of Industry and Advanced Technology (MoIAT)</w:t>
            </w:r>
          </w:p>
        </w:tc>
        <w:tc>
          <w:tcPr>
            <w:tcW w:type="dxa" w:w="1234"/>
          </w:tcPr>
          <w:p>
            <w:r>
              <w:t>UAE</w:t>
            </w:r>
          </w:p>
        </w:tc>
        <w:tc>
          <w:tcPr>
            <w:tcW w:type="dxa" w:w="1234"/>
          </w:tcPr>
          <w:p>
            <w:r>
              <w:t>https://www.moiat.gov.ae/en/services/issue-conformity-certificates-for-regulated-products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UAE-specific conformity route; heat/dust items confirmed per market, not assumed GCC-uniform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 / scope</w:t>
      </w:r>
      <w:r>
        <w:t>: Gulf/Middle East engineering evaluation (not a legal standard summary)</w:t>
      </w:r>
    </w:p>
    <w:p>
      <w:pPr>
        <w:pStyle w:val="ListBullet"/>
      </w:pPr>
      <w:r>
        <w:rPr>
          <w:b/>
        </w:rPr>
        <w:t>Verification method</w:t>
      </w:r>
      <w:r>
        <w:t>: Single-source discipline per R4; no single upfit article upgraded to a general requirement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#GulfSpec #HeatAndDust #GSO #VehicleAdaptation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