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Vehicle Export Sales Contracts: the Clauses That Actually Control Payment, Delivery and Disputes</w:t>
      </w:r>
    </w:p>
    <w:p>
      <w:pPr>
        <w:pStyle w:val="Heading2"/>
      </w:pPr>
      <w:r>
        <w:t>SEO Metadata</w:t>
      </w:r>
    </w:p>
    <w:p>
      <w:pPr>
        <w:pStyle w:val="ListBullet"/>
      </w:pPr>
      <w:r>
        <w:rPr>
          <w:b/>
        </w:rPr>
        <w:t>SEO Title</w:t>
      </w:r>
      <w:r>
        <w:t>: Vehicle Export Sales Contract Clauses &amp; Risk Guide</w:t>
      </w:r>
    </w:p>
    <w:p>
      <w:pPr>
        <w:pStyle w:val="ListBullet"/>
      </w:pPr>
      <w:r>
        <w:rPr>
          <w:b/>
        </w:rPr>
        <w:t>Meta Description</w:t>
      </w:r>
      <w:r>
        <w:t>: What a vehicle export sales contract must contain — PRC Civil Code Art 596 essentials, Incoterms risk transfer, retention of title, breach/claim windows, dispute resolution and Apostille, plus vehicle-condition disclosure.</w:t>
      </w:r>
    </w:p>
    <w:p>
      <w:pPr>
        <w:pStyle w:val="ListBullet"/>
      </w:pPr>
      <w:r>
        <w:rPr>
          <w:b/>
        </w:rPr>
        <w:t>Suggested URL</w:t>
      </w:r>
      <w:r>
        <w:t>: /guides/vehicle-export-sales-contract-clauses/</w:t>
      </w:r>
    </w:p>
    <w:p>
      <w:pPr>
        <w:pStyle w:val="ListBullet"/>
      </w:pPr>
      <w:r>
        <w:rPr>
          <w:b/>
        </w:rPr>
        <w:t>H1</w:t>
      </w:r>
      <w:r>
        <w:t>: Key Clauses in a Vehicle Export Sales Contract: Payment, Title, Risk and Disputes</w:t>
      </w:r>
    </w:p>
    <w:p>
      <w:pPr>
        <w:pStyle w:val="ListBullet"/>
      </w:pPr>
      <w:r>
        <w:rPr>
          <w:b/>
        </w:rPr>
        <w:t>Primary Keyword</w:t>
      </w:r>
      <w:r>
        <w:t>: vehicle export sales contract key clauses risk title</w:t>
      </w:r>
    </w:p>
    <w:p>
      <w:pPr>
        <w:pStyle w:val="ListBullet"/>
      </w:pPr>
      <w:r>
        <w:rPr>
          <w:b/>
        </w:rPr>
        <w:t>Secondary Search Terms</w:t>
      </w:r>
      <w:r>
        <w:t>: retention of title export contract, Incoterms risk transfer vehicle, export contract breach penalty, ICC arbitration vehicle trade, Apostille overseas documents, vehicle condition disclosure</w:t>
      </w:r>
    </w:p>
    <w:p>
      <w:pPr>
        <w:pStyle w:val="ListBullet"/>
      </w:pPr>
      <w:r>
        <w:rPr>
          <w:b/>
        </w:rPr>
        <w:t>Internal Link Suggestions</w:t>
      </w:r>
      <w:r>
        <w:t>: /guides/china-vehicle-export-license-customs-documents/ ; /guides/overseas-aftersales-parts-warranty-network/ ; /guides/vehicle-pre-shipment-inspection-psi/</w:t>
      </w:r>
    </w:p>
    <w:p>
      <w:pPr>
        <w:pStyle w:val="ListBullet"/>
      </w:pPr>
      <w:r>
        <w:rPr>
          <w:b/>
        </w:rPr>
        <w:t>Image Suggestions</w:t>
      </w:r>
      <w:r>
        <w:t>: clause-to-risk map; risk/title transfer timeline; payment-vs-delivery milestone chart</w:t>
      </w:r>
    </w:p>
    <w:p>
      <w:pPr>
        <w:pStyle w:val="ListBullet"/>
      </w:pPr>
      <w:r>
        <w:rPr>
          <w:b/>
        </w:rPr>
        <w:t>ALT Suggestions</w:t>
      </w:r>
      <w:r>
        <w:t>: "export contract risk and title transfer timeline"; "vehicle sales contract key clauses"</w:t>
      </w:r>
    </w:p>
    <w:p/>
    <w:p>
      <w:pPr>
        <w:pStyle w:val="Heading2"/>
      </w:pPr>
      <w:r>
        <w:t>Who This Is For</w:t>
      </w:r>
    </w:p>
    <w:p>
      <w:r>
        <w:t xml:space="preserve">A first-time vehicle exporter often signs a deal on price and quantity alone, then discovers the contract never fixed </w:t>
      </w:r>
      <w:r>
        <w:rPr>
          <w:b/>
        </w:rPr>
        <w:t>when risk passes, who holds title before full payment, or where a dispute is heard</w:t>
      </w:r>
      <w:r>
        <w:t xml:space="preserve">. This guide maps the clauses that control those outcomes. The PRC Civil Code Art 596 is described here through </w:t>
      </w:r>
      <w:r>
        <w:rPr>
          <w:b/>
        </w:rPr>
        <w:t>secondary legal portals (FindLaw etc.), which cap at CROSS_CHECKED/SINGLE_SOURCE</w:t>
      </w:r>
      <w:r>
        <w:t xml:space="preserve">; VERIFIED would require the official Civil Code text from an NPC/government source. The rest is legal-practice synthesis. </w:t>
      </w:r>
      <w:r>
        <w:rPr>
          <w:b/>
        </w:rPr>
        <w:t>A template is not legal advice — have a qualified lawyer review the executed contract under its chosen governing law.</w:t>
      </w:r>
    </w:p>
    <w:p/>
    <w:p>
      <w:pPr>
        <w:pStyle w:val="Heading2"/>
      </w:pPr>
      <w:r>
        <w:t>Clause Block 1 — The Essential Contents (Civil Code Art 596)</w:t>
      </w:r>
    </w:p>
    <w:p>
      <w:r>
        <w:t xml:space="preserve">Under </w:t>
      </w:r>
      <w:r>
        <w:rPr>
          <w:b/>
        </w:rPr>
        <w:t>Article 596 of the PRC Civil Code</w:t>
      </w:r>
      <w:r>
        <w:t xml:space="preserve">, a sales contract should cover: </w:t>
      </w:r>
      <w:r>
        <w:rPr>
          <w:b/>
        </w:rPr>
        <w:t>name, quantity, quality, price, time/place/method of performance, packaging, inspection standards and method, settlement, and the effective-language/text provisions</w:t>
      </w:r>
      <w:r>
        <w:t>. Translated for a vehicle deal, the minimum is:</w:t>
      </w:r>
    </w:p>
    <w:p>
      <w:pPr>
        <w:pStyle w:val="ListBullet"/>
      </w:pPr>
      <w:r>
        <w:t xml:space="preserve">Exact </w:t>
      </w:r>
      <w:r>
        <w:rPr>
          <w:b/>
        </w:rPr>
        <w:t>vehicle identity</w:t>
      </w:r>
      <w:r>
        <w:t xml:space="preserve"> (VIN, model/trim, model year, configuration list), </w:t>
      </w:r>
      <w:r>
        <w:rPr>
          <w:b/>
        </w:rPr>
        <w:t>quantity and unit price</w:t>
      </w:r>
      <w:r>
        <w:t>;</w:t>
      </w:r>
    </w:p>
    <w:p>
      <w:pPr>
        <w:pStyle w:val="ListBullet"/>
      </w:pPr>
      <w:r>
        <w:rPr>
          <w:b/>
        </w:rPr>
        <w:t>Quality/condition standard</w:t>
      </w:r>
      <w:r>
        <w:t xml:space="preserve"> and the </w:t>
      </w:r>
      <w:r>
        <w:rPr>
          <w:b/>
        </w:rPr>
        <w:t>inspection standard/method</w:t>
      </w:r>
      <w:r>
        <w:t xml:space="preserve"> (tie this to the PSI report);</w:t>
      </w:r>
    </w:p>
    <w:p>
      <w:pPr>
        <w:pStyle w:val="ListBullet"/>
      </w:pPr>
      <w:r>
        <w:rPr>
          <w:b/>
        </w:rPr>
        <w:t>Packaging/protection</w:t>
      </w:r>
      <w:r>
        <w:t xml:space="preserve"> for ocean transit and the </w:t>
      </w:r>
      <w:r>
        <w:rPr>
          <w:b/>
        </w:rPr>
        <w:t>settlement/payment method</w:t>
      </w:r>
      <w:r>
        <w:t>;</w:t>
      </w:r>
    </w:p>
    <w:p>
      <w:pPr>
        <w:pStyle w:val="ListBullet"/>
      </w:pPr>
      <w:r>
        <w:rPr>
          <w:b/>
        </w:rPr>
        <w:t>Language versions</w:t>
      </w:r>
      <w:r>
        <w:t xml:space="preserve"> and which text prevails if bilingual.</w:t>
      </w:r>
    </w:p>
    <w:p/>
    <w:p>
      <w:pPr>
        <w:pStyle w:val="Heading2"/>
      </w:pPr>
      <w:r>
        <w:t>Clause Block 2 — Risk Transfer: Let Incoterms Decide It</w:t>
      </w:r>
    </w:p>
    <w:p>
      <w:pPr>
        <w:pStyle w:val="ListBullet"/>
      </w:pPr>
      <w:r>
        <w:t xml:space="preserve">Risk of loss/damage passes according to the </w:t>
      </w:r>
      <w:r>
        <w:rPr>
          <w:b/>
        </w:rPr>
        <w:t>agreed trade term (state the Incoterms version explicitly, e.g., Incoterms 2020)</w:t>
      </w:r>
      <w:r>
        <w:t xml:space="preserve"> — FOB, CIF/CIP, DAP etc. each set a different transfer point.</w:t>
      </w:r>
    </w:p>
    <w:p>
      <w:pPr>
        <w:pStyle w:val="ListBullet"/>
      </w:pPr>
      <w:r>
        <w:t xml:space="preserve">Absent an agreed term, risk generally passes </w:t>
      </w:r>
      <w:r>
        <w:rPr>
          <w:b/>
        </w:rPr>
        <w:t>on delivery to the buyer (or its nominated carrier)</w:t>
      </w:r>
      <w:r>
        <w:t>.</w:t>
      </w:r>
    </w:p>
    <w:p>
      <w:r>
        <w:t xml:space="preserve">Write the term, version and </w:t>
      </w:r>
      <w:r>
        <w:rPr>
          <w:b/>
        </w:rPr>
        <w:t>named place/port</w:t>
      </w:r>
      <w:r>
        <w:t xml:space="preserve"> precisely: "CIF" without a named port, or an unspecified Incoterms year, invites a fight over who bears in-transit damage — coordinate with the marine-insurance and loading guides.</w:t>
      </w:r>
    </w:p>
    <w:p/>
    <w:p>
      <w:pPr>
        <w:pStyle w:val="Heading2"/>
      </w:pPr>
      <w:r>
        <w:t>Clause Block 3 — Retention of Title (protect an unpaid seller)</w:t>
      </w:r>
    </w:p>
    <w:p>
      <w:r>
        <w:t xml:space="preserve">A seller may </w:t>
      </w:r>
      <w:r>
        <w:rPr>
          <w:b/>
        </w:rPr>
        <w:t>reserve title until full payment is received</w:t>
      </w:r>
      <w:r>
        <w:t xml:space="preserve"> (distinct from risk, which may already have passed): until paid in full, the buyer </w:t>
      </w:r>
      <w:r>
        <w:rPr>
          <w:b/>
        </w:rPr>
        <w:t>may not mortgage or resell</w:t>
      </w:r>
      <w:r>
        <w:t xml:space="preserve"> the vehicles. This clause is especially valuable against default on staged shipments — but note its enforceability depends on the </w:t>
      </w:r>
      <w:r>
        <w:rPr>
          <w:b/>
        </w:rPr>
        <w:t>governing law and whether title reservation is recognised/registrable in the buyer's jurisdiction</w:t>
      </w:r>
      <w:r>
        <w:t>, which the lawyer should confirm.</w:t>
      </w:r>
    </w:p>
    <w:p/>
    <w:p>
      <w:pPr>
        <w:pStyle w:val="Heading2"/>
      </w:pPr>
      <w:r>
        <w:t>Clause Block 4 — Breach, Late Performance and Claim Windows</w:t>
      </w:r>
    </w:p>
    <w:p>
      <w:pPr>
        <w:pStyle w:val="ListBullet"/>
      </w:pPr>
      <w:r>
        <w:rPr>
          <w:b/>
        </w:rPr>
        <w:t>Late payment / late delivery:</w:t>
      </w:r>
      <w:r>
        <w:t xml:space="preserve"> a per-day liquidated-damages rate (often expressed in per-mille, ‰, per day) with a </w:t>
      </w:r>
      <w:r>
        <w:rPr>
          <w:b/>
        </w:rPr>
        <w:t>maximum overdue period after which the contract may be terminated</w:t>
      </w:r>
      <w:r>
        <w:t>.</w:t>
      </w:r>
    </w:p>
    <w:p>
      <w:pPr>
        <w:pStyle w:val="ListBullet"/>
      </w:pPr>
      <w:r>
        <w:rPr>
          <w:b/>
        </w:rPr>
        <w:t>Quality claims:</w:t>
      </w:r>
      <w:r>
        <w:t xml:space="preserve"> fix an </w:t>
      </w:r>
      <w:r>
        <w:rPr>
          <w:b/>
        </w:rPr>
        <w:t>inspection period and a claim window</w:t>
      </w:r>
      <w:r>
        <w:t xml:space="preserve"> after arrival; without one, latent-defect disputes become he-said/she-said. Link the window to the PSI and to realistic detection of transit vs pre-existing damage.</w:t>
      </w:r>
    </w:p>
    <w:p>
      <w:pPr>
        <w:pStyle w:val="ListBullet"/>
      </w:pPr>
      <w:r>
        <w:t xml:space="preserve">Define </w:t>
      </w:r>
      <w:r>
        <w:rPr>
          <w:b/>
        </w:rPr>
        <w:t>remedy hierarchy</w:t>
      </w:r>
      <w:r>
        <w:t xml:space="preserve"> (rectify → replace → refund) and who bears return/shipping cost in each case.</w:t>
      </w:r>
    </w:p>
    <w:p/>
    <w:p>
      <w:pPr>
        <w:pStyle w:val="Heading2"/>
      </w:pPr>
      <w:r>
        <w:t>Clause Block 5 — Vehicle-Condition Disclosure (fraud prevention)</w:t>
      </w:r>
    </w:p>
    <w:p>
      <w:r>
        <w:t xml:space="preserve">Disclose material facts truthfully: </w:t>
      </w:r>
      <w:r>
        <w:rPr>
          <w:b/>
        </w:rPr>
        <w:t>version/configuration, software version, and any accident/flood history, odometer adjustment, or encumbrance/mortgage</w:t>
      </w:r>
      <w:r>
        <w:t>. Non-disclosure of these is a frequent source of fraud claims — and it interacts with the PSI, which should evidence the disclosed condition. For EVs, disclose battery grade/SOH-relevant information known to the seller.</w:t>
      </w:r>
    </w:p>
    <w:p/>
    <w:p>
      <w:pPr>
        <w:pStyle w:val="Heading2"/>
      </w:pPr>
      <w:r>
        <w:t>Clause Block 6 — Governing Law, Forum and Document Legalisation</w:t>
      </w:r>
    </w:p>
    <w:p>
      <w:pPr>
        <w:pStyle w:val="ListBullet"/>
      </w:pPr>
      <w:r>
        <w:t xml:space="preserve">Choose the </w:t>
      </w:r>
      <w:r>
        <w:rPr>
          <w:b/>
        </w:rPr>
        <w:t>governing law and forum</w:t>
      </w:r>
      <w:r>
        <w:t xml:space="preserve"> deliberately; for cross-border deals, </w:t>
      </w:r>
      <w:r>
        <w:rPr>
          <w:b/>
        </w:rPr>
        <w:t>international arbitration (e.g., ICC)</w:t>
      </w:r>
      <w:r>
        <w:t xml:space="preserve"> is often preferred for enforceability under the New York Convention over litigating in a foreign local court.</w:t>
      </w:r>
    </w:p>
    <w:p>
      <w:pPr>
        <w:pStyle w:val="ListBullet"/>
      </w:pPr>
      <w:r>
        <w:t xml:space="preserve">Documents that must be used overseas (powers of attorney, certificates) may need </w:t>
      </w:r>
      <w:r>
        <w:rPr>
          <w:b/>
        </w:rPr>
        <w:t>Hague Apostille certification</w:t>
      </w:r>
      <w:r>
        <w:t xml:space="preserve"> (or consular legalisation where the destination is not a Hague party) — state who arranges and pays.</w:t>
      </w:r>
    </w:p>
    <w:p>
      <w:pPr>
        <w:pStyle w:val="ListBullet"/>
      </w:pPr>
      <w:r>
        <w:t xml:space="preserve">Specify </w:t>
      </w:r>
      <w:r>
        <w:rPr>
          <w:b/>
        </w:rPr>
        <w:t>notice addresses, currency, force majeure (including port/shipping disruption), and the language that prevails</w:t>
      </w:r>
      <w:r>
        <w:t>.</w:t>
      </w:r>
    </w:p>
    <w:p/>
    <w:p>
      <w:pPr>
        <w:pStyle w:val="Heading2"/>
      </w:pPr>
      <w:r>
        <w:t>What This Guide Recommends You Never Leave Blank</w:t>
      </w:r>
    </w:p>
    <w:p>
      <w:pPr>
        <w:pStyle w:val="ListNumber"/>
      </w:pPr>
      <w:r>
        <w:rPr>
          <w:b/>
        </w:rPr>
        <w:t>VIN/configuration annex</w:t>
      </w:r>
      <w:r>
        <w:t xml:space="preserve"> attached to the contract (no "same as sample" ambiguity).</w:t>
      </w:r>
    </w:p>
    <w:p>
      <w:pPr>
        <w:pStyle w:val="ListNumber"/>
      </w:pPr>
      <w:r>
        <w:rPr>
          <w:b/>
        </w:rPr>
        <w:t>Incoterms term + version + named place</w:t>
      </w:r>
      <w:r>
        <w:t>, and the matching risk/insurance position.</w:t>
      </w:r>
    </w:p>
    <w:p>
      <w:pPr>
        <w:pStyle w:val="ListNumber"/>
      </w:pPr>
      <w:r>
        <w:rPr>
          <w:b/>
        </w:rPr>
        <w:t>Retention of title</w:t>
      </w:r>
      <w:r>
        <w:t xml:space="preserve"> until full payment, checked for destination enforceability.</w:t>
      </w:r>
    </w:p>
    <w:p>
      <w:pPr>
        <w:pStyle w:val="ListNumber"/>
      </w:pPr>
      <w:r>
        <w:rPr>
          <w:b/>
        </w:rPr>
        <w:t>Per-day LDs, termination trigger, and a defined quality-claim window</w:t>
      </w:r>
      <w:r>
        <w:t xml:space="preserve"> tied to PSI.</w:t>
      </w:r>
    </w:p>
    <w:p>
      <w:pPr>
        <w:pStyle w:val="ListNumber"/>
      </w:pPr>
      <w:r>
        <w:rPr>
          <w:b/>
        </w:rPr>
        <w:t>Governing law, arbitration forum, Apostille responsibility</w:t>
      </w:r>
      <w:r>
        <w:t>, and prevailing language.</w:t>
      </w:r>
    </w:p>
    <w:p/>
    <w:p>
      <w:pPr>
        <w:pStyle w:val="Heading2"/>
      </w:pPr>
      <w:r>
        <w:t>Frequently Asked Questions</w:t>
      </w:r>
    </w:p>
    <w:p>
      <w:r>
        <w:rPr>
          <w:b/>
        </w:rPr>
        <w:t>What must a vehicle sales contract contain under Chinese law?</w:t>
      </w:r>
      <w:r>
        <w:t xml:space="preserve"> PRC Civil Code Art 596 lists name, quantity, quality, price, performance time/place/method, packaging, inspection standard/method, settlement and language effectiveness — map each to the vehicle deal.</w:t>
      </w:r>
    </w:p>
    <w:p>
      <w:r>
        <w:rPr>
          <w:b/>
        </w:rPr>
        <w:t>When does risk pass to the buyer?</w:t>
      </w:r>
      <w:r>
        <w:t xml:space="preserve"> Per the agreed Incoterms term (state the version and place); without agreement, generally on delivery to the buyer or its nominated carrier.</w:t>
      </w:r>
    </w:p>
    <w:p>
      <w:r>
        <w:rPr>
          <w:b/>
        </w:rPr>
        <w:t>Can I keep ownership until I'm fully paid?</w:t>
      </w:r>
      <w:r>
        <w:t xml:space="preserve"> Yes, via a retention-of-title clause, subject to recognition under the governing/destination law.</w:t>
      </w:r>
    </w:p>
    <w:p>
      <w:r>
        <w:rPr>
          <w:b/>
        </w:rPr>
        <w:t>How should late payment be handled?</w:t>
      </w:r>
      <w:r>
        <w:t xml:space="preserve"> A per-day liquidated-damages rate plus a maximum overdue period that allows termination.</w:t>
      </w:r>
    </w:p>
    <w:p>
      <w:r>
        <w:rPr>
          <w:b/>
        </w:rPr>
        <w:t>Do overseas documents need legalisation?</w:t>
      </w:r>
      <w:r>
        <w:t xml:space="preserve"> Often an Apostille (Hague) or consular legalisation is required; state responsibility in the contract and verify the destination's status.</w:t>
      </w:r>
    </w:p>
    <w:p/>
    <w:p>
      <w:pPr>
        <w:pStyle w:val="Heading2"/>
      </w:pPr>
      <w:r>
        <w:t>Image Record</w:t>
      </w:r>
    </w:p>
    <w:p>
      <w:pPr>
        <w:pStyle w:val="ListBullet"/>
      </w:pPr>
      <w:r>
        <w:t>IMAGE_ASSET_PATH: none secured in repository</w:t>
      </w:r>
    </w:p>
    <w:p>
      <w:pPr>
        <w:pStyle w:val="ListBullet"/>
      </w:pPr>
      <w:r>
        <w:t>ORIGINAL_IMAGE_URL: not captured</w:t>
      </w:r>
    </w:p>
    <w:p>
      <w:pPr>
        <w:pStyle w:val="ListBullet"/>
      </w:pPr>
      <w:r>
        <w:t>SOURCE_PAGE: not captured</w:t>
      </w:r>
    </w:p>
    <w:p>
      <w:pPr>
        <w:pStyle w:val="ListBullet"/>
      </w:pPr>
      <w:r>
        <w:t>SOURCE_FILE_PAGE: not applicable — no candidate media file identified (no licence to assert)</w:t>
      </w:r>
    </w:p>
    <w:p>
      <w:pPr>
        <w:pStyle w:val="ListBullet"/>
      </w:pPr>
      <w:r>
        <w:t>RIGHTS_HOLDER: unconfirmed</w:t>
      </w:r>
    </w:p>
    <w:p>
      <w:pPr>
        <w:pStyle w:val="ListBullet"/>
      </w:pPr>
      <w:r>
        <w:t>LICENSE_OR_USAGE_BASIS: none secured — no third-party image may be published until rights are cleared</w:t>
      </w:r>
    </w:p>
    <w:p>
      <w:pPr>
        <w:pStyle w:val="ListBullet"/>
      </w:pPr>
      <w:r>
        <w:t>CHECKED_DATE: 2026-09-06</w:t>
      </w:r>
    </w:p>
    <w:p>
      <w:pPr>
        <w:pStyle w:val="ListBullet"/>
      </w:pPr>
      <w:r>
        <w:t>MODEL_TOPIC_MATCH: must match the exact model/version (or the guide topic) and reference market above</w:t>
      </w:r>
    </w:p>
    <w:p>
      <w:pPr>
        <w:pStyle w:val="ListBullet"/>
      </w:pPr>
      <w:r>
        <w:t>IMAGE_SCOPE_NOTE: match the exact model family/topic only; must not imply a specific trim/model-year, real VIN, in-person inspection or actual transaction</w:t>
      </w:r>
    </w:p>
    <w:p>
      <w:pPr>
        <w:pStyle w:val="ListBullet"/>
      </w:pPr>
      <w:r>
        <w:t>IMAGE_RIGHTS_STATUS: FAIL (no licensed asset captured; a placeholder or “retain old image” note is not accepted)</w:t>
      </w:r>
    </w:p>
    <w:p>
      <w:pPr>
        <w:pStyle w:val="ListBullet"/>
      </w:pPr>
      <w:r>
        <w:t>BLOCK_REASON: No reusable image could be secured: Wikimedia Commons/Flickr are unreachable from the research environment, stock libraries require authenticated API/licence access, and an OEM webpage image is NOT a commercial reuse grant; no AutoBridge-owned photo exists. Kept FAIL rather than asserted.</w:t>
      </w:r>
    </w:p>
    <w:p>
      <w:pPr>
        <w:pStyle w:val="ListBullet"/>
      </w:pPr>
      <w:r>
        <w:t>ALT by language:</w:t>
      </w:r>
    </w:p>
    <w:p>
      <w:pPr>
        <w:pStyle w:val="ListBullet"/>
      </w:pPr>
      <w:r>
        <w:rPr>
          <w:b/>
        </w:rPr>
        <w:t>EN</w:t>
      </w:r>
      <w:r>
        <w:t>: AutoBridge export-buyer reference — Vehicle export sales contract clauses, vehicle-export procurement guide</w:t>
      </w:r>
    </w:p>
    <w:p>
      <w:pPr>
        <w:pStyle w:val="ListBullet"/>
      </w:pPr>
      <w:r>
        <w:rPr>
          <w:b/>
        </w:rPr>
        <w:t>FR</w:t>
      </w:r>
      <w:r>
        <w:t>: Référence AutoBridge pour acheteurs export — Vehicle export sales contract clauses, guide d’achat à l’export automobile</w:t>
      </w:r>
    </w:p>
    <w:p>
      <w:pPr>
        <w:pStyle w:val="ListBullet"/>
      </w:pPr>
      <w:r>
        <w:rPr>
          <w:b/>
        </w:rPr>
        <w:t>DE</w:t>
      </w:r>
      <w:r>
        <w:t>: AutoBridge-Referenz für Exportkäufer — Vehicle export sales contract clauses, Leitfaden für Fahrzeugexport-Einkauf</w:t>
      </w:r>
    </w:p>
    <w:p>
      <w:pPr>
        <w:pStyle w:val="ListBullet"/>
      </w:pPr>
      <w:r>
        <w:rPr>
          <w:b/>
        </w:rPr>
        <w:t>ES</w:t>
      </w:r>
      <w:r>
        <w:t>: Referencia AutoBridge para compradores de exportación — Vehicle export sales contract clauses, guía de compras para exportación de vehículos</w:t>
      </w:r>
    </w:p>
    <w:p>
      <w:pPr>
        <w:pStyle w:val="ListBullet"/>
      </w:pPr>
      <w:r>
        <w:rPr>
          <w:b/>
        </w:rPr>
        <w:t>PT</w:t>
      </w:r>
      <w:r>
        <w:t>: Referência AutoBridge para compradores de exportação — Vehicle export sales contract clauses, guia de compras para exportação de veículos</w:t>
      </w:r>
    </w:p>
    <w:p>
      <w:pPr>
        <w:pStyle w:val="ListBullet"/>
      </w:pPr>
      <w:r>
        <w:rPr>
          <w:b/>
        </w:rPr>
        <w:t>JA</w:t>
      </w:r>
      <w:r>
        <w:t>: AutoBridge 輸出バイヤー向けリファレンス｜Vehicle export sales contract clauses, 自動車輸出 調達ガイド</w:t>
      </w:r>
    </w:p>
    <w:p>
      <w:pPr>
        <w:pStyle w:val="ListBullet"/>
      </w:pPr>
      <w:r>
        <w:rPr>
          <w:b/>
        </w:rPr>
        <w:t>KO</w:t>
      </w:r>
      <w:r>
        <w:t>: AutoBridge 수출 바이어 참고 자료｜Vehicle export sales contract clauses, 자동차 수출 조달 가이드</w:t>
      </w:r>
    </w:p>
    <w:p>
      <w:pPr>
        <w:pStyle w:val="ListBullet"/>
      </w:pPr>
      <w:r>
        <w:rPr>
          <w:b/>
        </w:rPr>
        <w:t>VI</w:t>
      </w:r>
      <w:r>
        <w:t>: Tài liệu tham khảo AutoBridge cho người mua xuất khẩu — Vehicle export sales contract clauses, hướng dẫn thu mua xuất khẩu xe</w:t>
      </w:r>
    </w:p>
    <w:p>
      <w:pPr>
        <w:pStyle w:val="ListBullet"/>
      </w:pPr>
      <w:r>
        <w:rPr>
          <w:b/>
        </w:rPr>
        <w:t>TH</w:t>
      </w:r>
      <w:r>
        <w:t>: เอกสารอ้างอิง AutoBridge สำหรับผู้ซื้อเพื่อการส่งออก — Vehicle export sales contract clauses, คู่มือจัดซื้อเพื่อการส่งออกยานยนต์</w:t>
      </w:r>
    </w:p>
    <w:p>
      <w:pPr>
        <w:pStyle w:val="ListBullet"/>
      </w:pPr>
      <w:r>
        <w:rPr>
          <w:b/>
        </w:rPr>
        <w:t>ID</w:t>
      </w:r>
      <w:r>
        <w:t>: Referensi AutoBridge untuk pembeli ekspor — Vehicle export sales contract clauses, panduan pengadaan ekspor kendaraan</w:t>
      </w:r>
    </w:p>
    <w:p>
      <w:pPr>
        <w:pStyle w:val="ListBullet"/>
      </w:pPr>
      <w:r>
        <w:rPr>
          <w:b/>
        </w:rPr>
        <w:t>AR</w:t>
      </w:r>
      <w:r>
        <w:t>: مرجع AutoBridge لمشتري التصدير — Vehicle export sales contract clauses, دليل مشتريات تصدير المركبات</w:t>
      </w:r>
    </w:p>
    <w:p>
      <w:pPr>
        <w:pStyle w:val="ListBullet"/>
      </w:pPr>
      <w:r>
        <w:rPr>
          <w:b/>
        </w:rPr>
        <w:t>ZH</w:t>
      </w:r>
      <w:r>
        <w:t>: AutoBridge 出口采购参考｜Vehicle export sales contract clauses, 汽车出口采购指南</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 title</w:t>
            </w:r>
          </w:p>
        </w:tc>
        <w:tc>
          <w:tcPr>
            <w:tcW w:type="dxa" w:w="1234"/>
          </w:tcPr>
          <w:p>
            <w:r>
              <w:t>Organization</w:t>
            </w:r>
          </w:p>
        </w:tc>
        <w:tc>
          <w:tcPr>
            <w:tcW w:type="dxa" w:w="1234"/>
          </w:tcPr>
          <w:p>
            <w:r>
              <w:t>Market</w:t>
            </w:r>
          </w:p>
        </w:tc>
        <w:tc>
          <w:tcPr>
            <w:tcW w:type="dxa" w:w="1234"/>
          </w:tcPr>
          <w:p>
            <w:r>
              <w:t>URL</w:t>
            </w:r>
          </w:p>
        </w:tc>
        <w:tc>
          <w:tcPr>
            <w:tcW w:type="dxa" w:w="1234"/>
          </w:tcPr>
          <w:p>
            <w:r>
              <w:t>Checked</w:t>
            </w:r>
          </w:p>
        </w:tc>
        <w:tc>
          <w:tcPr>
            <w:tcW w:type="dxa" w:w="1234"/>
          </w:tcPr>
          <w:p>
            <w:r>
              <w:t>Confidence</w:t>
            </w:r>
          </w:p>
        </w:tc>
        <w:tc>
          <w:tcPr>
            <w:tcW w:type="dxa" w:w="1234"/>
          </w:tcPr>
          <w:p>
            <w:r>
              <w:t>Supported facts</w:t>
            </w:r>
          </w:p>
        </w:tc>
      </w:tr>
      <w:tr>
        <w:tc>
          <w:tcPr>
            <w:tcW w:type="dxa" w:w="1234"/>
          </w:tcPr>
          <w:p>
            <w:r>
              <w:t>PRC Civil Code Art 596 sales-contract terms</w:t>
            </w:r>
          </w:p>
        </w:tc>
        <w:tc>
          <w:tcPr>
            <w:tcW w:type="dxa" w:w="1234"/>
          </w:tcPr>
          <w:p>
            <w:r>
              <w:t>FindLaw (legal portal)</w:t>
            </w:r>
          </w:p>
        </w:tc>
        <w:tc>
          <w:tcPr>
            <w:tcW w:type="dxa" w:w="1234"/>
          </w:tcPr>
          <w:p>
            <w:r>
              <w:t>CN</w:t>
            </w:r>
          </w:p>
        </w:tc>
        <w:tc>
          <w:tcPr>
            <w:tcW w:type="dxa" w:w="1234"/>
          </w:tcPr>
          <w:p>
            <w:r>
              <w:t>https://www.findlaw.cn/wenda/q_60484893.html</w:t>
            </w:r>
          </w:p>
        </w:tc>
        <w:tc>
          <w:tcPr>
            <w:tcW w:type="dxa" w:w="1234"/>
          </w:tcPr>
          <w:p>
            <w:r>
              <w:t>2026-09-03</w:t>
            </w:r>
          </w:p>
        </w:tc>
        <w:tc>
          <w:tcPr>
            <w:tcW w:type="dxa" w:w="1234"/>
          </w:tcPr>
          <w:p>
            <w:r>
              <w:t>CROSS_CHECKED (statute article cited via a secondary legal portal; not an official NPC source)</w:t>
            </w:r>
          </w:p>
        </w:tc>
        <w:tc>
          <w:tcPr>
            <w:tcW w:type="dxa" w:w="1234"/>
          </w:tcPr>
          <w:p>
            <w:r>
              <w:t>Essential contract contents</w:t>
            </w:r>
          </w:p>
        </w:tc>
      </w:tr>
      <w:tr>
        <w:tc>
          <w:tcPr>
            <w:tcW w:type="dxa" w:w="1234"/>
          </w:tcPr>
          <w:p>
            <w:r>
              <w:t>Export vehicle sales contract model (risk/title retention)</w:t>
            </w:r>
          </w:p>
        </w:tc>
        <w:tc>
          <w:tcPr>
            <w:tcW w:type="dxa" w:w="1234"/>
          </w:tcPr>
          <w:p>
            <w:r>
              <w:t>110ask legal</w:t>
            </w:r>
          </w:p>
        </w:tc>
        <w:tc>
          <w:tcPr>
            <w:tcW w:type="dxa" w:w="1234"/>
          </w:tcPr>
          <w:p>
            <w:r>
              <w:t>Global</w:t>
            </w:r>
          </w:p>
        </w:tc>
        <w:tc>
          <w:tcPr>
            <w:tcW w:type="dxa" w:w="1234"/>
          </w:tcPr>
          <w:p>
            <w:r>
              <w:t>https://m.110ask.com/fanben/601005122281423969.html</w:t>
            </w:r>
          </w:p>
        </w:tc>
        <w:tc>
          <w:tcPr>
            <w:tcW w:type="dxa" w:w="1234"/>
          </w:tcPr>
          <w:p>
            <w:r>
              <w:t>2026-09-03</w:t>
            </w:r>
          </w:p>
        </w:tc>
        <w:tc>
          <w:tcPr>
            <w:tcW w:type="dxa" w:w="1234"/>
          </w:tcPr>
          <w:p>
            <w:r>
              <w:t>CROSS_CHECKED</w:t>
            </w:r>
          </w:p>
        </w:tc>
        <w:tc>
          <w:tcPr>
            <w:tcW w:type="dxa" w:w="1234"/>
          </w:tcPr>
          <w:p>
            <w:r>
              <w:t>Risk transfer; retention of title; condition disclosure</w:t>
            </w:r>
          </w:p>
        </w:tc>
      </w:tr>
      <w:tr>
        <w:tc>
          <w:tcPr>
            <w:tcW w:type="dxa" w:w="1234"/>
          </w:tcPr>
          <w:p>
            <w:r>
              <w:t>Purchase-contract core clauses (breach/title/config list)</w:t>
            </w:r>
          </w:p>
        </w:tc>
        <w:tc>
          <w:tcPr>
            <w:tcW w:type="dxa" w:w="1234"/>
          </w:tcPr>
          <w:p>
            <w:r>
              <w:t>66Law</w:t>
            </w:r>
          </w:p>
        </w:tc>
        <w:tc>
          <w:tcPr>
            <w:tcW w:type="dxa" w:w="1234"/>
          </w:tcPr>
          <w:p>
            <w:r>
              <w:t>CN</w:t>
            </w:r>
          </w:p>
        </w:tc>
        <w:tc>
          <w:tcPr>
            <w:tcW w:type="dxa" w:w="1234"/>
          </w:tcPr>
          <w:p>
            <w:r>
              <w:t>https://m.66law.cn/question/56427049.aspx</w:t>
            </w:r>
          </w:p>
        </w:tc>
        <w:tc>
          <w:tcPr>
            <w:tcW w:type="dxa" w:w="1234"/>
          </w:tcPr>
          <w:p>
            <w:r>
              <w:t>2026-09-03</w:t>
            </w:r>
          </w:p>
        </w:tc>
        <w:tc>
          <w:tcPr>
            <w:tcW w:type="dxa" w:w="1234"/>
          </w:tcPr>
          <w:p>
            <w:r>
              <w:t>CROSS_CHECKED</w:t>
            </w:r>
          </w:p>
        </w:tc>
        <w:tc>
          <w:tcPr>
            <w:tcW w:type="dxa" w:w="1234"/>
          </w:tcPr>
          <w:p>
            <w:r>
              <w:t>LDs, claim window, configuration annex</w:t>
            </w:r>
          </w:p>
        </w:tc>
      </w:tr>
      <w:tr>
        <w:tc>
          <w:tcPr>
            <w:tcW w:type="dxa" w:w="1234"/>
          </w:tcPr>
          <w:p>
            <w:r>
              <w:t>Export contract Incoterms/disputes/Apostille</w:t>
            </w:r>
          </w:p>
        </w:tc>
        <w:tc>
          <w:tcPr>
            <w:tcW w:type="dxa" w:w="1234"/>
          </w:tcPr>
          <w:p>
            <w:r>
              <w:t>Freight-forwarder material</w:t>
            </w:r>
          </w:p>
        </w:tc>
        <w:tc>
          <w:tcPr>
            <w:tcW w:type="dxa" w:w="1234"/>
          </w:tcPr>
          <w:p>
            <w:r>
              <w:t>Global</w:t>
            </w:r>
          </w:p>
        </w:tc>
        <w:tc>
          <w:tcPr>
            <w:tcW w:type="dxa" w:w="1234"/>
          </w:tcPr>
          <w:p>
            <w:r>
              <w:t>https://m.11467.com/product/d43019461.htm</w:t>
            </w:r>
          </w:p>
        </w:tc>
        <w:tc>
          <w:tcPr>
            <w:tcW w:type="dxa" w:w="1234"/>
          </w:tcPr>
          <w:p>
            <w:r>
              <w:t>2026-09-03</w:t>
            </w:r>
          </w:p>
        </w:tc>
        <w:tc>
          <w:tcPr>
            <w:tcW w:type="dxa" w:w="1234"/>
          </w:tcPr>
          <w:p>
            <w:r>
              <w:t>SINGLE_SOURCE</w:t>
            </w:r>
          </w:p>
        </w:tc>
        <w:tc>
          <w:tcPr>
            <w:tcW w:type="dxa" w:w="1234"/>
          </w:tcPr>
          <w:p>
            <w:r>
              <w:t>Incoterms versioning, ICC arbitration, Apostille</w:t>
            </w:r>
          </w:p>
        </w:tc>
      </w:tr>
    </w:tbl>
    <w:p>
      <w:r>
        <w:t>*Scope note: Art 596 content is CROSS_CHECKED via a secondary legal portal only — VERIFIED requires the official PRC Civil Code (NPC/government) text, which was not captured; do not label it VERIFIED. Enforceability of title reservation, arbitration and Apostille depends on the chosen governing law and destination, and must be confirmed by qualified counsel. Contract models are structural references only.*</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《中华人民共和国民法典》第三编 合同（第五百九十五/五百九十六/五百九十七条逐字）</w:t>
            </w:r>
          </w:p>
        </w:tc>
        <w:tc>
          <w:tcPr>
            <w:tcW w:type="dxa" w:w="1234"/>
          </w:tcPr>
          <w:p>
            <w:r>
              <w:t>最高人民检察院 (Supreme People's Procuratorate) — offic</w:t>
            </w:r>
          </w:p>
        </w:tc>
        <w:tc>
          <w:tcPr>
            <w:tcW w:type="dxa" w:w="1234"/>
          </w:tcPr>
          <w:p>
            <w:r>
              <w:t>CN</w:t>
            </w:r>
          </w:p>
        </w:tc>
        <w:tc>
          <w:tcPr>
            <w:tcW w:type="dxa" w:w="1234"/>
          </w:tcPr>
          <w:p>
            <w:r>
              <w:t>https://www.spp.gov.cn/spp/ssmfdyflvdtpgz/202008/t20200831_478413.shtml</w:t>
            </w:r>
          </w:p>
        </w:tc>
        <w:tc>
          <w:tcPr>
            <w:tcW w:type="dxa" w:w="1234"/>
          </w:tcPr>
          <w:p>
            <w:r>
              <w:t>2026-09-04</w:t>
            </w:r>
          </w:p>
        </w:tc>
        <w:tc>
          <w:tcPr>
            <w:tcW w:type="dxa" w:w="1234"/>
          </w:tcPr>
          <w:p>
            <w:r>
              <w:t>VERIFIED</w:t>
            </w:r>
          </w:p>
        </w:tc>
        <w:tc>
          <w:tcPr>
            <w:tcW w:type="dxa" w:w="1234"/>
          </w:tcPr>
          <w:p>
            <w:r/>
          </w:p>
        </w:tc>
      </w:tr>
      <w:tr>
        <w:tc>
          <w:tcPr>
            <w:tcW w:type="dxa" w:w="1234"/>
          </w:tcPr>
          <w:p>
            <w:r>
              <w:t>中华人民共和国民法典 全文（政府门户转载）</w:t>
            </w:r>
          </w:p>
        </w:tc>
        <w:tc>
          <w:tcPr>
            <w:tcW w:type="dxa" w:w="1234"/>
          </w:tcPr>
          <w:p>
            <w:r>
              <w:t>云南省司法厅 (sft.yn.gov.cn) / 开封市人大 (kfsrd.henanrd.go</w:t>
            </w:r>
          </w:p>
        </w:tc>
        <w:tc>
          <w:tcPr>
            <w:tcW w:type="dxa" w:w="1234"/>
          </w:tcPr>
          <w:p>
            <w:r>
              <w:t>CN</w:t>
            </w:r>
          </w:p>
        </w:tc>
        <w:tc>
          <w:tcPr>
            <w:tcW w:type="dxa" w:w="1234"/>
          </w:tcPr>
          <w:p>
            <w:r>
              <w:t>https://sft.yn.gov.cn/pf/yunnan/PZhengCeFaGui/2020061631_2.shtml</w:t>
            </w:r>
          </w:p>
        </w:tc>
        <w:tc>
          <w:tcPr>
            <w:tcW w:type="dxa" w:w="1234"/>
          </w:tcPr>
          <w:p>
            <w:r>
              <w:t>2026-09-04</w:t>
            </w:r>
          </w:p>
        </w:tc>
        <w:tc>
          <w:tcPr>
            <w:tcW w:type="dxa" w:w="1234"/>
          </w:tcPr>
          <w:p>
            <w:r>
              <w:t>VERIFIED</w:t>
            </w:r>
          </w:p>
        </w:tc>
        <w:tc>
          <w:tcPr>
            <w:tcW w:type="dxa" w:w="1234"/>
          </w:tcPr>
          <w:p>
            <w:r/>
          </w:p>
        </w:tc>
      </w:tr>
    </w:tbl>
    <w:p/>
    <w:p>
      <w:pPr>
        <w:pStyle w:val="Heading2"/>
      </w:pPr>
      <w:r>
        <w:t>Editorial Review</w:t>
      </w:r>
    </w:p>
    <w:p>
      <w:pPr>
        <w:pStyle w:val="ListBullet"/>
      </w:pPr>
      <w:r>
        <w:rPr>
          <w:b/>
        </w:rPr>
        <w:t>Author / reviewer</w:t>
      </w:r>
      <w:r>
        <w:t>: [AutoBridge Export Editorial Team](/authors/) · method per our [Editorial Policy](/editorial-policy/)</w:t>
      </w:r>
    </w:p>
    <w:p>
      <w:pPr>
        <w:pStyle w:val="ListBullet"/>
      </w:pPr>
      <w:r>
        <w:rPr>
          <w:b/>
        </w:rPr>
        <w:t>Last reviewed</w:t>
      </w:r>
      <w:r>
        <w:t>: 2026-09-05</w:t>
      </w:r>
    </w:p>
    <w:p>
      <w:pPr>
        <w:pStyle w:val="ListBullet"/>
      </w:pPr>
      <w:r>
        <w:rPr>
          <w:b/>
        </w:rPr>
        <w:t>Reference market / scope</w:t>
      </w:r>
      <w:r>
        <w:t>: Global contract structure (PRC statute identified; enforceability jurisdiction-specific)</w:t>
      </w:r>
    </w:p>
    <w:p>
      <w:pPr>
        <w:pStyle w:val="ListBullet"/>
      </w:pPr>
      <w:r>
        <w:rPr>
          <w:b/>
        </w:rPr>
        <w:t>Verification method</w:t>
      </w:r>
      <w:r>
        <w:t>: Statute + legal-practice synthesis; counsel-review caveat stated; no jurisdiction-specific legal conclusion overreached</w:t>
      </w:r>
    </w:p>
    <w:p>
      <w:pPr>
        <w:pStyle w:val="ListBullet"/>
      </w:pPr>
      <w:r>
        <w:rPr>
          <w:b/>
        </w:rPr>
        <w:t>Editorial standard</w:t>
      </w:r>
      <w:r>
        <w:t>: Researched and written from the sources listed above (desk research; no first-hand driving, teardown or import is claimed). Source confidence is shown per row; any point we cannot independently confirm is presented as a verification item rather than asserted as fact.</w:t>
      </w:r>
    </w:p>
    <w:p>
      <w:r>
        <w:t>#AutoBridge #SalesContract #PaymentTerms #ExportProcurement #DisputeClause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