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China-Side Vehicle Export Licence and Customs Documents: the Order an Exporter Must Follow</w:t>
      </w:r>
    </w:p>
    <w:p>
      <w:pPr>
        <w:pStyle w:val="Heading1"/>
      </w:pPr>
      <w:r>
        <w:t>SEO Metadata</w:t>
      </w:r>
    </w:p>
    <w:p>
      <w:pPr>
        <w:pStyle w:val="ListBullet"/>
      </w:pPr>
      <w:r>
        <w:rPr>
          <w:b/>
        </w:rPr>
        <w:t>SEO Title</w:t>
      </w:r>
      <w:r>
        <w:t>: China Vehicle Export Licence &amp; Customs Documents Guide (2026)</w:t>
      </w:r>
    </w:p>
    <w:p>
      <w:pPr>
        <w:pStyle w:val="ListBullet"/>
      </w:pPr>
      <w:r>
        <w:rPr>
          <w:b/>
        </w:rPr>
        <w:t>Meta Description</w:t>
      </w:r>
      <w:r>
        <w:t>: How Chinese-side vehicle export qualification works — annual MOFCOM licence filing, BEV passenger-car export licensing, the used-car 180-day rule, and the full export document chain before customs declaration.</w:t>
      </w:r>
    </w:p>
    <w:p>
      <w:pPr>
        <w:pStyle w:val="ListBullet"/>
      </w:pPr>
      <w:r>
        <w:rPr>
          <w:b/>
        </w:rPr>
        <w:t>Suggested URL</w:t>
      </w:r>
      <w:r>
        <w:t>: /guides/china-vehicle-export-license-customs-documents/</w:t>
      </w:r>
    </w:p>
    <w:p>
      <w:pPr>
        <w:pStyle w:val="ListBullet"/>
      </w:pPr>
      <w:r>
        <w:rPr>
          <w:b/>
        </w:rPr>
        <w:t>H1</w:t>
      </w:r>
      <w:r>
        <w:t>: China-Side Vehicle Export Licence, Qualification and Customs Document Chain</w:t>
      </w:r>
    </w:p>
    <w:p>
      <w:pPr>
        <w:pStyle w:val="ListBullet"/>
      </w:pPr>
      <w:r>
        <w:rPr>
          <w:b/>
        </w:rPr>
        <w:t>Primary Keyword</w:t>
      </w:r>
      <w:r>
        <w:t>: china vehicle export license customs declaration documents</w:t>
      </w:r>
    </w:p>
    <w:p>
      <w:pPr>
        <w:pStyle w:val="ListBullet"/>
      </w:pPr>
      <w:r>
        <w:rPr>
          <w:b/>
        </w:rPr>
        <w:t>Secondary Search Terms</w:t>
      </w:r>
      <w:r>
        <w:t>: China used car export licence, BEV export license China, MOFCOM vehicle export filing, vehicle export document chain, 180 day used car export rule</w:t>
      </w:r>
    </w:p>
    <w:p>
      <w:pPr>
        <w:pStyle w:val="ListBullet"/>
      </w:pPr>
      <w:r>
        <w:rPr>
          <w:b/>
        </w:rPr>
        <w:t>Internal Link Suggestions</w:t>
      </w:r>
      <w:r>
        <w:t>: /guides/vehicle-coc-type-approval-dossier/ ; /guides/ev-shipping-un3171-imdg-compliance/ ; /guides/vehicle-export-sales-contract-clauses/</w:t>
      </w:r>
    </w:p>
    <w:p>
      <w:pPr>
        <w:pStyle w:val="ListBullet"/>
      </w:pPr>
      <w:r>
        <w:rPr>
          <w:b/>
        </w:rPr>
        <w:t>Image Suggestions</w:t>
      </w:r>
      <w:r>
        <w:t>: licence→document→customs flow diagram; document-chain checklist; annual filing timeline</w:t>
      </w:r>
    </w:p>
    <w:p>
      <w:pPr>
        <w:pStyle w:val="ListBullet"/>
      </w:pPr>
      <w:r>
        <w:rPr>
          <w:b/>
        </w:rPr>
        <w:t>ALT Suggestions</w:t>
      </w:r>
      <w:r>
        <w:t>: "China vehicle export licence to customs flow"; "vehicle export document chain checklist"</w:t>
      </w:r>
    </w:p>
    <w:p>
      <w:pPr>
        <w:pStyle w:val="Heading1"/>
      </w:pPr>
      <w:r>
        <w:t>Why This Page Exists</w:t>
      </w:r>
    </w:p>
    <w:p>
      <w:r>
        <w:t xml:space="preserve">Most failed first shipments fail on the </w:t>
      </w:r>
      <w:r>
        <w:rPr>
          <w:b/>
        </w:rPr>
        <w:t>China side</w:t>
      </w:r>
      <w:r>
        <w:t>, not the destination: the exporter lacks the right qualification category, the licence does not cover the product, or the document chain is inconsistent at declaration. This guide sets out the order to follow. It is grounded in Chinese government documents (MOFCOM, the State Council policy library, MIIT); where a rule is revised annually or time-sensitive, it is flagged rather than treated as permanent.</w:t>
      </w:r>
    </w:p>
    <w:p>
      <w:pPr>
        <w:pStyle w:val="Heading1"/>
      </w:pPr>
      <w:r>
        <w:t>Step 1 — Confirm Which Licence Regime Your Vehicle Falls Under</w:t>
      </w:r>
    </w:p>
    <w:p>
      <w:r>
        <w:t>China does not use one blanket "car export permit". Distinguish the tracks:</w:t>
      </w:r>
    </w:p>
    <w:p>
      <w:pPr>
        <w:pStyle w:val="ListBullet"/>
      </w:pPr>
      <w:r>
        <w:rPr>
          <w:b/>
        </w:rPr>
        <w:t>New-energy / BEV passenger cars:</w:t>
      </w:r>
      <w:r>
        <w:t xml:space="preserve"> vehicles propelled solely by a drive motor and carrying a VIN (reference HS 8703801090) are under </w:t>
      </w:r>
      <w:r>
        <w:rPr>
          <w:b/>
        </w:rPr>
        <w:t>export-licence administration</w:t>
      </w:r>
      <w:r>
        <w:t xml:space="preserve"> jointly overseen by MOFCOM, MIIT, GAC and SAMR (TIME_SENSITIVE — confirm the current notice and exact HS code against the year's tariff schedule).</w:t>
      </w:r>
    </w:p>
    <w:p>
      <w:pPr>
        <w:pStyle w:val="ListBullet"/>
      </w:pPr>
      <w:r>
        <w:rPr>
          <w:b/>
        </w:rPr>
        <w:t>Used vehicles:</w:t>
      </w:r>
      <w:r>
        <w:t xml:space="preserve"> the State operates an </w:t>
      </w:r>
      <w:r>
        <w:rPr>
          <w:b/>
        </w:rPr>
        <w:t>export-licence regime administered by MOFCOM</w:t>
      </w:r>
      <w:r>
        <w:t>, and licence details must match the motor-vehicle registration certificate (VERIFIED, four-ministry notice).</w:t>
      </w:r>
    </w:p>
    <w:p>
      <w:pPr>
        <w:pStyle w:val="ListBullet"/>
      </w:pPr>
      <w:r>
        <w:rPr>
          <w:b/>
        </w:rPr>
        <w:t>Conventional new vehicles / motorcycles:</w:t>
      </w:r>
      <w:r>
        <w:t xml:space="preserve"> handled through the </w:t>
      </w:r>
      <w:r>
        <w:rPr>
          <w:b/>
        </w:rPr>
        <w:t>annual export-licence filing</w:t>
      </w:r>
      <w:r>
        <w:t xml:space="preserve"> described next.</w:t>
      </w:r>
    </w:p>
    <w:p>
      <w:r>
        <w:t>The exact commodity code and its regulatory condition must be confirmed against the current Import &amp; Export Tariff and the latest MOFCOM announcement — do not reuse last year's HS assumption.</w:t>
      </w:r>
    </w:p>
    <w:p>
      <w:pPr>
        <w:pStyle w:val="Heading1"/>
      </w:pPr>
      <w:r>
        <w:t>Step 2 — The Annual Licence Filing (qualification before volume)</w:t>
      </w:r>
    </w:p>
    <w:p>
      <w:r>
        <w:t xml:space="preserve">MOFCOM issues an </w:t>
      </w:r>
      <w:r>
        <w:rPr>
          <w:b/>
        </w:rPr>
        <w:t>annual notice arranging automobile and motorcycle export-licence applications</w:t>
      </w:r>
      <w:r>
        <w:t xml:space="preserve">. Enterprises file for qualification; </w:t>
      </w:r>
      <w:r>
        <w:rPr>
          <w:b/>
        </w:rPr>
        <w:t>modified/upfit vehicles must upload performance evidence such as export customs declarations and chassis purchase invoices</w:t>
      </w:r>
      <w:r>
        <w:t>. Practical implication for a trader: qualification is not instant — align the annual filing window with your shipping plan, and keep chassis/upfit paperwork because it is evidence of real export performance.</w:t>
      </w:r>
    </w:p>
    <w:p>
      <w:pPr>
        <w:pStyle w:val="Heading1"/>
      </w:pPr>
      <w:r>
        <w:t>Step 3 — The Used-Car 180-Day Rule (a hard, dated requirement)</w:t>
      </w:r>
    </w:p>
    <w:p>
      <w:r>
        <w:t xml:space="preserve">Per the four-ministry notice on strengthening used-car export management (VERIFIED): </w:t>
      </w:r>
      <w:r>
        <w:rPr>
          <w:b/>
        </w:rPr>
        <w:t>from 1 January 2026, where a vehicle being applied for export was registered no more than 180 days earlier, the applicant must supplement the OEM's After-Sales Maintenance Service Confirmation; otherwise the licence will not be issued.</w:t>
      </w:r>
    </w:p>
    <w:p>
      <w:pPr>
        <w:pStyle w:val="ListBullet"/>
      </w:pPr>
      <w:r>
        <w:t>This is a China-side, dated requirement — quote it with the date and re-verify the notice before relying on it.</w:t>
      </w:r>
    </w:p>
    <w:p>
      <w:pPr>
        <w:pStyle w:val="ListBullet"/>
      </w:pPr>
      <w:r>
        <w:t>The licence information must be consistent with the vehicle's registration certificate; mismatches block issuance.</w:t>
      </w:r>
    </w:p>
    <w:p>
      <w:pPr>
        <w:pStyle w:val="Heading1"/>
      </w:pPr>
      <w:r>
        <w:t>Step 4 — Build the Export Document Chain in a Consistent Order</w:t>
      </w:r>
    </w:p>
    <w:p>
      <w:r>
        <w:t>A clean declaration rests on mutually consistent documents:</w:t>
      </w:r>
    </w:p>
    <w:p>
      <w:pPr>
        <w:pStyle w:val="ListNumber"/>
      </w:pPr>
      <w:r>
        <w:rPr>
          <w:b/>
        </w:rPr>
        <w:t>Export licence</w:t>
      </w:r>
      <w:r>
        <w:t xml:space="preserve"> covering the exact product/HS;</w:t>
      </w:r>
    </w:p>
    <w:p>
      <w:pPr>
        <w:pStyle w:val="ListNumber"/>
      </w:pPr>
      <w:r>
        <w:rPr>
          <w:b/>
        </w:rPr>
        <w:t>Customs export declaration form</w:t>
      </w:r>
      <w:r>
        <w:t>;</w:t>
      </w:r>
    </w:p>
    <w:p>
      <w:pPr>
        <w:pStyle w:val="ListNumber"/>
      </w:pPr>
      <w:r>
        <w:rPr>
          <w:b/>
        </w:rPr>
        <w:t>Commercial invoice</w:t>
      </w:r>
      <w:r>
        <w:t>;</w:t>
      </w:r>
    </w:p>
    <w:p>
      <w:pPr>
        <w:pStyle w:val="ListNumber"/>
      </w:pPr>
      <w:r>
        <w:rPr>
          <w:b/>
        </w:rPr>
        <w:t>Packing list</w:t>
      </w:r>
      <w:r>
        <w:t>;</w:t>
      </w:r>
    </w:p>
    <w:p>
      <w:pPr>
        <w:pStyle w:val="ListNumber"/>
      </w:pPr>
      <w:r>
        <w:rPr>
          <w:b/>
        </w:rPr>
        <w:t>Certificate of origin</w:t>
      </w:r>
      <w:r>
        <w:t>;</w:t>
      </w:r>
    </w:p>
    <w:p>
      <w:pPr>
        <w:pStyle w:val="ListNumber"/>
      </w:pPr>
      <w:r>
        <w:rPr>
          <w:b/>
        </w:rPr>
        <w:t>Third-party inspection report</w:t>
      </w:r>
      <w:r>
        <w:t xml:space="preserve"> where required;</w:t>
      </w:r>
    </w:p>
    <w:p>
      <w:pPr>
        <w:pStyle w:val="ListNumber"/>
      </w:pPr>
      <w:r>
        <w:rPr>
          <w:b/>
        </w:rPr>
        <w:t>For EVs/hybrids:</w:t>
      </w:r>
      <w:r>
        <w:t xml:space="preserve"> battery </w:t>
      </w:r>
      <w:r>
        <w:rPr>
          <w:b/>
        </w:rPr>
        <w:t>UN38.3 test report and MSDS</w:t>
      </w:r>
      <w:r>
        <w:t>, plus the ocean dangerous-goods paperwork. Under IMDG Amendment 42-24 (mandatory from 2026-01-01) a lithium-ion-battery-powered vehicle is classified UN3556, not the legacy generic UN3171; apply documentation/SOC details per the current EV shipping Fact Sheet and the carrier (see the EV ocean-compliance guide).</w:t>
      </w:r>
    </w:p>
    <w:p>
      <w:r>
        <w:t>Names, VINs, quantities, values and HS codes must agree across invoice, packing list, B/L and licence — customs and the destination broker both reject inconsistent sets.</w:t>
      </w:r>
    </w:p>
    <w:p>
      <w:pPr>
        <w:pStyle w:val="Heading1"/>
      </w:pPr>
      <w:r>
        <w:t>Step 5 — Enterprise/Product Admission Behind the Paperwork</w:t>
      </w:r>
    </w:p>
    <w:p>
      <w:r>
        <w:t xml:space="preserve">MIIT Order No. 50 divides road-motor-vehicle manufacturers and products into </w:t>
      </w:r>
      <w:r>
        <w:rPr>
          <w:b/>
        </w:rPr>
        <w:t>six admission categories: passenger cars, goods vehicles, buses, special-purpose vehicles, motorcycles and trailers</w:t>
      </w:r>
      <w:r>
        <w:t xml:space="preserve">. Why an exporter cares: the manufacturer's admission scope determines which products can legitimately be declared. For special-purpose/upfit vehicles, confirm the base chassis admission </w:t>
      </w:r>
      <w:r>
        <w:rPr>
          <w:b/>
        </w:rPr>
        <w:t>and</w:t>
      </w:r>
      <w:r>
        <w:t xml:space="preserve"> the superstructure entity's qualification.</w:t>
      </w:r>
    </w:p>
    <w:p>
      <w:pPr>
        <w:pStyle w:val="Heading1"/>
      </w:pPr>
      <w:r>
        <w:t>What This Guide Recommends You Check Before Booking</w:t>
      </w:r>
    </w:p>
    <w:p>
      <w:pPr>
        <w:pStyle w:val="ListBullet"/>
      </w:pPr>
      <w:r>
        <w:t xml:space="preserve">The </w:t>
      </w:r>
      <w:r>
        <w:rPr>
          <w:b/>
        </w:rPr>
        <w:t>licence regime and current HS code</w:t>
      </w:r>
      <w:r>
        <w:t xml:space="preserve"> for the exact vehicle (BEV / used / conventional / special).</w:t>
      </w:r>
    </w:p>
    <w:p>
      <w:pPr>
        <w:pStyle w:val="ListBullet"/>
      </w:pPr>
      <w:r>
        <w:rPr>
          <w:b/>
        </w:rPr>
        <w:t>Annual filing status</w:t>
      </w:r>
      <w:r>
        <w:t xml:space="preserve"> and, for upfits, the chassis-invoice/declaration evidence.</w:t>
      </w:r>
    </w:p>
    <w:p>
      <w:pPr>
        <w:pStyle w:val="ListBullet"/>
      </w:pPr>
      <w:r>
        <w:t xml:space="preserve">For near-new used units, the </w:t>
      </w:r>
      <w:r>
        <w:rPr>
          <w:b/>
        </w:rPr>
        <w:t>≤180-day OEM after-sales confirmation</w:t>
      </w:r>
      <w:r>
        <w:t xml:space="preserve"> before applying.</w:t>
      </w:r>
    </w:p>
    <w:p>
      <w:pPr>
        <w:pStyle w:val="ListBullet"/>
      </w:pPr>
      <w:r>
        <w:t xml:space="preserve">A </w:t>
      </w:r>
      <w:r>
        <w:rPr>
          <w:b/>
        </w:rPr>
        <w:t>cross-document consistency pass</w:t>
      </w:r>
      <w:r>
        <w:t xml:space="preserve"> (VIN, value, HS, parties) before declaration.</w:t>
      </w:r>
    </w:p>
    <w:p>
      <w:pPr>
        <w:pStyle w:val="ListBullet"/>
      </w:pPr>
      <w:r>
        <w:rPr>
          <w:b/>
        </w:rPr>
        <w:t>EV battery documents</w:t>
      </w:r>
      <w:r>
        <w:t xml:space="preserve"> early, since UN38.3/MSDS lead times gate booking.</w:t>
      </w:r>
    </w:p>
    <w:p>
      <w:pPr>
        <w:pStyle w:val="Heading1"/>
      </w:pPr>
      <w:r>
        <w:t>Frequently Asked Questions</w:t>
      </w:r>
    </w:p>
    <w:p>
      <w:r>
        <w:rPr>
          <w:b/>
        </w:rPr>
        <w:t>Does every car exporter need the same permit?</w:t>
      </w:r>
      <w:r>
        <w:t xml:space="preserve"> No — BEV passenger cars, used cars and conventional vehicles sit under different tracks; confirm the regime and HS code for the product. </w:t>
      </w:r>
      <w:r>
        <w:rPr>
          <w:b/>
        </w:rPr>
        <w:t>What is the 180-day used-car rule?</w:t>
      </w:r>
      <w:r>
        <w:t xml:space="preserve"> From 1 Jan 2026, a vehicle registered ≤180 days before the export-licence application needs the OEM's after-sales maintenance confirmation or the licence will not be issued (per the four-ministry notice; re-verify before use). </w:t>
      </w:r>
      <w:r>
        <w:rPr>
          <w:b/>
        </w:rPr>
        <w:t>Which documents form the export chain?</w:t>
      </w:r>
      <w:r>
        <w:t xml:space="preserve"> Licence, customs declaration, commercial invoice, packing list, certificate of origin, inspection report where required, plus UN38.3/MSDS for electrified vehicles. </w:t>
      </w:r>
      <w:r>
        <w:rPr>
          <w:b/>
        </w:rPr>
        <w:t>Why does the manufacturer's admission category matter to a trader?</w:t>
      </w:r>
      <w:r>
        <w:t xml:space="preserve"> MIIT Order 50 splits vehicles into six admission categories; the product must sit within the manufacturer's admitted scope to be declared cleanly. </w:t>
      </w:r>
      <w:r>
        <w:rPr>
          <w:b/>
        </w:rPr>
        <w:t>Where do HS codes come from?</w:t>
      </w:r>
      <w:r>
        <w:t xml:space="preserve"> Confirm the exact code and regulatory condition against the current tariff schedule and latest MOFCOM notice — don't carry over an old code.</w:t>
      </w:r>
    </w:p>
    <w:p>
      <w:pPr>
        <w:pStyle w:val="Heading1"/>
      </w:pPr>
      <w:r>
        <w:t>Sources &amp; Verification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EAF0F6"/>
          </w:tcPr>
          <w:p>
            <w:r>
              <w:rPr>
                <w:b/>
                <w:sz w:val="20"/>
              </w:rPr>
            </w:r>
            <w:r>
              <w:rPr>
                <w:b/>
                <w:sz w:val="20"/>
              </w:rPr>
              <w:t>Source title</w:t>
            </w:r>
          </w:p>
        </w:tc>
        <w:tc>
          <w:tcPr>
            <w:tcW w:type="dxa" w:w="1234"/>
            <w:shd w:val="clear" w:fill="EAF0F6"/>
          </w:tcPr>
          <w:p>
            <w:r>
              <w:rPr>
                <w:b/>
                <w:sz w:val="20"/>
              </w:rPr>
            </w:r>
            <w:r>
              <w:rPr>
                <w:b/>
                <w:sz w:val="20"/>
              </w:rPr>
              <w:t>Organization</w:t>
            </w:r>
          </w:p>
        </w:tc>
        <w:tc>
          <w:tcPr>
            <w:tcW w:type="dxa" w:w="1234"/>
            <w:shd w:val="clear" w:fill="EAF0F6"/>
          </w:tcPr>
          <w:p>
            <w:r>
              <w:rPr>
                <w:b/>
                <w:sz w:val="20"/>
              </w:rPr>
            </w:r>
            <w:r>
              <w:rPr>
                <w:b/>
                <w:sz w:val="20"/>
              </w:rPr>
              <w:t>Market</w:t>
            </w:r>
          </w:p>
        </w:tc>
        <w:tc>
          <w:tcPr>
            <w:tcW w:type="dxa" w:w="1234"/>
            <w:shd w:val="clear" w:fill="EAF0F6"/>
          </w:tcPr>
          <w:p>
            <w:r>
              <w:rPr>
                <w:b/>
                <w:sz w:val="20"/>
              </w:rPr>
            </w:r>
            <w:r>
              <w:rPr>
                <w:b/>
                <w:sz w:val="20"/>
              </w:rPr>
              <w:t>URL</w:t>
            </w:r>
          </w:p>
        </w:tc>
        <w:tc>
          <w:tcPr>
            <w:tcW w:type="dxa" w:w="1234"/>
            <w:shd w:val="clear" w:fill="EAF0F6"/>
          </w:tcPr>
          <w:p>
            <w:r>
              <w:rPr>
                <w:b/>
                <w:sz w:val="20"/>
              </w:rPr>
            </w:r>
            <w:r>
              <w:rPr>
                <w:b/>
                <w:sz w:val="20"/>
              </w:rPr>
              <w:t>Checked</w:t>
            </w:r>
          </w:p>
        </w:tc>
        <w:tc>
          <w:tcPr>
            <w:tcW w:type="dxa" w:w="1234"/>
            <w:shd w:val="clear" w:fill="EAF0F6"/>
          </w:tcPr>
          <w:p>
            <w:r>
              <w:rPr>
                <w:b/>
                <w:sz w:val="20"/>
              </w:rPr>
            </w:r>
            <w:r>
              <w:rPr>
                <w:b/>
                <w:sz w:val="20"/>
              </w:rPr>
              <w:t>Confidence</w:t>
            </w:r>
          </w:p>
        </w:tc>
        <w:tc>
          <w:tcPr>
            <w:tcW w:type="dxa" w:w="1234"/>
            <w:shd w:val="clear" w:fill="EAF0F6"/>
          </w:tcPr>
          <w:p>
            <w:r>
              <w:rPr>
                <w:b/>
                <w:sz w:val="20"/>
              </w:rPr>
            </w:r>
            <w:r>
              <w:rPr>
                <w:b/>
                <w:sz w:val="20"/>
              </w:rPr>
              <w:t>Supported facts</w:t>
            </w:r>
          </w:p>
        </w:tc>
      </w:tr>
      <w:tr>
        <w:tc>
          <w:tcPr>
            <w:tcW w:type="dxa" w:w="1234"/>
          </w:tcPr>
          <w:p>
            <w:r>
              <w:rPr>
                <w:sz w:val="20"/>
              </w:rPr>
            </w:r>
            <w:r>
              <w:rPr>
                <w:sz w:val="20"/>
              </w:rPr>
              <w:t>2026 Automobile &amp; Motorcycle Export Licence Filing Notice</w:t>
            </w:r>
          </w:p>
        </w:tc>
        <w:tc>
          <w:tcPr>
            <w:tcW w:type="dxa" w:w="1234"/>
          </w:tcPr>
          <w:p>
            <w:r>
              <w:rPr>
                <w:sz w:val="20"/>
              </w:rPr>
            </w:r>
            <w:r>
              <w:rPr>
                <w:sz w:val="20"/>
              </w:rPr>
              <w:t>Ministry of Commerce (MOFCOM)</w:t>
            </w:r>
          </w:p>
        </w:tc>
        <w:tc>
          <w:tcPr>
            <w:tcW w:type="dxa" w:w="1234"/>
          </w:tcPr>
          <w:p>
            <w:r>
              <w:rPr>
                <w:sz w:val="20"/>
              </w:rPr>
            </w:r>
            <w:r>
              <w:rPr>
                <w:sz w:val="20"/>
              </w:rPr>
              <w:t>CN (export side)</w:t>
            </w:r>
          </w:p>
        </w:tc>
        <w:tc>
          <w:tcPr>
            <w:tcW w:type="dxa" w:w="1234"/>
          </w:tcPr>
          <w:p>
            <w:r>
              <w:rPr>
                <w:sz w:val="20"/>
              </w:rPr>
            </w:r>
            <w:r>
              <w:rPr>
                <w:sz w:val="20"/>
              </w:rPr>
              <w:t>https://www.mofcom.gov.cn/zcfb/zc/art/2025/art_1b1313c9c6da4a56874364b39e39c57d.html</w:t>
            </w:r>
          </w:p>
        </w:tc>
        <w:tc>
          <w:tcPr>
            <w:tcW w:type="dxa" w:w="1234"/>
          </w:tcPr>
          <w:p>
            <w:r>
              <w:rPr>
                <w:sz w:val="20"/>
              </w:rPr>
            </w:r>
            <w:r>
              <w:rPr>
                <w:sz w:val="20"/>
              </w:rPr>
              <w:t>2026-09-03</w:t>
            </w:r>
          </w:p>
        </w:tc>
        <w:tc>
          <w:tcPr>
            <w:tcW w:type="dxa" w:w="1234"/>
          </w:tcPr>
          <w:p>
            <w:r>
              <w:rPr>
                <w:sz w:val="20"/>
              </w:rPr>
            </w:r>
            <w:r>
              <w:rPr>
                <w:sz w:val="20"/>
              </w:rPr>
              <w:t>VERIFIED</w:t>
            </w:r>
          </w:p>
        </w:tc>
        <w:tc>
          <w:tcPr>
            <w:tcW w:type="dxa" w:w="1234"/>
          </w:tcPr>
          <w:p>
            <w:r>
              <w:rPr>
                <w:sz w:val="20"/>
              </w:rPr>
            </w:r>
            <w:r>
              <w:rPr>
                <w:sz w:val="20"/>
              </w:rPr>
              <w:t>Annual filing; upfit performance evidence</w:t>
            </w:r>
          </w:p>
        </w:tc>
      </w:tr>
      <w:tr>
        <w:tc>
          <w:tcPr>
            <w:tcW w:type="dxa" w:w="1234"/>
          </w:tcPr>
          <w:p>
            <w:r>
              <w:rPr>
                <w:sz w:val="20"/>
              </w:rPr>
            </w:r>
            <w:r>
              <w:rPr>
                <w:sz w:val="20"/>
              </w:rPr>
              <w:t>Notice on Further Strengthening Used-Car Export Management</w:t>
            </w:r>
          </w:p>
        </w:tc>
        <w:tc>
          <w:tcPr>
            <w:tcW w:type="dxa" w:w="1234"/>
          </w:tcPr>
          <w:p>
            <w:r>
              <w:rPr>
                <w:sz w:val="20"/>
              </w:rPr>
            </w:r>
            <w:r>
              <w:rPr>
                <w:sz w:val="20"/>
              </w:rPr>
              <w:t>State Council policy library (four ministries)</w:t>
            </w:r>
          </w:p>
        </w:tc>
        <w:tc>
          <w:tcPr>
            <w:tcW w:type="dxa" w:w="1234"/>
          </w:tcPr>
          <w:p>
            <w:r>
              <w:rPr>
                <w:sz w:val="20"/>
              </w:rPr>
            </w:r>
            <w:r>
              <w:rPr>
                <w:sz w:val="20"/>
              </w:rPr>
              <w:t>CN (export side)</w:t>
            </w:r>
          </w:p>
        </w:tc>
        <w:tc>
          <w:tcPr>
            <w:tcW w:type="dxa" w:w="1234"/>
          </w:tcPr>
          <w:p>
            <w:r>
              <w:rPr>
                <w:sz w:val="20"/>
              </w:rPr>
            </w:r>
            <w:r>
              <w:rPr>
                <w:sz w:val="20"/>
              </w:rPr>
              <w:t>https://www.gov.cn/zhengce/zhengceku/202511/content_7048644.htm</w:t>
            </w:r>
          </w:p>
        </w:tc>
        <w:tc>
          <w:tcPr>
            <w:tcW w:type="dxa" w:w="1234"/>
          </w:tcPr>
          <w:p>
            <w:r>
              <w:rPr>
                <w:sz w:val="20"/>
              </w:rPr>
            </w:r>
            <w:r>
              <w:rPr>
                <w:sz w:val="20"/>
              </w:rPr>
              <w:t>2026-09-03</w:t>
            </w:r>
          </w:p>
        </w:tc>
        <w:tc>
          <w:tcPr>
            <w:tcW w:type="dxa" w:w="1234"/>
          </w:tcPr>
          <w:p>
            <w:r>
              <w:rPr>
                <w:sz w:val="20"/>
              </w:rPr>
            </w:r>
            <w:r>
              <w:rPr>
                <w:sz w:val="20"/>
              </w:rPr>
              <w:t>VERIFIED</w:t>
            </w:r>
          </w:p>
        </w:tc>
        <w:tc>
          <w:tcPr>
            <w:tcW w:type="dxa" w:w="1234"/>
          </w:tcPr>
          <w:p>
            <w:r>
              <w:rPr>
                <w:sz w:val="20"/>
              </w:rPr>
            </w:r>
            <w:r>
              <w:rPr>
                <w:sz w:val="20"/>
              </w:rPr>
              <w:t>Used-car licence regime; 180-day rule from 2026-01-01</w:t>
            </w:r>
          </w:p>
        </w:tc>
      </w:tr>
      <w:tr>
        <w:tc>
          <w:tcPr>
            <w:tcW w:type="dxa" w:w="1234"/>
          </w:tcPr>
          <w:p>
            <w:r>
              <w:rPr>
                <w:sz w:val="20"/>
              </w:rPr>
            </w:r>
            <w:r>
              <w:rPr>
                <w:sz w:val="20"/>
              </w:rPr>
              <w:t>BEV passenger-car export-licence administration</w:t>
            </w:r>
          </w:p>
        </w:tc>
        <w:tc>
          <w:tcPr>
            <w:tcW w:type="dxa" w:w="1234"/>
          </w:tcPr>
          <w:p>
            <w:r>
              <w:rPr>
                <w:sz w:val="20"/>
              </w:rPr>
            </w:r>
            <w:r>
              <w:rPr>
                <w:sz w:val="20"/>
              </w:rPr>
              <w:t>National Business Daily / Toutiao</w:t>
            </w:r>
          </w:p>
        </w:tc>
        <w:tc>
          <w:tcPr>
            <w:tcW w:type="dxa" w:w="1234"/>
          </w:tcPr>
          <w:p>
            <w:r>
              <w:rPr>
                <w:sz w:val="20"/>
              </w:rPr>
            </w:r>
            <w:r>
              <w:rPr>
                <w:sz w:val="20"/>
              </w:rPr>
              <w:t>CN (export side)</w:t>
            </w:r>
          </w:p>
        </w:tc>
        <w:tc>
          <w:tcPr>
            <w:tcW w:type="dxa" w:w="1234"/>
          </w:tcPr>
          <w:p>
            <w:r>
              <w:rPr>
                <w:sz w:val="20"/>
              </w:rPr>
            </w:r>
            <w:r>
              <w:rPr>
                <w:sz w:val="20"/>
              </w:rPr>
              <w:t>http://m.toutiao.com/group/7554336546682323496/</w:t>
            </w:r>
          </w:p>
        </w:tc>
        <w:tc>
          <w:tcPr>
            <w:tcW w:type="dxa" w:w="1234"/>
          </w:tcPr>
          <w:p>
            <w:r>
              <w:rPr>
                <w:sz w:val="20"/>
              </w:rPr>
            </w:r>
            <w:r>
              <w:rPr>
                <w:sz w:val="20"/>
              </w:rPr>
              <w:t>2026-09-03</w:t>
            </w:r>
          </w:p>
        </w:tc>
        <w:tc>
          <w:tcPr>
            <w:tcW w:type="dxa" w:w="1234"/>
          </w:tcPr>
          <w:p>
            <w:r>
              <w:rPr>
                <w:sz w:val="20"/>
              </w:rPr>
            </w:r>
            <w:r>
              <w:rPr>
                <w:sz w:val="20"/>
              </w:rPr>
              <w:t>TIME_SENSITIVE</w:t>
            </w:r>
          </w:p>
        </w:tc>
        <w:tc>
          <w:tcPr>
            <w:tcW w:type="dxa" w:w="1234"/>
          </w:tcPr>
          <w:p>
            <w:r>
              <w:rPr>
                <w:sz w:val="20"/>
              </w:rPr>
            </w:r>
            <w:r>
              <w:rPr>
                <w:sz w:val="20"/>
              </w:rPr>
              <w:t>BEV licence track, reference HS</w:t>
            </w:r>
          </w:p>
        </w:tc>
      </w:tr>
      <w:tr>
        <w:tc>
          <w:tcPr>
            <w:tcW w:type="dxa" w:w="1234"/>
          </w:tcPr>
          <w:p>
            <w:r>
              <w:rPr>
                <w:sz w:val="20"/>
              </w:rPr>
            </w:r>
            <w:r>
              <w:rPr>
                <w:sz w:val="20"/>
              </w:rPr>
              <w:t>MIIT Order No. 50 — Manufacturer &amp; Product Admission</w:t>
            </w:r>
          </w:p>
        </w:tc>
        <w:tc>
          <w:tcPr>
            <w:tcW w:type="dxa" w:w="1234"/>
          </w:tcPr>
          <w:p>
            <w:r>
              <w:rPr>
                <w:sz w:val="20"/>
              </w:rPr>
            </w:r>
            <w:r>
              <w:rPr>
                <w:sz w:val="20"/>
              </w:rPr>
              <w:t>Ministry of Industry and IT</w:t>
            </w:r>
          </w:p>
        </w:tc>
        <w:tc>
          <w:tcPr>
            <w:tcW w:type="dxa" w:w="1234"/>
          </w:tcPr>
          <w:p>
            <w:r>
              <w:rPr>
                <w:sz w:val="20"/>
              </w:rPr>
            </w:r>
            <w:r>
              <w:rPr>
                <w:sz w:val="20"/>
              </w:rPr>
              <w:t>CN (export side)</w:t>
            </w:r>
          </w:p>
        </w:tc>
        <w:tc>
          <w:tcPr>
            <w:tcW w:type="dxa" w:w="1234"/>
          </w:tcPr>
          <w:p>
            <w:r>
              <w:rPr>
                <w:sz w:val="20"/>
              </w:rPr>
            </w:r>
            <w:r>
              <w:rPr>
                <w:sz w:val="20"/>
              </w:rPr>
              <w:t>https://www.miit.gov.cn/zcfg/jdcjxl/art/2018/art_72a4ad7ff2304a8c83199eac43f276fe.html</w:t>
            </w:r>
          </w:p>
        </w:tc>
        <w:tc>
          <w:tcPr>
            <w:tcW w:type="dxa" w:w="1234"/>
          </w:tcPr>
          <w:p>
            <w:r>
              <w:rPr>
                <w:sz w:val="20"/>
              </w:rPr>
            </w:r>
            <w:r>
              <w:rPr>
                <w:sz w:val="20"/>
              </w:rPr>
              <w:t>2026-09-03</w:t>
            </w:r>
          </w:p>
        </w:tc>
        <w:tc>
          <w:tcPr>
            <w:tcW w:type="dxa" w:w="1234"/>
          </w:tcPr>
          <w:p>
            <w:r>
              <w:rPr>
                <w:sz w:val="20"/>
              </w:rPr>
            </w:r>
            <w:r>
              <w:rPr>
                <w:sz w:val="20"/>
              </w:rPr>
              <w:t>VERIFIED</w:t>
            </w:r>
          </w:p>
        </w:tc>
        <w:tc>
          <w:tcPr>
            <w:tcW w:type="dxa" w:w="1234"/>
          </w:tcPr>
          <w:p>
            <w:r>
              <w:rPr>
                <w:sz w:val="20"/>
              </w:rPr>
            </w:r>
            <w:r>
              <w:rPr>
                <w:sz w:val="20"/>
              </w:rPr>
              <w:t>Six admission categories; document-chain basis</w:t>
            </w:r>
          </w:p>
        </w:tc>
      </w:tr>
    </w:tbl>
    <w:p>
      <w:r>
        <w:rPr>
          <w:i/>
        </w:rPr>
        <w:t>Scope note: official sources here cover the China export side only. Exact HS codes, system-operation details and any annual revision must be confirmed against the current tariff and MOFCOM notices; destination-side rules are out of scope.</w:t>
      </w:r>
    </w:p>
    <w:p>
      <w:pPr>
        <w:pStyle w:val="Heading1"/>
      </w:pPr>
      <w:r>
        <w:t>Editorial Review</w:t>
      </w:r>
    </w:p>
    <w:p>
      <w:pPr>
        <w:pStyle w:val="ListBullet"/>
      </w:pPr>
      <w:r>
        <w:rPr>
          <w:b/>
        </w:rPr>
        <w:t>Author / reviewer</w:t>
      </w:r>
      <w:r>
        <w:t>: [AutoBridge Export Sourcing Team](/authors/) · method per our [Editorial Policy](/editorial-policy/)</w:t>
      </w:r>
    </w:p>
    <w:p>
      <w:pPr>
        <w:pStyle w:val="ListBullet"/>
      </w:pPr>
      <w:r>
        <w:rPr>
          <w:b/>
        </w:rPr>
        <w:t>Last reviewed</w:t>
      </w:r>
      <w:r>
        <w:t>: 2026-09-03</w:t>
      </w:r>
    </w:p>
    <w:p>
      <w:pPr>
        <w:pStyle w:val="ListBullet"/>
      </w:pPr>
      <w:r>
        <w:rPr>
          <w:b/>
        </w:rPr>
        <w:t>Reference market / scope</w:t>
      </w:r>
      <w:r>
        <w:t>: China export side</w:t>
      </w:r>
    </w:p>
    <w:p>
      <w:pPr>
        <w:pStyle w:val="ListBullet"/>
      </w:pPr>
      <w:r>
        <w:rPr>
          <w:b/>
        </w:rPr>
        <w:t>Verification method</w:t>
      </w:r>
      <w:r>
        <w:t>: Chinese primary-source review (MOFCOM/State Council/MIIT); time-sensitive items flagged, not fixed</w:t>
      </w:r>
    </w:p>
    <w:p>
      <w:pPr>
        <w:pStyle w:val="ListBullet"/>
      </w:pPr>
      <w:r>
        <w:rPr>
          <w:b/>
        </w:rPr>
        <w:t>Quality gates</w:t>
      </w:r>
      <w:r>
        <w:t>: EDITORIAL_QA_PASS=PASS · FACT_SOURCE_PASS=PASS · SEO_PASS=PASS · CODEX_REVIEW_PASS=PENDING (independent Codex review) · PUBLISH_APPROVED=FALSE until Codex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