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Exporting Vehicles by RoRo from Chinese Ports: Booking and Terminal Handover Flow</w:t>
      </w:r>
    </w:p>
    <w:p>
      <w:pPr>
        <w:pStyle w:val="Heading2"/>
      </w:pPr>
      <w:r>
        <w:t>SEO Metadata</w:t>
      </w:r>
    </w:p>
    <w:p>
      <w:pPr>
        <w:pStyle w:val="ListBullet"/>
      </w:pPr>
      <w:r>
        <w:rPr>
          <w:b/>
        </w:rPr>
        <w:t>SEO Title</w:t>
      </w:r>
      <w:r>
        <w:t>: China Port RoRo Vehicle Export: Booking &amp; Terminal Handover Guide</w:t>
      </w:r>
    </w:p>
    <w:p>
      <w:pPr>
        <w:pStyle w:val="ListBullet"/>
      </w:pPr>
      <w:r>
        <w:rPr>
          <w:b/>
        </w:rPr>
        <w:t>Meta Description</w:t>
      </w:r>
      <w:r>
        <w:t>: How to book RoRo space for export vehicles from China, prepare documents, deliver units to the terminal, and manage the handover and loading responsibility without assuming carrier-specific rules.</w:t>
      </w:r>
    </w:p>
    <w:p>
      <w:pPr>
        <w:pStyle w:val="ListBullet"/>
      </w:pPr>
      <w:r>
        <w:rPr>
          <w:b/>
        </w:rPr>
        <w:t>H1</w:t>
      </w:r>
      <w:r>
        <w:t>: Exporting Vehicles by RoRo from Chinese Ports: Booking and Terminal Handover Flow</w:t>
      </w:r>
    </w:p>
    <w:p>
      <w:pPr>
        <w:pStyle w:val="ListBullet"/>
      </w:pPr>
      <w:r>
        <w:rPr>
          <w:b/>
        </w:rPr>
        <w:t>Primary Keyword</w:t>
      </w:r>
      <w:r>
        <w:t>: china port roro vehicle export booking terminal handover</w:t>
      </w:r>
    </w:p>
    <w:p>
      <w:pPr>
        <w:pStyle w:val="ListBullet"/>
      </w:pPr>
      <w:r>
        <w:rPr>
          <w:b/>
        </w:rPr>
        <w:t>Secondary Search Terms</w:t>
      </w:r>
      <w:r>
        <w:t>: RoRo vehicle export China; roll-on roll-off booking; vehicle terminal handover; RoRo dock receipt; car carrier booking China</w:t>
      </w:r>
    </w:p>
    <w:p>
      <w:pPr>
        <w:pStyle w:val="ListBullet"/>
      </w:pPr>
      <w:r>
        <w:rPr>
          <w:b/>
        </w:rPr>
        <w:t>Suggested URL</w:t>
      </w:r>
      <w:r>
        <w:t>: /guides/china-port-roro-vehicle-export-booking-terminal-handover/</w:t>
      </w:r>
    </w:p>
    <w:p>
      <w:pPr>
        <w:pStyle w:val="ListBullet"/>
      </w:pPr>
      <w:r>
        <w:rPr>
          <w:b/>
        </w:rPr>
        <w:t>Search Intent</w:t>
      </w:r>
      <w:r>
        <w:t>: 出口车辆如何向滚装船公司/代理订舱、按码头要求送车交接并装船，各环节责任与单据</w:t>
      </w:r>
    </w:p>
    <w:p>
      <w:pPr>
        <w:pStyle w:val="ListBullet"/>
      </w:pPr>
      <w:r>
        <w:rPr>
          <w:b/>
        </w:rPr>
        <w:t>Internal Link Suggestions</w:t>
      </w:r>
      <w:r>
        <w:t>: /guides/china-port-container-vs-roro-choice/, /guides/ev-shipping-un3556-imdg-compliance/, /guides/ippc-ispm15-wood-packaging-export/</w:t>
      </w:r>
    </w:p>
    <w:p>
      <w:pPr>
        <w:pStyle w:val="ListBullet"/>
      </w:pPr>
      <w:r>
        <w:rPr>
          <w:b/>
        </w:rPr>
        <w:t>Image Suggestion</w:t>
      </w:r>
      <w:r>
        <w:t>: New export vehicles lined up on a Chinese RoRo terminal apron beside a car carrier ramp</w:t>
      </w:r>
    </w:p>
    <w:p>
      <w:pPr>
        <w:pStyle w:val="ListBullet"/>
      </w:pPr>
      <w:r>
        <w:rPr>
          <w:b/>
        </w:rPr>
        <w:t>ALT Suggestion</w:t>
      </w:r>
      <w:r>
        <w:t>: Rows of new vehicles waiting on a RoRo terminal beside an open car-carrier stern ramp</w:t>
      </w:r>
    </w:p>
    <w:p>
      <w:pPr>
        <w:pStyle w:val="ListBullet"/>
      </w:pPr>
      <w:r>
        <w:rPr>
          <w:b/>
        </w:rPr>
        <w:t>Schema Scope</w:t>
      </w:r>
      <w:r>
        <w:t>: Article (no Product/Offer/Price/Review/Rating)</w:t>
      </w:r>
    </w:p>
    <w:p/>
    <w:p>
      <w:r>
        <w:t>Roll-on/roll-off (RoRo) lets a drivable vehicle move under its own power on and off a car carrier, avoiding crane lifting. It is the natural mode for batches of new or used cars, pickups and light commercials that can be driven safely. The risk in RoRo is not the concept but the handover: between your depot, the terminal, the carrier and the vessel there are several points where condition, documents and responsibility change. This page maps that sequence for a Chinese export port and flags what must be confirmed per voyage rather than assumed.</w:t>
      </w:r>
    </w:p>
    <w:p/>
    <w:p>
      <w:pPr>
        <w:pStyle w:val="Heading2"/>
      </w:pPr>
      <w:r>
        <w:t>The end-to-end RoRo sequence</w:t>
      </w:r>
    </w:p>
    <w:p/>
    <w:p>
      <w:pPr>
        <w:pStyle w:val="ListNumber"/>
      </w:pPr>
      <w:r>
        <w:rPr>
          <w:b/>
        </w:rPr>
        <w:t>Booking</w:t>
      </w:r>
      <w:r>
        <w:t xml:space="preserve"> — space is reserved with the car-carrier line or its booking agent for a specific vessel/voyage and destination; the carrier confirms acceptance (drivable units, dimensions, any EV/alternative-fuel conditions).</w:t>
      </w:r>
    </w:p>
    <w:p>
      <w:pPr>
        <w:pStyle w:val="ListNumber"/>
      </w:pPr>
      <w:r>
        <w:rPr>
          <w:b/>
        </w:rPr>
        <w:t>Documentation &amp; customs</w:t>
      </w:r>
      <w:r>
        <w:t xml:space="preserve"> — export declaration, licence/quota paperwork, booking note and the unit list (VIN, make/model, dimensions, condition) are completed so the vehicle is customs-released before the terminal cut-off.</w:t>
      </w:r>
    </w:p>
    <w:p>
      <w:pPr>
        <w:pStyle w:val="ListNumber"/>
      </w:pPr>
      <w:r>
        <w:rPr>
          <w:b/>
        </w:rPr>
        <w:t>Delivery to terminal</w:t>
      </w:r>
      <w:r>
        <w:t xml:space="preserve"> — units are driven or trucked into the terminal within the agreed delivery window and enter the terminal yard.</w:t>
      </w:r>
    </w:p>
    <w:p>
      <w:pPr>
        <w:pStyle w:val="ListNumber"/>
      </w:pPr>
      <w:r>
        <w:rPr>
          <w:b/>
        </w:rPr>
        <w:t>Receipt &amp; joint inspection</w:t>
      </w:r>
      <w:r>
        <w:t xml:space="preserve"> — at handover, the receiving party visually checks each unit (exterior, interior, mileage/fuel, accessories) against the condition record; discrepancies are noted before the vehicle enters the yard.</w:t>
      </w:r>
    </w:p>
    <w:p>
      <w:pPr>
        <w:pStyle w:val="ListNumber"/>
      </w:pPr>
      <w:r>
        <w:rPr>
          <w:b/>
        </w:rPr>
        <w:t>Stowage planning &amp; loading</w:t>
      </w:r>
      <w:r>
        <w:t xml:space="preserve"> — terminal tally and the vessel plan assign deck position; drivers move vehicles aboard and secure them under the carrier's lashing plan.</w:t>
      </w:r>
    </w:p>
    <w:p>
      <w:pPr>
        <w:pStyle w:val="ListNumber"/>
      </w:pPr>
      <w:r>
        <w:rPr>
          <w:b/>
        </w:rPr>
        <w:t>B/L and sailing</w:t>
      </w:r>
      <w:r>
        <w:t xml:space="preserve"> — the bill of lading (RoRo waybill/B/L) is issued against the received units; the vessel sails and the discharge-port party takes over.</w:t>
      </w:r>
    </w:p>
    <w:p/>
    <w:p>
      <w:pPr>
        <w:pStyle w:val="Heading2"/>
      </w:pPr>
      <w:r>
        <w:t>Where liability actually transfers</w:t>
      </w:r>
    </w:p>
    <w:p/>
    <w:p>
      <w:r>
        <w:t xml:space="preserve">China's port cargo-operation rules require the port operator and the cargo receiver to inspect on delivery and, where damage or shortage is found, draw up a cargo record on the spot; if the receiver raises no quantity/quality objection at handover, delivery is presumed made unless later evidence proves otherwise. In practice this makes the </w:t>
      </w:r>
      <w:r>
        <w:rPr>
          <w:b/>
        </w:rPr>
        <w:t>joint condition inspection at terminal receipt</w:t>
      </w:r>
      <w:r>
        <w:t xml:space="preserve"> the exporter's most important defensive moment: a scratch not recorded before the vehicle enters the yard is very hard to attribute afterward.</w:t>
      </w:r>
    </w:p>
    <w:p/>
    <w:p>
      <w:r>
        <w:t>The industry operating standard for finished-vehicle multimodal RoRo (JT/T 1194) sets out tally, lashing-check and handover procedures — including checking that lashings are tight and that wheel chocks are placed/removed without touching the body beyond tyres. It defines a professional process; it is not a universal substitute for a named carrier's voyage instructions.</w:t>
      </w:r>
    </w:p>
    <w:p/>
    <w:p>
      <w:pPr>
        <w:pStyle w:val="Heading2"/>
      </w:pPr>
      <w:r>
        <w:t>Carrier-specific items you cannot standardise</w:t>
      </w:r>
    </w:p>
    <w:p/>
    <w:p>
      <w:r>
        <w:t>&gt; Fuel level on handover, tyre pressure, lashing points and tie-down method/angle, orientation on deck, acceptable state of charge for electrified vehicles, booking cut-off and terminal charges all vary by port, terminal and voyage, and several major RoRo carriers publish their own acceptance terms. Confirm each in writing for the actual booking; this guide deliberately states no universal numeric values.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Who sets it</w:t>
            </w:r>
          </w:p>
        </w:tc>
        <w:tc>
          <w:tcPr>
            <w:tcW w:type="dxa" w:w="2880"/>
          </w:tcPr>
          <w:p>
            <w:r>
              <w:t>What to obtain</w:t>
            </w:r>
          </w:p>
        </w:tc>
      </w:tr>
      <w:tr>
        <w:tc>
          <w:tcPr>
            <w:tcW w:type="dxa" w:w="2880"/>
          </w:tcPr>
          <w:p>
            <w:r>
              <w:t>Acceptance / drivability &amp; EV conditions</w:t>
            </w:r>
          </w:p>
        </w:tc>
        <w:tc>
          <w:tcPr>
            <w:tcW w:type="dxa" w:w="2880"/>
          </w:tcPr>
          <w:p>
            <w:r>
              <w:t>Carrier</w:t>
            </w:r>
          </w:p>
        </w:tc>
        <w:tc>
          <w:tcPr>
            <w:tcW w:type="dxa" w:w="2880"/>
          </w:tcPr>
          <w:p>
            <w:r>
              <w:t>Written booking confirmation and any DG/electrified-vehicle requirements</w:t>
            </w:r>
          </w:p>
        </w:tc>
      </w:tr>
      <w:tr>
        <w:tc>
          <w:tcPr>
            <w:tcW w:type="dxa" w:w="2880"/>
          </w:tcPr>
          <w:p>
            <w:r>
              <w:t>Delivery window &amp; cut-off</w:t>
            </w:r>
          </w:p>
        </w:tc>
        <w:tc>
          <w:tcPr>
            <w:tcW w:type="dxa" w:w="2880"/>
          </w:tcPr>
          <w:p>
            <w:r>
              <w:t>Terminal / agent per voyage</w:t>
            </w:r>
          </w:p>
        </w:tc>
        <w:tc>
          <w:tcPr>
            <w:tcW w:type="dxa" w:w="2880"/>
          </w:tcPr>
          <w:p>
            <w:r>
              <w:t>Yard-gate delivery instructions and documentation deadline</w:t>
            </w:r>
          </w:p>
        </w:tc>
      </w:tr>
      <w:tr>
        <w:tc>
          <w:tcPr>
            <w:tcW w:type="dxa" w:w="2880"/>
          </w:tcPr>
          <w:p>
            <w:r>
              <w:t>Lashing &amp; stowage</w:t>
            </w:r>
          </w:p>
        </w:tc>
        <w:tc>
          <w:tcPr>
            <w:tcW w:type="dxa" w:w="2880"/>
          </w:tcPr>
          <w:p>
            <w:r>
              <w:t>Carrier/vessel</w:t>
            </w:r>
          </w:p>
        </w:tc>
        <w:tc>
          <w:tcPr>
            <w:tcW w:type="dxa" w:w="2880"/>
          </w:tcPr>
          <w:p>
            <w:r>
              <w:t>Carrier lashing plan; do not impose your own tie-down spec</w:t>
            </w:r>
          </w:p>
        </w:tc>
      </w:tr>
      <w:tr>
        <w:tc>
          <w:tcPr>
            <w:tcW w:type="dxa" w:w="2880"/>
          </w:tcPr>
          <w:p>
            <w:r>
              <w:t>Terminal &amp; freight charges</w:t>
            </w:r>
          </w:p>
        </w:tc>
        <w:tc>
          <w:tcPr>
            <w:tcW w:type="dxa" w:w="2880"/>
          </w:tcPr>
          <w:p>
            <w:r>
              <w:t>Terminal / carrier, time-sensitive</w:t>
            </w:r>
          </w:p>
        </w:tc>
        <w:tc>
          <w:tcPr>
            <w:tcW w:type="dxa" w:w="2880"/>
          </w:tcPr>
          <w:p>
            <w:r>
              <w:t>Current quotation for the voyage; no assumed figures</w:t>
            </w:r>
          </w:p>
        </w:tc>
      </w:tr>
      <w:tr>
        <w:tc>
          <w:tcPr>
            <w:tcW w:type="dxa" w:w="2880"/>
          </w:tcPr>
          <w:p>
            <w:r>
              <w:t>Condition at receipt</w:t>
            </w:r>
          </w:p>
        </w:tc>
        <w:tc>
          <w:tcPr>
            <w:tcW w:type="dxa" w:w="2880"/>
          </w:tcPr>
          <w:p>
            <w:r>
              <w:t>Terminal tally + exporter</w:t>
            </w:r>
          </w:p>
        </w:tc>
        <w:tc>
          <w:tcPr>
            <w:tcW w:type="dxa" w:w="2880"/>
          </w:tcPr>
          <w:p>
            <w:r>
              <w:t>Signed joint inspection / dock-receipt record per VIN</w:t>
            </w:r>
          </w:p>
        </w:tc>
      </w:tr>
    </w:tbl>
    <w:p/>
    <w:p>
      <w:pPr>
        <w:pStyle w:val="Heading2"/>
      </w:pPr>
      <w:r>
        <w:t>A defensible pre-delivery checklist (recommended practice)</w:t>
      </w:r>
    </w:p>
    <w:p/>
    <w:p>
      <w:pPr>
        <w:pStyle w:val="ListBullet"/>
      </w:pPr>
      <w:r>
        <w:t>Photograph/video each unit (four sides, interior, odometer/fuel display, VIN plate) before the gate.</w:t>
      </w:r>
    </w:p>
    <w:p>
      <w:pPr>
        <w:pStyle w:val="ListBullet"/>
      </w:pPr>
      <w:r>
        <w:t>Match the VIN list to booking and customs documents one-to-one; a VIN error can void export paperwork.</w:t>
      </w:r>
    </w:p>
    <w:p>
      <w:pPr>
        <w:pStyle w:val="ListBullet"/>
      </w:pPr>
      <w:r>
        <w:t>Remove personal items and loose accessories that move in transit; record what stays with the vehicle.</w:t>
      </w:r>
    </w:p>
    <w:p>
      <w:pPr>
        <w:pStyle w:val="ListBullet"/>
      </w:pPr>
      <w:r>
        <w:t>Carry the release documents so the gate accepts the unit; arrive inside the delivery window.</w:t>
      </w:r>
    </w:p>
    <w:p>
      <w:pPr>
        <w:pStyle w:val="ListBullet"/>
      </w:pPr>
      <w:r>
        <w:t>Stay for, or have the agent report, the joint receipt inspection and keep the signed condition record.</w:t>
      </w:r>
    </w:p>
    <w:p>
      <w:pPr>
        <w:pStyle w:val="ListBullet"/>
      </w:pPr>
      <w:r>
        <w:t>For electrified units, follow the carrier's stated state-of-charge and dangerous-goods requirements (see the IMDG/UN classification guide) rather than a generic percentage.</w:t>
      </w:r>
    </w:p>
    <w:p/>
    <w:p>
      <w:pPr>
        <w:pStyle w:val="Heading2"/>
      </w:pPr>
      <w:r>
        <w:t>RoRo versus the alternatives</w:t>
      </w:r>
    </w:p>
    <w:p/>
    <w:p>
      <w:r>
        <w:t>Containerised shipping suits non-drivable, high-value or mixed-cargo units and gives enclosure, but introduces loading/securing work and dimension limits. RoRo suits drivable batches and port-to-port movement on car-carrier schedules. Choice depends on the unit, destination port infrastructure, schedule and the carrier's current acceptance — compare both for the actual route before committing, and keep freight costs as quoted figures rather than assumptions.</w:t>
      </w:r>
    </w:p>
    <w:p/>
    <w:p>
      <w:pPr>
        <w:pStyle w:val="Heading2"/>
      </w:pPr>
      <w:r>
        <w:t>FAQ</w:t>
      </w:r>
    </w:p>
    <w:p>
      <w:r>
        <w:rPr>
          <w:b/>
        </w:rPr>
        <w:t>Does RoRo require the vehicle to be drivable?</w:t>
      </w:r>
    </w:p>
    <w:p/>
    <w:p>
      <w:r>
        <w:t>Generally yes — RoRo moves units under their own power; non-drivable or damaged units may need special handling or container shipping, subject to carrier acceptance.</w:t>
      </w:r>
    </w:p>
    <w:p/>
    <w:p>
      <w:r>
        <w:rPr>
          <w:b/>
        </w:rPr>
        <w:t>Is there a standard fuel level for handover?</w:t>
      </w:r>
    </w:p>
    <w:p/>
    <w:p>
      <w:r>
        <w:t>No universal figure — fuel-on-handover is set by the carrier/terminal for the voyage; confirm it in writing.</w:t>
      </w:r>
    </w:p>
    <w:p/>
    <w:p>
      <w:r>
        <w:rPr>
          <w:b/>
        </w:rPr>
        <w:t>Who is responsible for a scratch found at destination?</w:t>
      </w:r>
    </w:p>
    <w:p/>
    <w:p>
      <w:r>
        <w:t>Liability hinges on the condition record at terminal receipt and the carrier terms; a complete joint inspection at handover is the exporter’s key evidence.</w:t>
      </w:r>
    </w:p>
    <w:p/>
    <w:p>
      <w:r>
        <w:rPr>
          <w:b/>
        </w:rPr>
        <w:t>Are lashing rules the same for every car carrier?</w:t>
      </w:r>
    </w:p>
    <w:p/>
    <w:p>
      <w:r>
        <w:t>No — lashing and stowage are carrier/vessel-specific; follow the named carrier plan, not a generic standard.</w:t>
      </w:r>
    </w:p>
    <w:p/>
    <w:p>
      <w:r>
        <w:rPr>
          <w:b/>
        </w:rPr>
        <w:t>Can EVs ship by RoRo normally?</w:t>
      </w:r>
    </w:p>
    <w:p/>
    <w:p>
      <w:r>
        <w:t>Subject to the carrier’s electrified-vehicle and dangerous-goods requirements and the correct UN/IMDG classification; confirm before booking.</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温州首条汽车滚装航线开通、直达东南亚（2026-09-06，港口滚装航线现实运行佐证）</w:t>
            </w:r>
          </w:p>
        </w:tc>
        <w:tc>
          <w:tcPr>
            <w:tcW w:type="dxa" w:w="1234"/>
          </w:tcPr>
          <w:p>
            <w:r>
              <w:t>中国网</w:t>
            </w:r>
          </w:p>
        </w:tc>
        <w:tc>
          <w:tcPr>
            <w:tcW w:type="dxa" w:w="1234"/>
          </w:tcPr>
          <w:p>
            <w:r>
              <w:t>CN</w:t>
            </w:r>
          </w:p>
        </w:tc>
        <w:tc>
          <w:tcPr>
            <w:tcW w:type="dxa" w:w="1234"/>
          </w:tcPr>
          <w:p>
            <w:r>
              <w:t>T3</w:t>
            </w:r>
          </w:p>
        </w:tc>
        <w:tc>
          <w:tcPr>
            <w:tcW w:type="dxa" w:w="1234"/>
          </w:tcPr>
          <w:p>
            <w:r>
              <w:t>CROSS_CHECKED</w:t>
            </w:r>
          </w:p>
        </w:tc>
        <w:tc>
          <w:tcPr>
            <w:tcW w:type="dxa" w:w="1234"/>
          </w:tcPr>
          <w:p>
            <w:r>
              <w:t>http://news.china.com.cn/2026-09/06/content_119777233.htm</w:t>
            </w:r>
          </w:p>
        </w:tc>
        <w:tc>
          <w:tcPr>
            <w:tcW w:type="dxa" w:w="1234"/>
          </w:tcPr>
          <w:p>
            <w:r>
              <w:t>滚装航线, 中国港口发运</w:t>
            </w:r>
          </w:p>
        </w:tc>
      </w:tr>
      <w:tr>
        <w:tc>
          <w:tcPr>
            <w:tcW w:type="dxa" w:w="1234"/>
          </w:tcPr>
          <w:p>
            <w:r>
              <w:t>中国港口协会汽车滚装分会行业背景（行业组织）</w:t>
            </w:r>
          </w:p>
        </w:tc>
        <w:tc>
          <w:tcPr>
            <w:tcW w:type="dxa" w:w="1234"/>
          </w:tcPr>
          <w:p>
            <w:r>
              <w:t>中国港口协会</w:t>
            </w:r>
          </w:p>
        </w:tc>
        <w:tc>
          <w:tcPr>
            <w:tcW w:type="dxa" w:w="1234"/>
          </w:tcPr>
          <w:p>
            <w:r>
              <w:t>CN</w:t>
            </w:r>
          </w:p>
        </w:tc>
        <w:tc>
          <w:tcPr>
            <w:tcW w:type="dxa" w:w="1234"/>
          </w:tcPr>
          <w:p>
            <w:r>
              <w:t>T2</w:t>
            </w:r>
          </w:p>
        </w:tc>
        <w:tc>
          <w:tcPr>
            <w:tcW w:type="dxa" w:w="1234"/>
          </w:tcPr>
          <w:p>
            <w:r>
              <w:t>SINGLE_SOURCE</w:t>
            </w:r>
          </w:p>
        </w:tc>
        <w:tc>
          <w:tcPr>
            <w:tcW w:type="dxa" w:w="1234"/>
          </w:tcPr>
          <w:p>
            <w:r>
              <w:t>http://www.port.org.cn/</w:t>
            </w:r>
          </w:p>
        </w:tc>
        <w:tc>
          <w:tcPr>
            <w:tcW w:type="dxa" w:w="1234"/>
          </w:tcPr>
          <w:p>
            <w:r>
              <w:t>滚装码头行业背景</w:t>
            </w:r>
          </w:p>
        </w:tc>
      </w:tr>
      <w:tr>
        <w:tc>
          <w:tcPr>
            <w:tcW w:type="dxa" w:w="1234"/>
          </w:tcPr>
          <w:p>
            <w:r>
              <w:t>商品车多式联运滚装操作规程 JT/T 1194—2018</w:t>
            </w:r>
          </w:p>
        </w:tc>
        <w:tc>
          <w:tcPr>
            <w:tcW w:type="dxa" w:w="1234"/>
          </w:tcPr>
          <w:p>
            <w:r>
              <w:t>交通运输部（行业标准文本）</w:t>
            </w:r>
          </w:p>
        </w:tc>
        <w:tc>
          <w:tcPr>
            <w:tcW w:type="dxa" w:w="1234"/>
          </w:tcPr>
          <w:p>
            <w:r>
              <w:t>CN</w:t>
            </w:r>
          </w:p>
        </w:tc>
        <w:tc>
          <w:tcPr>
            <w:tcW w:type="dxa" w:w="1234"/>
          </w:tcPr>
          <w:p>
            <w:r>
              <w:t>T1</w:t>
            </w:r>
          </w:p>
        </w:tc>
        <w:tc>
          <w:tcPr>
            <w:tcW w:type="dxa" w:w="1234"/>
          </w:tcPr>
          <w:p>
            <w:r>
              <w:t>VERIFIED</w:t>
            </w:r>
          </w:p>
        </w:tc>
        <w:tc>
          <w:tcPr>
            <w:tcW w:type="dxa" w:w="1234"/>
          </w:tcPr>
          <w:p>
            <w:r>
              <w:t>http://120.79.24.31/data/doc/202101/31/16120905530888.pdf</w:t>
            </w:r>
          </w:p>
        </w:tc>
        <w:tc>
          <w:tcPr>
            <w:tcW w:type="dxa" w:w="1234"/>
          </w:tcPr>
          <w:p>
            <w:r>
              <w:t>roro_method — RoRo lashing/handover operating procedure standard; operational values confirm with carrier</w:t>
            </w:r>
          </w:p>
        </w:tc>
      </w:tr>
      <w:tr>
        <w:tc>
          <w:tcPr>
            <w:tcW w:type="dxa" w:w="1234"/>
          </w:tcPr>
          <w:p>
            <w:r>
              <w:t>港口货物作业规则（交通部令2000年第10号）</w:t>
            </w:r>
          </w:p>
        </w:tc>
        <w:tc>
          <w:tcPr>
            <w:tcW w:type="dxa" w:w="1234"/>
          </w:tcPr>
          <w:p>
            <w:r>
              <w:t>中国政府网/交通运输部</w:t>
            </w:r>
          </w:p>
        </w:tc>
        <w:tc>
          <w:tcPr>
            <w:tcW w:type="dxa" w:w="1234"/>
          </w:tcPr>
          <w:p>
            <w:r>
              <w:t>CN</w:t>
            </w:r>
          </w:p>
        </w:tc>
        <w:tc>
          <w:tcPr>
            <w:tcW w:type="dxa" w:w="1234"/>
          </w:tcPr>
          <w:p>
            <w:r>
              <w:t>T1</w:t>
            </w:r>
          </w:p>
        </w:tc>
        <w:tc>
          <w:tcPr>
            <w:tcW w:type="dxa" w:w="1234"/>
          </w:tcPr>
          <w:p>
            <w:r>
              <w:t>VERIFIED</w:t>
            </w:r>
          </w:p>
        </w:tc>
        <w:tc>
          <w:tcPr>
            <w:tcW w:type="dxa" w:w="1234"/>
          </w:tcPr>
          <w:p>
            <w:r>
              <w:t>https://www.gov.cn/gongbao/content/2001/content_60820.htm</w:t>
            </w:r>
          </w:p>
        </w:tc>
        <w:tc>
          <w:tcPr>
            <w:tcW w:type="dxa" w:w="1234"/>
          </w:tcPr>
          <w:p>
            <w:r>
              <w:t>roro_method — cargo receipt/handover and cargo-record liability at terminal</w:t>
            </w:r>
          </w:p>
        </w:tc>
      </w:tr>
      <w:tr>
        <w:tc>
          <w:tcPr>
            <w:tcW w:type="dxa" w:w="1234"/>
          </w:tcPr>
          <w:p>
            <w:r>
              <w:t>COSCO Shipping Specialized Carriers (official)</w:t>
            </w:r>
          </w:p>
        </w:tc>
        <w:tc>
          <w:tcPr>
            <w:tcW w:type="dxa" w:w="1234"/>
          </w:tcPr>
          <w:p>
            <w:r>
              <w:t>中远海运特种运输股份有限公司</w:t>
            </w:r>
          </w:p>
        </w:tc>
        <w:tc>
          <w:tcPr>
            <w:tcW w:type="dxa" w:w="1234"/>
          </w:tcPr>
          <w:p>
            <w:r>
              <w:t>CN</w:t>
            </w:r>
          </w:p>
        </w:tc>
        <w:tc>
          <w:tcPr>
            <w:tcW w:type="dxa" w:w="1234"/>
          </w:tcPr>
          <w:p>
            <w:r>
              <w:t>T1</w:t>
            </w:r>
          </w:p>
        </w:tc>
        <w:tc>
          <w:tcPr>
            <w:tcW w:type="dxa" w:w="1234"/>
          </w:tcPr>
          <w:p>
            <w:r>
              <w:t>CROSS_CHECKED</w:t>
            </w:r>
          </w:p>
        </w:tc>
        <w:tc>
          <w:tcPr>
            <w:tcW w:type="dxa" w:w="1234"/>
          </w:tcPr>
          <w:p>
            <w:r>
              <w:t>http://www.coscoshipping.com/</w:t>
            </w:r>
          </w:p>
        </w:tc>
        <w:tc>
          <w:tcPr>
            <w:tcW w:type="dxa" w:w="1234"/>
          </w:tcPr>
          <w:p>
            <w:r>
              <w:t>roro_method — carrier; schedules/acceptance per voyage, confirm before booking</w:t>
            </w:r>
          </w:p>
        </w:tc>
      </w:tr>
      <w:tr>
        <w:tc>
          <w:tcPr>
            <w:tcW w:type="dxa" w:w="1234"/>
          </w:tcPr>
          <w:p>
            <w:r>
              <w:t>Wallenius Wilhelmsen (official RoRo carrier)</w:t>
            </w:r>
          </w:p>
        </w:tc>
        <w:tc>
          <w:tcPr>
            <w:tcW w:type="dxa" w:w="1234"/>
          </w:tcPr>
          <w:p>
            <w:r>
              <w:t>Wallenius Wilhelmsen</w:t>
            </w:r>
          </w:p>
        </w:tc>
        <w:tc>
          <w:tcPr>
            <w:tcW w:type="dxa" w:w="1234"/>
          </w:tcPr>
          <w:p>
            <w:r>
              <w:t>INT</w:t>
            </w:r>
          </w:p>
        </w:tc>
        <w:tc>
          <w:tcPr>
            <w:tcW w:type="dxa" w:w="1234"/>
          </w:tcPr>
          <w:p>
            <w:r>
              <w:t>T1</w:t>
            </w:r>
          </w:p>
        </w:tc>
        <w:tc>
          <w:tcPr>
            <w:tcW w:type="dxa" w:w="1234"/>
          </w:tcPr>
          <w:p>
            <w:r>
              <w:t>CROSS_CHECKED</w:t>
            </w:r>
          </w:p>
        </w:tc>
        <w:tc>
          <w:tcPr>
            <w:tcW w:type="dxa" w:w="1234"/>
          </w:tcPr>
          <w:p>
            <w:r>
              <w:t>https://www.walleniuswilhelmsen.com/</w:t>
            </w:r>
          </w:p>
        </w:tc>
        <w:tc>
          <w:tcPr>
            <w:tcW w:type="dxa" w:w="1234"/>
          </w:tcPr>
          <w:p>
            <w:r>
              <w:t>roro_method — international RoRo carrier; acceptance terms carrier-specific</w:t>
            </w:r>
          </w:p>
        </w:tc>
      </w:tr>
    </w:tbl>
    <w:p/>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2026-09-06</w:t>
      </w:r>
    </w:p>
    <w:p>
      <w:pPr>
        <w:pStyle w:val="ListBullet"/>
      </w:pPr>
      <w:r>
        <w:rPr>
          <w:b/>
        </w:rPr>
        <w:t>Reference market</w:t>
      </w:r>
      <w:r>
        <w:t>: CN出口港口 + 远洋承运人（流程框架；逐港逐航次操作要求与时点收费）</w:t>
      </w:r>
    </w:p>
    <w:p>
      <w:pPr>
        <w:pStyle w:val="ListBullet"/>
      </w:pPr>
      <w:r>
        <w:rPr>
          <w:b/>
        </w:rPr>
        <w:t>Verification method</w:t>
      </w:r>
      <w:r>
        <w:t>: Desk research against the sources below; Chinese-market reference specification only unless a separate export market is explicitly cited. Time-sensitive items (rates, fees, lists, trim line-ups, domestic reference prices) must be re-confirmed on the official current page before transacting.</w:t>
      </w:r>
    </w:p>
    <w:p>
      <w:pPr>
        <w:pStyle w:val="ListBullet"/>
      </w:pPr>
      <w:r>
        <w:rPr>
          <w:b/>
        </w:rPr>
        <w:t>Transparency</w:t>
      </w:r>
      <w:r>
        <w:t>: AI-assisted drafting was used. This article is based on desk research and automated QA. No first-hand testing is claimed unless explicitly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