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China Customs AEO (Advanced Certified Enterprise): Credit Tiers, Standards and Export Facilitation</w:t>
      </w:r>
    </w:p>
    <w:p>
      <w:pPr>
        <w:pStyle w:val="Heading2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China Customs AEO Advanced Certification for Vehicle Exporters</w:t>
      </w:r>
    </w:p>
    <w:p>
      <w:pPr>
        <w:pStyle w:val="ListBullet"/>
      </w:pPr>
      <w:r>
        <w:rPr>
          <w:b/>
        </w:rPr>
        <w:t>Meta Description</w:t>
      </w:r>
      <w:r>
        <w:t>: How China Customs credit management tiers work, what AEO Advanced Certification means, how an exporter qualifies, and where mutual recognition delivers real clearance benefits.</w:t>
      </w:r>
    </w:p>
    <w:p>
      <w:pPr>
        <w:pStyle w:val="ListBullet"/>
      </w:pPr>
      <w:r>
        <w:rPr>
          <w:b/>
        </w:rPr>
        <w:t>H1</w:t>
      </w:r>
      <w:r>
        <w:t>: China Customs AEO (Advanced Certified Enterprise): Credit Tiers, Standards and Export Facilitation</w:t>
      </w:r>
    </w:p>
    <w:p>
      <w:pPr>
        <w:pStyle w:val="ListBullet"/>
      </w:pPr>
      <w:r>
        <w:rPr>
          <w:b/>
        </w:rPr>
        <w:t>Primary Keyword</w:t>
      </w:r>
      <w:r>
        <w:t>: china customs aeo advanced certified operator</w:t>
      </w:r>
    </w:p>
    <w:p>
      <w:pPr>
        <w:pStyle w:val="ListBullet"/>
      </w:pPr>
      <w:r>
        <w:rPr>
          <w:b/>
        </w:rPr>
        <w:t>Secondary Search Terms</w:t>
      </w:r>
      <w:r>
        <w:t>: AEO certification China; customs credit management; authorized economic operator China; AEO mutual recognition; certified enterprise customs facilitation</w:t>
      </w:r>
    </w:p>
    <w:p>
      <w:pPr>
        <w:pStyle w:val="ListBullet"/>
      </w:pPr>
      <w:r>
        <w:rPr>
          <w:b/>
        </w:rPr>
        <w:t>Suggested URL</w:t>
      </w:r>
      <w:r>
        <w:t>: /guides/china-customs-aeo-certified-operator-export/</w:t>
      </w:r>
    </w:p>
    <w:p>
      <w:pPr>
        <w:pStyle w:val="ListBullet"/>
      </w:pPr>
      <w:r>
        <w:rPr>
          <w:b/>
        </w:rPr>
        <w:t>Search Intent</w:t>
      </w:r>
      <w:r>
        <w:t>: 出口企业如何理解海关注册备案企业信用管理、申请AEO高级认证并获得通关便利与国际互认</w:t>
      </w:r>
    </w:p>
    <w:p>
      <w:pPr>
        <w:pStyle w:val="ListBullet"/>
      </w:pPr>
      <w:r>
        <w:rPr>
          <w:b/>
        </w:rPr>
        <w:t>Internal Link Suggestions</w:t>
      </w:r>
      <w:r>
        <w:t>: /guides/china-customs-supervision-method-0110-1039/, /guides/rcep-rules-of-origin-certificate-vehicle-parts/, /guides/china-port-roro-vehicle-export-booking-terminal-handover/</w:t>
      </w:r>
    </w:p>
    <w:p>
      <w:pPr>
        <w:pStyle w:val="ListBullet"/>
      </w:pPr>
      <w:r>
        <w:rPr>
          <w:b/>
        </w:rPr>
        <w:t>Image Suggestion</w:t>
      </w:r>
      <w:r>
        <w:t>: A customs authorized-operator certificate concept with a cargo gate and export vehicles</w:t>
      </w:r>
    </w:p>
    <w:p>
      <w:pPr>
        <w:pStyle w:val="ListBullet"/>
      </w:pPr>
      <w:r>
        <w:rPr>
          <w:b/>
        </w:rPr>
        <w:t>ALT Suggestion</w:t>
      </w:r>
      <w:r>
        <w:t>: Customs clearance gate with queued export vehicles and an authorized-operator document on a clipboard</w:t>
      </w:r>
    </w:p>
    <w:p>
      <w:pPr>
        <w:pStyle w:val="ListBullet"/>
      </w:pPr>
      <w:r>
        <w:rPr>
          <w:b/>
        </w:rPr>
        <w:t>Schema Scope</w:t>
      </w:r>
      <w:r>
        <w:t>: Article (no Product/Offer/Price/Review/Rating)</w:t>
      </w:r>
    </w:p>
    <w:p/>
    <w:p>
      <w:r>
        <w:t>For a vehicle exporter that ships repeatedly, customs trust is an operational asset: it changes inspection frequency, clearance speed and how smoothly documents move at the border. China builds that trust through a registered-enterprise credit-management system, whose top tier is AEO Advanced Certification. This guide explains the tier structure, what AEO means under the global WCO framework, how a Chinese exporter reaches the advanced tier, and what mutual recognition does — and does not — deliver abroad.</w:t>
      </w:r>
    </w:p>
    <w:p/>
    <w:p>
      <w:pPr>
        <w:pStyle w:val="Heading2"/>
      </w:pPr>
      <w:r>
        <w:t>The credit ladder Chinese Customs applies</w:t>
      </w:r>
    </w:p>
    <w:p/>
    <w:p>
      <w:r>
        <w:t xml:space="preserve">Registered enterprises in China are placed in a credit hierarchy administered by the General Administration of Customs of China (GACC). The system distinguishes higher-trust certified enterprises from general-credit and lower-trust categories, with differentiated supervision. Within the certified band, </w:t>
      </w:r>
      <w:r>
        <w:rPr>
          <w:b/>
        </w:rPr>
        <w:t>Advanced Certified Enterprise (高级认证企业)</w:t>
      </w:r>
      <w:r>
        <w:t xml:space="preserve"> is the top designation and is China's AEO status; a lower certified tier exists beneath it.</w:t>
      </w:r>
    </w:p>
    <w:p/>
    <w:p>
      <w:r>
        <w:t>Differentiated management is the point of the ladder: higher-credit enterprises face lower inspection ratios and faster procedures, while lower-credit enterprises face tighter controls. The precise inspection percentages and the current detailed scoring standard are time-sensitive and must be read from GACC's current published standard rather than quoted from memory.</w:t>
      </w:r>
    </w:p>
    <w:p/>
    <w:p>
      <w:pPr>
        <w:pStyle w:val="Heading2"/>
      </w:pPr>
      <w:r>
        <w:t>What AEO means under the WCO SAFE framework</w:t>
      </w:r>
    </w:p>
    <w:p/>
    <w:p>
      <w:r>
        <w:t>AEO — Authorized Economic Operator — originates in the WCO SAFE Framework of Standards adopted in 2005. The WCO defines an AEO as a party involved in the international movement of goods whose customs administration has judged it to meet supply-chain security and compliance standards. China's Advanced Certified Enterprise is the domestic realization of that concept. This matters because AEO is not a purely Chinese label: it is designed to be recognized across borders.</w:t>
      </w:r>
    </w:p>
    <w:p/>
    <w:p>
      <w:pPr>
        <w:pStyle w:val="Heading2"/>
      </w:pPr>
      <w:r>
        <w:t>Mutual recognition: where the overseas benefit comes from</w:t>
      </w:r>
    </w:p>
    <w:p/>
    <w:p>
      <w:r>
        <w:t>Under SAFE, customs administrations are encouraged to sign Mutual Recognition Arrangements/Agreements (MRAs): an AEO properly granted by one side is recognized by the other, which then extends comparable facilitation. The European Commission describes the same mechanism — recognizing the partner-issued AEO status and granting associated benefits. For a Chinese vehicle exporter, an active China–destination MRA can mean smoother treatment in that partner market, but three cautions apply:</w:t>
      </w:r>
    </w:p>
    <w:p/>
    <w:p>
      <w:pPr>
        <w:pStyle w:val="ListBullet"/>
      </w:pPr>
      <w:r>
        <w:t xml:space="preserve">The MRA partner list changes; only the </w:t>
      </w:r>
      <w:r>
        <w:rPr>
          <w:b/>
        </w:rPr>
        <w:t>currently active</w:t>
      </w:r>
      <w:r>
        <w:t xml:space="preserve"> arrangements count — check GACC's current list before claiming AEO benefits to a buyer.</w:t>
      </w:r>
    </w:p>
    <w:p>
      <w:pPr>
        <w:pStyle w:val="ListBullet"/>
      </w:pPr>
      <w:r>
        <w:t>Recognition applies to the certified legal entity and the scope covered, not automatically to every subsidiary or agent.</w:t>
      </w:r>
    </w:p>
    <w:p>
      <w:pPr>
        <w:pStyle w:val="ListBullet"/>
      </w:pPr>
      <w:r>
        <w:t>An MRA facilitates customs; it does not waive destination type approval, tax or import-licensing requirements.</w:t>
      </w:r>
    </w:p>
    <w:p/>
    <w:p>
      <w:pPr>
        <w:pStyle w:val="Heading2"/>
      </w:pPr>
      <w:r>
        <w:t>How a Chinese exporter becomes Advanced Certified</w:t>
      </w:r>
    </w:p>
    <w:p/>
    <w:p>
      <w:pPr>
        <w:pStyle w:val="ListNumber"/>
      </w:pPr>
      <w:r>
        <w:t>Be a properly registered customs consignor/consignee with a compliant record over the required look-back period.</w:t>
      </w:r>
    </w:p>
    <w:p>
      <w:pPr>
        <w:pStyle w:val="ListNumber"/>
      </w:pPr>
      <w:r>
        <w:t xml:space="preserve">Meet the current </w:t>
      </w:r>
      <w:r>
        <w:rPr>
          <w:b/>
        </w:rPr>
        <w:t>Advanced Certified Enterprise Standards</w:t>
      </w:r>
      <w:r>
        <w:t xml:space="preserve"> — internal controls, financial standing, compliance and trade-security dimensions assessed by GACC; the exact indicators come from the current standard document.</w:t>
      </w:r>
    </w:p>
    <w:p>
      <w:pPr>
        <w:pStyle w:val="ListNumber"/>
      </w:pPr>
      <w:r>
        <w:t>Submit the application, undergo customs verification (document review and on-site assessment as required), and maintain the conditions after approval, since AEO status is subject to ongoing monitoring and re-validation.</w:t>
      </w:r>
    </w:p>
    <w:p/>
    <w:p>
      <w:r>
        <w:t>&gt; Whether your specific entity passes is a question of matching the current standard line by line; this page does not score an enterprise. Treat any checklist older than the current GACC release as out of date.</w:t>
      </w:r>
    </w:p>
    <w:p/>
    <w:p>
      <w:pPr>
        <w:pStyle w:val="Heading2"/>
      </w:pPr>
      <w:r>
        <w:t>Why a vehicle exporter values it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Dimension</w:t>
            </w:r>
          </w:p>
        </w:tc>
        <w:tc>
          <w:tcPr>
            <w:tcW w:type="dxa" w:w="4320"/>
          </w:tcPr>
          <w:p>
            <w:r>
              <w:t>Practical effect for vehicle shipping</w:t>
            </w:r>
          </w:p>
        </w:tc>
      </w:tr>
      <w:tr>
        <w:tc>
          <w:tcPr>
            <w:tcW w:type="dxa" w:w="4320"/>
          </w:tcPr>
          <w:p>
            <w:r>
              <w:t>Clearance predictability</w:t>
            </w:r>
          </w:p>
        </w:tc>
        <w:tc>
          <w:tcPr>
            <w:tcW w:type="dxa" w:w="4320"/>
          </w:tcPr>
          <w:p>
            <w:r>
              <w:t>Lower random-inspection exposure helps schedule RoRo booking slots and cut port dwell time.</w:t>
            </w:r>
          </w:p>
        </w:tc>
      </w:tr>
      <w:tr>
        <w:tc>
          <w:tcPr>
            <w:tcW w:type="dxa" w:w="4320"/>
          </w:tcPr>
          <w:p>
            <w:r>
              <w:t>Documentation</w:t>
            </w:r>
          </w:p>
        </w:tc>
        <w:tc>
          <w:tcPr>
            <w:tcW w:type="dxa" w:w="4320"/>
          </w:tcPr>
          <w:p>
            <w:r>
              <w:t>A mature internal-control system (the same one AEO requires) also reduces VIN/HS declaration errors that void vehicle export paperwork.</w:t>
            </w:r>
          </w:p>
        </w:tc>
      </w:tr>
      <w:tr>
        <w:tc>
          <w:tcPr>
            <w:tcW w:type="dxa" w:w="4320"/>
          </w:tcPr>
          <w:p>
            <w:r>
              <w:t>Buyer confidence</w:t>
            </w:r>
          </w:p>
        </w:tc>
        <w:tc>
          <w:tcPr>
            <w:tcW w:type="dxa" w:w="4320"/>
          </w:tcPr>
          <w:p>
            <w:r>
              <w:t>An MRA-recognized AEO status is a credible compliance signal to overseas importers and tenders.</w:t>
            </w:r>
          </w:p>
        </w:tc>
      </w:tr>
      <w:tr>
        <w:tc>
          <w:tcPr>
            <w:tcW w:type="dxa" w:w="4320"/>
          </w:tcPr>
          <w:p>
            <w:r>
              <w:t>Bond/deposit treatment</w:t>
            </w:r>
          </w:p>
        </w:tc>
        <w:tc>
          <w:tcPr>
            <w:tcW w:type="dxa" w:w="4320"/>
          </w:tcPr>
          <w:p>
            <w:r>
              <w:t>Higher credit standing can support more favourable customs-security treatment under current rules — confirm specifics with GACC.</w:t>
            </w:r>
          </w:p>
        </w:tc>
      </w:tr>
    </w:tbl>
    <w:p/>
    <w:p>
      <w:pPr>
        <w:pStyle w:val="Heading2"/>
      </w:pPr>
      <w:r>
        <w:t>Keeping the status once granted</w:t>
      </w:r>
    </w:p>
    <w:p/>
    <w:p>
      <w:r>
        <w:t>AEO is not a one-time award. A compliance incident — a mis-declared model, a sanction issue, a failed customs audit — can trigger downgrade or withdrawal, and the enterprise then falls back to heavier supervision. Build the same VIN-level documentation discipline used for export licensing into the customs internal-control file so the evidence an AEO audit expects already exists.</w:t>
      </w:r>
    </w:p>
    <w:p/>
    <w:p>
      <w:pPr>
        <w:pStyle w:val="Heading2"/>
      </w:pPr>
      <w:r>
        <w:t>FAQ</w:t>
      </w:r>
    </w:p>
    <w:p>
      <w:r>
        <w:rPr>
          <w:b/>
        </w:rPr>
        <w:t>Is Advanced Certified Enterprise the same as AEO?</w:t>
      </w:r>
    </w:p>
    <w:p/>
    <w:p>
      <w:r>
        <w:t>Yes — China Customs Advanced Certified Enterprise is the Chinese AEO status under the WCO SAFE framework; a lower certified tier sits beneath it.</w:t>
      </w:r>
    </w:p>
    <w:p/>
    <w:p>
      <w:r>
        <w:rPr>
          <w:b/>
        </w:rPr>
        <w:t>Does AEO remove destination import approval?</w:t>
      </w:r>
    </w:p>
    <w:p/>
    <w:p>
      <w:r>
        <w:t>No. It facilitates Chinese and MRA-partner customs procedures; type approval, duties and import permits in the buyer country remain separate requirements.</w:t>
      </w:r>
    </w:p>
    <w:p/>
    <w:p>
      <w:r>
        <w:rPr>
          <w:b/>
        </w:rPr>
        <w:t>How long does the MRA partner list stay valid?</w:t>
      </w:r>
    </w:p>
    <w:p/>
    <w:p>
      <w:r>
        <w:t>It is updated over time; always verify the currently active mutual-recognition partners on the official GACC source before relying on a benefit.</w:t>
      </w:r>
    </w:p>
    <w:p/>
    <w:p>
      <w:r>
        <w:rPr>
          <w:b/>
        </w:rPr>
        <w:t>Can a trading company (not a factory) be certified?</w:t>
      </w:r>
    </w:p>
    <w:p/>
    <w:p>
      <w:r>
        <w:t>A registered customs enterprise that meets the current standards can apply; eligibility turns on the standard, not on being a manufacturer.</w:t>
      </w:r>
    </w:p>
    <w:p/>
    <w:p>
      <w:r>
        <w:rPr>
          <w:b/>
        </w:rPr>
        <w:t>Is the inspection-rate reduction fixed?</w:t>
      </w:r>
    </w:p>
    <w:p/>
    <w:p>
      <w:r>
        <w:t>Specific ratios are time-sensitive and published by GACC; use the current official figures rather than a fixed number.</w:t>
      </w:r>
    </w:p>
    <w:p/>
    <w:p>
      <w:pPr>
        <w:pStyle w:val="Heading2"/>
      </w:pPr>
      <w:r>
        <w:t>Sources &amp; Verification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Source</w:t>
            </w:r>
          </w:p>
        </w:tc>
        <w:tc>
          <w:tcPr>
            <w:tcW w:type="dxa" w:w="1234"/>
          </w:tcPr>
          <w:p>
            <w:r>
              <w:t>Organization</w:t>
            </w:r>
          </w:p>
        </w:tc>
        <w:tc>
          <w:tcPr>
            <w:tcW w:type="dxa" w:w="1234"/>
          </w:tcPr>
          <w:p>
            <w:r>
              <w:t>Market</w:t>
            </w:r>
          </w:p>
        </w:tc>
        <w:tc>
          <w:tcPr>
            <w:tcW w:type="dxa" w:w="1234"/>
          </w:tcPr>
          <w:p>
            <w:r>
              <w:t>Tier</w:t>
            </w:r>
          </w:p>
        </w:tc>
        <w:tc>
          <w:tcPr>
            <w:tcW w:type="dxa" w:w="1234"/>
          </w:tcPr>
          <w:p>
            <w:r>
              <w:t>Confidence</w:t>
            </w:r>
          </w:p>
        </w:tc>
        <w:tc>
          <w:tcPr>
            <w:tcW w:type="dxa" w:w="1234"/>
          </w:tcPr>
          <w:p>
            <w:r>
              <w:t>URL</w:t>
            </w:r>
          </w:p>
        </w:tc>
        <w:tc>
          <w:tcPr>
            <w:tcW w:type="dxa" w:w="1234"/>
          </w:tcPr>
          <w:p>
            <w:r>
              <w:t>Supported facts</w:t>
            </w:r>
          </w:p>
        </w:tc>
      </w:tr>
      <w:tr>
        <w:tc>
          <w:tcPr>
            <w:tcW w:type="dxa" w:w="1234"/>
          </w:tcPr>
          <w:p>
            <w:r>
              <w:t>海关总署政策例行吹风会：解读《海关注册登记和备案企业信用管理办法》（2026-04-01施行、五级信用）</w:t>
            </w:r>
          </w:p>
        </w:tc>
        <w:tc>
          <w:tcPr>
            <w:tcW w:type="dxa" w:w="1234"/>
          </w:tcPr>
          <w:p>
            <w:r>
              <w:t>中华人民共和国海关总署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T1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http://www.customs.gov.cn/customs/xwfb34/302330/6763807/index.html</w:t>
            </w:r>
          </w:p>
        </w:tc>
        <w:tc>
          <w:tcPr>
            <w:tcW w:type="dxa" w:w="1234"/>
          </w:tcPr>
          <w:p>
            <w:r>
              <w:t>修订背景, 五级信用, 实施日期 — 海关信用管理</w:t>
            </w:r>
          </w:p>
        </w:tc>
      </w:tr>
      <w:tr>
        <w:tc>
          <w:tcPr>
            <w:tcW w:type="dxa" w:w="1234"/>
          </w:tcPr>
          <w:p>
            <w:r>
              <w:t>海关注册登记和备案企业信用管理办法（海关总署令第282号）</w:t>
            </w:r>
          </w:p>
        </w:tc>
        <w:tc>
          <w:tcPr>
            <w:tcW w:type="dxa" w:w="1234"/>
          </w:tcPr>
          <w:p>
            <w:r>
              <w:t>中国政府网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T1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https://www.gov.cn/zhengce/zhengceku/202511/content_7048430.htm</w:t>
            </w:r>
          </w:p>
        </w:tc>
        <w:tc>
          <w:tcPr>
            <w:tcW w:type="dxa" w:w="1234"/>
          </w:tcPr>
          <w:p>
            <w:r>
              <w:t>信用等级划分, AEO条件, 管理措施 — 部门规章</w:t>
            </w:r>
          </w:p>
        </w:tc>
      </w:tr>
      <w:tr>
        <w:tc>
          <w:tcPr>
            <w:tcW w:type="dxa" w:w="1234"/>
          </w:tcPr>
          <w:p>
            <w:r>
              <w:t>AEO企业信用等级调整程序规定</w:t>
            </w:r>
          </w:p>
        </w:tc>
        <w:tc>
          <w:tcPr>
            <w:tcW w:type="dxa" w:w="1234"/>
          </w:tcPr>
          <w:p>
            <w:r>
              <w:t>中国政府网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T1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https://www.gov.cn/zhengce/zhengceku/202601/content_7051411.htm</w:t>
            </w:r>
          </w:p>
        </w:tc>
        <w:tc>
          <w:tcPr>
            <w:tcW w:type="dxa" w:w="1234"/>
          </w:tcPr>
          <w:p>
            <w:r>
              <w:t>等级调整程序 — 配套规定</w:t>
            </w:r>
          </w:p>
        </w:tc>
      </w:tr>
      <w:tr>
        <w:tc>
          <w:tcPr>
            <w:tcW w:type="dxa" w:w="1234"/>
          </w:tcPr>
          <w:p>
            <w:r>
              <w:t>截至2025年底全国AEO企业6876家、查验率18.5%、与48国/地区互认</w:t>
            </w:r>
          </w:p>
        </w:tc>
        <w:tc>
          <w:tcPr>
            <w:tcW w:type="dxa" w:w="1234"/>
          </w:tcPr>
          <w:p>
            <w:r>
              <w:t>中国政府网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T1</w:t>
            </w:r>
          </w:p>
        </w:tc>
        <w:tc>
          <w:tcPr>
            <w:tcW w:type="dxa" w:w="1234"/>
          </w:tcPr>
          <w:p>
            <w:r>
              <w:t>TIME_SENSITIVE</w:t>
            </w:r>
          </w:p>
        </w:tc>
        <w:tc>
          <w:tcPr>
            <w:tcW w:type="dxa" w:w="1234"/>
          </w:tcPr>
          <w:p>
            <w:r>
              <w:t>https://www.gov.cn/lianbo/bumen/202602/content_7061523.htm</w:t>
            </w:r>
          </w:p>
        </w:tc>
        <w:tc>
          <w:tcPr>
            <w:tcW w:type="dxa" w:w="1234"/>
          </w:tcPr>
          <w:p>
            <w:r>
              <w:t>AEO数量, 查验率, 互认经济体 — 权威发布</w:t>
            </w:r>
          </w:p>
        </w:tc>
      </w:tr>
      <w:tr>
        <w:tc>
          <w:tcPr>
            <w:tcW w:type="dxa" w:w="1234"/>
          </w:tcPr>
          <w:p>
            <w:r>
              <w:t>AEO Mutual Recognition Strategy Guide</w:t>
            </w:r>
          </w:p>
        </w:tc>
        <w:tc>
          <w:tcPr>
            <w:tcW w:type="dxa" w:w="1234"/>
          </w:tcPr>
          <w:p>
            <w:r>
              <w:t>World Customs Organization</w:t>
            </w:r>
          </w:p>
        </w:tc>
        <w:tc>
          <w:tcPr>
            <w:tcW w:type="dxa" w:w="1234"/>
          </w:tcPr>
          <w:p>
            <w:r>
              <w:t>INT</w:t>
            </w:r>
          </w:p>
        </w:tc>
        <w:tc>
          <w:tcPr>
            <w:tcW w:type="dxa" w:w="1234"/>
          </w:tcPr>
          <w:p>
            <w:r>
              <w:t>T1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https://www.wcoomd.org/-/media/wco/public/global/pdf/topics/facilitation/instruments-and-tools/tools/safe-package/strategy-guide-for-aeo-mutual-recognition.pdf</w:t>
            </w:r>
          </w:p>
        </w:tc>
        <w:tc>
          <w:tcPr>
            <w:tcW w:type="dxa" w:w="1234"/>
          </w:tcPr>
          <w:p>
            <w:r>
              <w:t>aeo_definition — WCO SAFE definition of AEO and MRA concept</w:t>
            </w:r>
          </w:p>
        </w:tc>
      </w:tr>
      <w:tr>
        <w:tc>
          <w:tcPr>
            <w:tcW w:type="dxa" w:w="1234"/>
          </w:tcPr>
          <w:p>
            <w:r>
              <w:t>SAFE Framework of Standards (about)</w:t>
            </w:r>
          </w:p>
        </w:tc>
        <w:tc>
          <w:tcPr>
            <w:tcW w:type="dxa" w:w="1234"/>
          </w:tcPr>
          <w:p>
            <w:r>
              <w:t>World Customs Organization</w:t>
            </w:r>
          </w:p>
        </w:tc>
        <w:tc>
          <w:tcPr>
            <w:tcW w:type="dxa" w:w="1234"/>
          </w:tcPr>
          <w:p>
            <w:r>
              <w:t>INT</w:t>
            </w:r>
          </w:p>
        </w:tc>
        <w:tc>
          <w:tcPr>
            <w:tcW w:type="dxa" w:w="1234"/>
          </w:tcPr>
          <w:p>
            <w:r>
              <w:t>T1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https://aeo.wcoomd.org/about</w:t>
            </w:r>
          </w:p>
        </w:tc>
        <w:tc>
          <w:tcPr>
            <w:tcW w:type="dxa" w:w="1234"/>
          </w:tcPr>
          <w:p>
            <w:r>
              <w:t>aeo_definition — SAFE framework origin and purpose</w:t>
            </w:r>
          </w:p>
        </w:tc>
      </w:tr>
      <w:tr>
        <w:tc>
          <w:tcPr>
            <w:tcW w:type="dxa" w:w="1234"/>
          </w:tcPr>
          <w:p>
            <w:r>
              <w:t>Mutual recognition of AEOs</w:t>
            </w:r>
          </w:p>
        </w:tc>
        <w:tc>
          <w:tcPr>
            <w:tcW w:type="dxa" w:w="1234"/>
          </w:tcPr>
          <w:p>
            <w:r>
              <w:t>European Commission Taxation and Customs Union</w:t>
            </w:r>
          </w:p>
        </w:tc>
        <w:tc>
          <w:tcPr>
            <w:tcW w:type="dxa" w:w="1234"/>
          </w:tcPr>
          <w:p>
            <w:r>
              <w:t>EU</w:t>
            </w:r>
          </w:p>
        </w:tc>
        <w:tc>
          <w:tcPr>
            <w:tcW w:type="dxa" w:w="1234"/>
          </w:tcPr>
          <w:p>
            <w:r>
              <w:t>T1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https://taxation-customs.ec.europa.eu/customs/authorised-economic-operator/mutual-recognition-ro</w:t>
            </w:r>
          </w:p>
        </w:tc>
        <w:tc>
          <w:tcPr>
            <w:tcW w:type="dxa" w:w="1234"/>
          </w:tcPr>
          <w:p>
            <w:r>
              <w:t>aeo_definition — how MRA delivers benefits; foreign parallel to China AEO</w:t>
            </w:r>
          </w:p>
        </w:tc>
      </w:tr>
    </w:tbl>
    <w:p/>
    <w:p>
      <w:pPr>
        <w:pStyle w:val="Heading2"/>
      </w:pPr>
      <w:r>
        <w:t>Editorial Review</w:t>
      </w:r>
    </w:p>
    <w:p>
      <w:pPr>
        <w:pStyle w:val="ListBullet"/>
      </w:pPr>
      <w:r>
        <w:rPr>
          <w:b/>
        </w:rPr>
        <w:t>Author</w:t>
      </w:r>
      <w:r>
        <w:t>: AutoBridge Export Editorial Team · [authors](/authors/) · [Editorial Policy](/editorial-policy/)</w:t>
      </w:r>
    </w:p>
    <w:p>
      <w:pPr>
        <w:pStyle w:val="ListBullet"/>
      </w:pPr>
      <w:r>
        <w:rPr>
          <w:b/>
        </w:rPr>
        <w:t>Last reviewed</w:t>
      </w:r>
      <w:r>
        <w:t>: 2026-09-06</w:t>
      </w:r>
    </w:p>
    <w:p>
      <w:pPr>
        <w:pStyle w:val="ListBullet"/>
      </w:pPr>
      <w:r>
        <w:rPr>
          <w:b/>
        </w:rPr>
        <w:t>Reference market</w:t>
      </w:r>
      <w:r>
        <w:t>: CN（中国海关信用制度；互认名单与查验率为时点数据）</w:t>
      </w:r>
    </w:p>
    <w:p>
      <w:pPr>
        <w:pStyle w:val="ListBullet"/>
      </w:pPr>
      <w:r>
        <w:rPr>
          <w:b/>
        </w:rPr>
        <w:t>Verification method</w:t>
      </w:r>
      <w:r>
        <w:t>: Desk research against the sources below; Chinese-market reference specification only unless a separate export market is explicitly cited. Time-sensitive items (rates, fees, lists, trim line-ups, domestic reference prices) must be re-confirmed on the official current page before transacting.</w:t>
      </w:r>
    </w:p>
    <w:p>
      <w:pPr>
        <w:pStyle w:val="ListBullet"/>
      </w:pPr>
      <w:r>
        <w:rPr>
          <w:b/>
        </w:rPr>
        <w:t>Transparency</w:t>
      </w:r>
      <w:r>
        <w:t>: AI-assisted drafting was used. This article is based on desk research and automated QA. No first-hand testing is claimed unless explicitly documented.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