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ISPM-15 Wood Packaging for Vehicle Export: Treatment and the IPPC Mark</w:t>
      </w:r>
    </w:p>
    <w:p>
      <w:pPr>
        <w:pStyle w:val="Heading2"/>
      </w:pPr>
      <w:r>
        <w:t>SEO Metadata</w:t>
      </w:r>
    </w:p>
    <w:p>
      <w:pPr>
        <w:pStyle w:val="ListBullet"/>
      </w:pPr>
      <w:r>
        <w:rPr>
          <w:b/>
        </w:rPr>
        <w:t>SEO Title</w:t>
      </w:r>
      <w:r>
        <w:t>: ISPM-15 Wood Packaging in Vehicle Export: Treatment &amp; Mark Guide</w:t>
      </w:r>
    </w:p>
    <w:p>
      <w:pPr>
        <w:pStyle w:val="ListBullet"/>
      </w:pPr>
      <w:r>
        <w:rPr>
          <w:b/>
        </w:rPr>
        <w:t>Meta Description</w:t>
      </w:r>
      <w:r>
        <w:t>: How wooden crates, pallets and dunnage used to export vehicles and parts must be treated and marked under ISPM-15 to avoid rejection, and how China-side exit registration works.</w:t>
      </w:r>
    </w:p>
    <w:p>
      <w:pPr>
        <w:pStyle w:val="ListBullet"/>
      </w:pPr>
      <w:r>
        <w:rPr>
          <w:b/>
        </w:rPr>
        <w:t>H1</w:t>
      </w:r>
      <w:r>
        <w:t>: ISPM-15 Wood Packaging for Vehicle Export: Treatment and the IPPC Mark</w:t>
      </w:r>
    </w:p>
    <w:p>
      <w:pPr>
        <w:pStyle w:val="ListBullet"/>
      </w:pPr>
      <w:r>
        <w:rPr>
          <w:b/>
        </w:rPr>
        <w:t>Primary Keyword</w:t>
      </w:r>
      <w:r>
        <w:t>: ISPM 15 wood packaging export treatment mark</w:t>
      </w:r>
    </w:p>
    <w:p>
      <w:pPr>
        <w:pStyle w:val="ListBullet"/>
      </w:pPr>
      <w:r>
        <w:rPr>
          <w:b/>
        </w:rPr>
        <w:t>Secondary Search Terms</w:t>
      </w:r>
      <w:r>
        <w:t>: ISPM 15 mark; IPPC wood packaging; heat treated pallet export; MB fumigation wood packaging; wood packaging registration China customs</w:t>
      </w:r>
    </w:p>
    <w:p>
      <w:pPr>
        <w:pStyle w:val="ListBullet"/>
      </w:pPr>
      <w:r>
        <w:rPr>
          <w:b/>
        </w:rPr>
        <w:t>Suggested URL</w:t>
      </w:r>
      <w:r>
        <w:t>: /guides/ippc-ispm15-wood-packaging-export/</w:t>
      </w:r>
    </w:p>
    <w:p>
      <w:pPr>
        <w:pStyle w:val="ListBullet"/>
      </w:pPr>
      <w:r>
        <w:rPr>
          <w:b/>
        </w:rPr>
        <w:t>Search Intent</w:t>
      </w:r>
      <w:r>
        <w:t>: 车辆出口所用木箱/木托盘/垫木如何按IPPC ISPM-15完成除害处理并加施标识，避免目的国退运</w:t>
      </w:r>
    </w:p>
    <w:p>
      <w:pPr>
        <w:pStyle w:val="ListBullet"/>
      </w:pPr>
      <w:r>
        <w:rPr>
          <w:b/>
        </w:rPr>
        <w:t>Internal Link Suggestions</w:t>
      </w:r>
      <w:r>
        <w:t>: /guides/rcep-rules-of-origin-certificate-vehicle-parts/, /guides/china-port-roro-vehicle-export-booking-terminal-handover/, /guides/china-port-container-vs-roro-choice/</w:t>
      </w:r>
    </w:p>
    <w:p>
      <w:pPr>
        <w:pStyle w:val="ListBullet"/>
      </w:pPr>
      <w:r>
        <w:rPr>
          <w:b/>
        </w:rPr>
        <w:t>Image Suggestion</w:t>
      </w:r>
      <w:r>
        <w:t>: A heat-treated export crate with the IPPC ISPM-15 mark, holding a knocked-down vehicle part</w:t>
      </w:r>
    </w:p>
    <w:p>
      <w:pPr>
        <w:pStyle w:val="ListBullet"/>
      </w:pPr>
      <w:r>
        <w:rPr>
          <w:b/>
        </w:rPr>
        <w:t>ALT Suggestion</w:t>
      </w:r>
      <w:r>
        <w:t>: Export wooden crate showing the IPPC treatment mark beside a packed vehicle component</w:t>
      </w:r>
    </w:p>
    <w:p>
      <w:pPr>
        <w:pStyle w:val="ListBullet"/>
      </w:pPr>
      <w:r>
        <w:rPr>
          <w:b/>
        </w:rPr>
        <w:t>Schema Scope</w:t>
      </w:r>
      <w:r>
        <w:t>: Article (no Product/Offer/Price/Review/Rating)</w:t>
      </w:r>
    </w:p>
    <w:p/>
    <w:p>
      <w:r>
        <w:t>Finished vehicles shipped by RoRo may carry little wood, but knocked-down units, spare parts, CKD/SKD kits and containerised vehicles rely on crates, pallets, chocks and dunnage — and almost every country regulates that wood under the IPPC's ISPM-15. A missing or invalid mark is one of the most avoidable causes of re-export, fumigation-on-arrival or delay. This page explains what ISPM-15 requires, how the mark is built, and how the China-side treatment and exit registration works.</w:t>
      </w:r>
    </w:p>
    <w:p/>
    <w:p>
      <w:pPr>
        <w:pStyle w:val="Heading2"/>
      </w:pPr>
      <w:r>
        <w:t>What ISPM-15 regulates and why</w:t>
      </w:r>
    </w:p>
    <w:p/>
    <w:p>
      <w:r>
        <w:t>ISPM-15 (Regulation of wood packaging material in international trade), maintained by the International Plant Protection Convention under the FAO, reduces the risk of moving forest pests in raw wood used to support or brace cargo. It covers solid-wood packaging such as crates, boxes, pallets, dunnage and spacers; processed wood materials (e.g. certain plywood/particle board) and very thin wood fall outside its scope as defined in the standard. The obligation applies to coniferous and non-coniferous solid wood alike.</w:t>
      </w:r>
    </w:p>
    <w:p/>
    <w:p>
      <w:pPr>
        <w:pStyle w:val="Heading2"/>
      </w:pPr>
      <w:r>
        <w:t>Approved treatments — use the current annex</w:t>
      </w:r>
    </w:p>
    <w:p/>
    <w:p>
      <w:r>
        <w:t xml:space="preserve">The standard recognises approved measures identified by treatment codes, principally conventional </w:t>
      </w:r>
      <w:r>
        <w:rPr>
          <w:b/>
        </w:rPr>
        <w:t>heat treatment (HT)</w:t>
      </w:r>
      <w:r>
        <w:t xml:space="preserve"> and </w:t>
      </w:r>
      <w:r>
        <w:rPr>
          <w:b/>
        </w:rPr>
        <w:t>methyl bromide (MB) fumigation</w:t>
      </w:r>
      <w:r>
        <w:t>, with dielectric heating (DH) recognised under defined conditions. The required wood-core temperature, duration and MB schedules are specified in the current ISPM-15 annex and its revisions.</w:t>
      </w:r>
    </w:p>
    <w:p/>
    <w:p>
      <w:r>
        <w:t>&gt; Do not quote a treatment temperature, holding time or dosage from memory. ISPM-15 has been revised (including DH provisions); read the current annex for the precise schedule, and note some destinations restrict or ban methyl bromide for environmental reasons.</w:t>
      </w:r>
    </w:p>
    <w:p/>
    <w:p>
      <w:pPr>
        <w:pStyle w:val="Heading2"/>
      </w:pPr>
      <w:r>
        <w:t>Reading the mark — four required components</w:t>
      </w:r>
    </w:p>
    <w:p/>
    <w:p>
      <w:r>
        <w:t>Treated wood packaging must carry a specific, durable mark showing, per the IPPC text:</w:t>
      </w:r>
    </w:p>
    <w:p/>
    <w:p>
      <w:pPr>
        <w:pStyle w:val="ListBullet"/>
      </w:pPr>
      <w:r>
        <w:t xml:space="preserve">The IPPC </w:t>
      </w:r>
      <w:r>
        <w:rPr>
          <w:b/>
        </w:rPr>
        <w:t>symbol</w:t>
      </w:r>
      <w:r>
        <w:t>;</w:t>
      </w:r>
    </w:p>
    <w:p>
      <w:pPr>
        <w:pStyle w:val="ListBullet"/>
      </w:pPr>
      <w:r>
        <w:t xml:space="preserve">A two-letter </w:t>
      </w:r>
      <w:r>
        <w:rPr>
          <w:b/>
        </w:rPr>
        <w:t>country code</w:t>
      </w:r>
      <w:r>
        <w:t>;</w:t>
      </w:r>
    </w:p>
    <w:p>
      <w:pPr>
        <w:pStyle w:val="ListBullet"/>
      </w:pPr>
      <w:r>
        <w:t xml:space="preserve">A unique </w:t>
      </w:r>
      <w:r>
        <w:rPr>
          <w:b/>
        </w:rPr>
        <w:t>producer/treatment-provider code</w:t>
      </w:r>
      <w:r>
        <w:t xml:space="preserve"> assigned by the national plant protection organisation;</w:t>
      </w:r>
    </w:p>
    <w:p>
      <w:pPr>
        <w:pStyle w:val="ListBullet"/>
      </w:pPr>
      <w:r>
        <w:t xml:space="preserve">The </w:t>
      </w:r>
      <w:r>
        <w:rPr>
          <w:b/>
        </w:rPr>
        <w:t>treatment code</w:t>
      </w:r>
      <w:r>
        <w:t xml:space="preserve"> (e.g. HT, DH or MB) using the approved abbreviation.</w:t>
      </w:r>
    </w:p>
    <w:p/>
    <w:p>
      <w:r>
        <w:t>The mark must appear on opposite sides in a legible, permanent and non-transferable way. A handwritten note, a supplier's invoice line or a sticker that is not the prescribed mark does not satisfy ISPM-15. If the mark is absent, illegible, or belongs to wood that has been repaired with untreated timber, the consignment can fail at the destination.</w:t>
      </w:r>
    </w:p>
    <w:p/>
    <w:p>
      <w:pPr>
        <w:pStyle w:val="Heading2"/>
      </w:pPr>
      <w:r>
        <w:t>China-side: who is allowed to treat and mark</w:t>
      </w:r>
    </w:p>
    <w:p/>
    <w:p>
      <w:r>
        <w:t>On the export side, China Customs administers the supervision of exit wood-packaging treatment and the registration of treatment enterprises: an enterprise that heat-treats or fumigates exit wood packaging and applies the mark must be qualified/registered with customs, and the packaging must be treated and marked under that regime. Exporters should therefore source treated wood packaging from a customs-registered treatment provider and retain its treatment certificate — not buy unmarked pallets and treat them informally.</w:t>
      </w:r>
    </w:p>
    <w:p/>
    <w:p>
      <w:pPr>
        <w:pStyle w:val="Heading2"/>
      </w:pPr>
      <w:r>
        <w:t>Destination layer: ISPM-15 is the floor, not the ceiling</w:t>
      </w:r>
    </w:p>
    <w:p/>
    <w:p>
      <w:r>
        <w:t>National plant protection organisations implement ISPM-15 and may add requirements. The United States APHIS program is one example of a detailed national WPM regime; other markets may require an additional fumigation certificate, specific declarations, or impose stricter MB rules. The international standard sets the common baseline; the destination authority sets the extra conditions.</w:t>
      </w:r>
    </w:p>
    <w:p/>
    <w:tbl>
      <w:tblPr>
        <w:tblStyle w:val="LightGrid-Accent1"/>
        <w:tblW w:type="auto" w:w="0"/>
        <w:tblLook w:firstColumn="1" w:firstRow="1" w:lastColumn="0" w:lastRow="0" w:noHBand="0" w:noVBand="1" w:val="04A0"/>
      </w:tblPr>
      <w:tblGrid>
        <w:gridCol w:w="4320"/>
        <w:gridCol w:w="4320"/>
      </w:tblGrid>
      <w:tr>
        <w:tc>
          <w:tcPr>
            <w:tcW w:type="dxa" w:w="4320"/>
          </w:tcPr>
          <w:p>
            <w:r>
              <w:t>Verification point</w:t>
            </w:r>
          </w:p>
        </w:tc>
        <w:tc>
          <w:tcPr>
            <w:tcW w:type="dxa" w:w="4320"/>
          </w:tcPr>
          <w:p>
            <w:r>
              <w:t>Action before shipment</w:t>
            </w:r>
          </w:p>
        </w:tc>
      </w:tr>
      <w:tr>
        <w:tc>
          <w:tcPr>
            <w:tcW w:type="dxa" w:w="4320"/>
          </w:tcPr>
          <w:p>
            <w:r>
              <w:t>Mark present and correct</w:t>
            </w:r>
          </w:p>
        </w:tc>
        <w:tc>
          <w:tcPr>
            <w:tcW w:type="dxa" w:w="4320"/>
          </w:tcPr>
          <w:p>
            <w:r>
              <w:t>Check symbol + country code + provider code + treatment code on multiple sides.</w:t>
            </w:r>
          </w:p>
        </w:tc>
      </w:tr>
      <w:tr>
        <w:tc>
          <w:tcPr>
            <w:tcW w:type="dxa" w:w="4320"/>
          </w:tcPr>
          <w:p>
            <w:r>
              <w:t>Registered provider</w:t>
            </w:r>
          </w:p>
        </w:tc>
        <w:tc>
          <w:tcPr>
            <w:tcW w:type="dxa" w:w="4320"/>
          </w:tcPr>
          <w:p>
            <w:r>
              <w:t>Use a China-Customs-registered treatment enterprise; keep its certificate.</w:t>
            </w:r>
          </w:p>
        </w:tc>
      </w:tr>
      <w:tr>
        <w:tc>
          <w:tcPr>
            <w:tcW w:type="dxa" w:w="4320"/>
          </w:tcPr>
          <w:p>
            <w:r>
              <w:t>Repairs/replacement</w:t>
            </w:r>
          </w:p>
        </w:tc>
        <w:tc>
          <w:tcPr>
            <w:tcW w:type="dxa" w:w="4320"/>
          </w:tcPr>
          <w:p>
            <w:r>
              <w:t>Any new solid-wood component added after treatment must itself be treated/marked.</w:t>
            </w:r>
          </w:p>
        </w:tc>
      </w:tr>
      <w:tr>
        <w:tc>
          <w:tcPr>
            <w:tcW w:type="dxa" w:w="4320"/>
          </w:tcPr>
          <w:p>
            <w:r>
              <w:t>Destination extras</w:t>
            </w:r>
          </w:p>
        </w:tc>
        <w:tc>
          <w:tcPr>
            <w:tcW w:type="dxa" w:w="4320"/>
          </w:tcPr>
          <w:p>
            <w:r>
              <w:t>Confirm with the buyer/forwarder whether the country needs extra certificates or bans MB.</w:t>
            </w:r>
          </w:p>
        </w:tc>
      </w:tr>
      <w:tr>
        <w:tc>
          <w:tcPr>
            <w:tcW w:type="dxa" w:w="4320"/>
          </w:tcPr>
          <w:p>
            <w:r>
              <w:t>Containerised vehicles/CKD</w:t>
            </w:r>
          </w:p>
        </w:tc>
        <w:tc>
          <w:tcPr>
            <w:tcW w:type="dxa" w:w="4320"/>
          </w:tcPr>
          <w:p>
            <w:r>
              <w:t>Inspect internal bracing, chocks and dunnage — hidden wood is still regulated.</w:t>
            </w:r>
          </w:p>
        </w:tc>
      </w:tr>
    </w:tbl>
    <w:p/>
    <w:p>
      <w:pPr>
        <w:pStyle w:val="Heading2"/>
      </w:pPr>
      <w:r>
        <w:t>Failure modes that cause destination problems</w:t>
      </w:r>
    </w:p>
    <w:p/>
    <w:p>
      <w:pPr>
        <w:pStyle w:val="ListBullet"/>
      </w:pPr>
      <w:r>
        <w:t>Unmarked or only-invoice-declared wood; bark residue beyond the allowed limits; a mark from a different shipment reused on new wood; mixing treated and untreated timber after a repack; assuming the ISPM baseline satisfies a country that demands more.</w:t>
      </w:r>
    </w:p>
    <w:p/>
    <w:p>
      <w:pPr>
        <w:pStyle w:val="Heading2"/>
      </w:pPr>
      <w:r>
        <w:t>FAQ</w:t>
      </w:r>
    </w:p>
    <w:p>
      <w:r>
        <w:rPr>
          <w:b/>
        </w:rPr>
        <w:t>Does ISPM-15 apply to the car itself or the wood around it?</w:t>
      </w:r>
    </w:p>
    <w:p/>
    <w:p>
      <w:r>
        <w:t>It regulates solid-wood packaging — crates, pallets, dunnage and bracing — not the vehicle, but CKD/parts and container bracing often contain regulated wood.</w:t>
      </w:r>
    </w:p>
    <w:p/>
    <w:p>
      <w:r>
        <w:rPr>
          <w:b/>
        </w:rPr>
        <w:t>What must the mark contain?</w:t>
      </w:r>
    </w:p>
    <w:p/>
    <w:p>
      <w:r>
        <w:t>The IPPC symbol, a country code, a unique producer/treatment-provider code and the treatment code such as HT or MB.</w:t>
      </w:r>
    </w:p>
    <w:p/>
    <w:p>
      <w:r>
        <w:rPr>
          <w:b/>
        </w:rPr>
        <w:t>Can I heat-treat and stamp pallets myself?</w:t>
      </w:r>
    </w:p>
    <w:p/>
    <w:p>
      <w:r>
        <w:t>In China, exit wood-packaging treatment and marking must be done by a customs-registered qualified treatment enterprise.</w:t>
      </w:r>
    </w:p>
    <w:p/>
    <w:p>
      <w:r>
        <w:rPr>
          <w:b/>
        </w:rPr>
        <w:t>Is HT always accepted and MB banned?</w:t>
      </w:r>
    </w:p>
    <w:p/>
    <w:p>
      <w:r>
        <w:t>HT is widely accepted; MB is an ISPM-recognised option but some destinations restrict it — confirm the destination position.</w:t>
      </w:r>
    </w:p>
    <w:p/>
    <w:p>
      <w:r>
        <w:rPr>
          <w:b/>
        </w:rPr>
        <w:t>Does ISPM-15 compliance guarantee entry?</w:t>
      </w:r>
    </w:p>
    <w:p/>
    <w:p>
      <w:r>
        <w:t>It sets the international floor; national authorities may add certificate or declaration requirements that must also be met.</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进境货物木质包装检疫监督管理办法（IPPC专用标识、检疫要求，海关PDF）</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http://www.customs.gov.cn/customs/302249/zfxxgk/2799825/302274/302277/6354193/%E8%BF%9B%E5%A2%83%E8%B4%A7%E7%89%A9%E6%9C%A8%E8%B4%A8%E5%8C%85%E8%A3%85%E6%A3%80%E7%96%AB%E7%9B%91%E7%9D%A3%E7%AE%A1%E7%90%86%E5%8A%9E%E6%B3%95.pdf</w:t>
            </w:r>
          </w:p>
        </w:tc>
        <w:tc>
          <w:tcPr>
            <w:tcW w:type="dxa" w:w="1234"/>
          </w:tcPr>
          <w:p>
            <w:r>
              <w:t>IPPC标识, 木质包装检疫 — 木质包装检疫</w:t>
            </w:r>
          </w:p>
        </w:tc>
      </w:tr>
      <w:tr>
        <w:tc>
          <w:tcPr>
            <w:tcW w:type="dxa" w:w="1234"/>
          </w:tcPr>
          <w:p>
            <w:r>
              <w:t>海关总署公告2025年第76号（出境竹木草企业注册，援引ISPM第15号标准）</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http://www.customs.gov.cn/customs/302249/zfxxgk/2799825/302274/302270/202511/6689010/index.html</w:t>
            </w:r>
          </w:p>
        </w:tc>
        <w:tc>
          <w:tcPr>
            <w:tcW w:type="dxa" w:w="1234"/>
          </w:tcPr>
          <w:p>
            <w:r>
              <w:t>出境木质包装, ISPM15, 企业注册 — 出境检疫监管</w:t>
            </w:r>
          </w:p>
        </w:tc>
      </w:tr>
      <w:tr>
        <w:tc>
          <w:tcPr>
            <w:tcW w:type="dxa" w:w="1234"/>
          </w:tcPr>
          <w:p>
            <w:r>
              <w:t>IPPC标识与ISPM-15处理方式（HT热处理/MB熏蒸，行业解读交叉）</w:t>
            </w:r>
          </w:p>
        </w:tc>
        <w:tc>
          <w:tcPr>
            <w:tcW w:type="dxa" w:w="1234"/>
          </w:tcPr>
          <w:p>
            <w:r>
              <w:t>搜狐（行业解读）</w:t>
            </w:r>
          </w:p>
        </w:tc>
        <w:tc>
          <w:tcPr>
            <w:tcW w:type="dxa" w:w="1234"/>
          </w:tcPr>
          <w:p>
            <w:r>
              <w:t>CN</w:t>
            </w:r>
          </w:p>
        </w:tc>
        <w:tc>
          <w:tcPr>
            <w:tcW w:type="dxa" w:w="1234"/>
          </w:tcPr>
          <w:p>
            <w:r>
              <w:t>T3</w:t>
            </w:r>
          </w:p>
        </w:tc>
        <w:tc>
          <w:tcPr>
            <w:tcW w:type="dxa" w:w="1234"/>
          </w:tcPr>
          <w:p>
            <w:r>
              <w:t>CROSS_CHECKED</w:t>
            </w:r>
          </w:p>
        </w:tc>
        <w:tc>
          <w:tcPr>
            <w:tcW w:type="dxa" w:w="1234"/>
          </w:tcPr>
          <w:p>
            <w:r>
              <w:t>https://www.sohu.com/a/946195374_121124360</w:t>
            </w:r>
          </w:p>
        </w:tc>
        <w:tc>
          <w:tcPr>
            <w:tcW w:type="dxa" w:w="1234"/>
          </w:tcPr>
          <w:p>
            <w:r>
              <w:t>HT/MB处理参数线索</w:t>
            </w:r>
          </w:p>
        </w:tc>
      </w:tr>
      <w:tr>
        <w:tc>
          <w:tcPr>
            <w:tcW w:type="dxa" w:w="1234"/>
          </w:tcPr>
          <w:p>
            <w:r>
              <w:t>ISPM 15:2009 Regulation of wood packaging material in international trade (official EN text)</w:t>
            </w:r>
          </w:p>
        </w:tc>
        <w:tc>
          <w:tcPr>
            <w:tcW w:type="dxa" w:w="1234"/>
          </w:tcPr>
          <w:p>
            <w:r>
              <w:t>IPPC / FAO</w:t>
            </w:r>
          </w:p>
        </w:tc>
        <w:tc>
          <w:tcPr>
            <w:tcW w:type="dxa" w:w="1234"/>
          </w:tcPr>
          <w:p>
            <w:r>
              <w:t>INT</w:t>
            </w:r>
          </w:p>
        </w:tc>
        <w:tc>
          <w:tcPr>
            <w:tcW w:type="dxa" w:w="1234"/>
          </w:tcPr>
          <w:p>
            <w:r>
              <w:t>T1</w:t>
            </w:r>
          </w:p>
        </w:tc>
        <w:tc>
          <w:tcPr>
            <w:tcW w:type="dxa" w:w="1234"/>
          </w:tcPr>
          <w:p>
            <w:r>
              <w:t>VERIFIED</w:t>
            </w:r>
          </w:p>
        </w:tc>
        <w:tc>
          <w:tcPr>
            <w:tcW w:type="dxa" w:w="1234"/>
          </w:tcPr>
          <w:p>
            <w:r>
              <w:t>https://www.ippc.int/static/media/files/publication/en/2016/03/ISPM_15_2009_En_2013-11-15_REV.pdf</w:t>
            </w:r>
          </w:p>
        </w:tc>
        <w:tc>
          <w:tcPr>
            <w:tcW w:type="dxa" w:w="1234"/>
          </w:tcPr>
          <w:p>
            <w:r>
              <w:t>ippc_mark — approved treatments and required mark components</w:t>
            </w:r>
          </w:p>
        </w:tc>
      </w:tr>
      <w:tr>
        <w:tc>
          <w:tcPr>
            <w:tcW w:type="dxa" w:w="1234"/>
          </w:tcPr>
          <w:p>
            <w:r>
              <w:t>Guide to the regulation of wood packaging material</w:t>
            </w:r>
          </w:p>
        </w:tc>
        <w:tc>
          <w:tcPr>
            <w:tcW w:type="dxa" w:w="1234"/>
          </w:tcPr>
          <w:p>
            <w:r>
              <w:t>Food and Agriculture Organization (FAO)</w:t>
            </w:r>
          </w:p>
        </w:tc>
        <w:tc>
          <w:tcPr>
            <w:tcW w:type="dxa" w:w="1234"/>
          </w:tcPr>
          <w:p>
            <w:r>
              <w:t>INT</w:t>
            </w:r>
          </w:p>
        </w:tc>
        <w:tc>
          <w:tcPr>
            <w:tcW w:type="dxa" w:w="1234"/>
          </w:tcPr>
          <w:p>
            <w:r>
              <w:t>T1</w:t>
            </w:r>
          </w:p>
        </w:tc>
        <w:tc>
          <w:tcPr>
            <w:tcW w:type="dxa" w:w="1234"/>
          </w:tcPr>
          <w:p>
            <w:r>
              <w:t>VERIFIED</w:t>
            </w:r>
          </w:p>
        </w:tc>
        <w:tc>
          <w:tcPr>
            <w:tcW w:type="dxa" w:w="1234"/>
          </w:tcPr>
          <w:p>
            <w:r>
              <w:t>https://openknowledge.fao.org/server/api/core/bitstreams/c1d1e9c9-7f71-4c7e-ba51-2a909b0bb273/content</w:t>
            </w:r>
          </w:p>
        </w:tc>
        <w:tc>
          <w:tcPr>
            <w:tcW w:type="dxa" w:w="1234"/>
          </w:tcPr>
          <w:p>
            <w:r>
              <w:t>treatment_methods — plain-language guide to treatment and marking</w:t>
            </w:r>
          </w:p>
        </w:tc>
      </w:tr>
      <w:tr>
        <w:tc>
          <w:tcPr>
            <w:tcW w:type="dxa" w:w="1234"/>
          </w:tcPr>
          <w:p>
            <w:r>
              <w:t>ISPMs — International Standards for Phytosanitary Measures</w:t>
            </w:r>
          </w:p>
        </w:tc>
        <w:tc>
          <w:tcPr>
            <w:tcW w:type="dxa" w:w="1234"/>
          </w:tcPr>
          <w:p>
            <w:r>
              <w:t>IPPC / FAO</w:t>
            </w:r>
          </w:p>
        </w:tc>
        <w:tc>
          <w:tcPr>
            <w:tcW w:type="dxa" w:w="1234"/>
          </w:tcPr>
          <w:p>
            <w:r>
              <w:t>INT</w:t>
            </w:r>
          </w:p>
        </w:tc>
        <w:tc>
          <w:tcPr>
            <w:tcW w:type="dxa" w:w="1234"/>
          </w:tcPr>
          <w:p>
            <w:r>
              <w:t>T1</w:t>
            </w:r>
          </w:p>
        </w:tc>
        <w:tc>
          <w:tcPr>
            <w:tcW w:type="dxa" w:w="1234"/>
          </w:tcPr>
          <w:p>
            <w:r>
              <w:t>VERIFIED</w:t>
            </w:r>
          </w:p>
        </w:tc>
        <w:tc>
          <w:tcPr>
            <w:tcW w:type="dxa" w:w="1234"/>
          </w:tcPr>
          <w:p>
            <w:r>
              <w:t>https://www.ippc.int/en/core-activities/standards-setting/ispms/</w:t>
            </w:r>
          </w:p>
        </w:tc>
        <w:tc>
          <w:tcPr>
            <w:tcW w:type="dxa" w:w="1234"/>
          </w:tcPr>
          <w:p>
            <w:r>
              <w:t>ippc_mark — current ISPM index; verify latest revision before shipment</w:t>
            </w:r>
          </w:p>
        </w:tc>
      </w:tr>
      <w:tr>
        <w:tc>
          <w:tcPr>
            <w:tcW w:type="dxa" w:w="1234"/>
          </w:tcPr>
          <w:p>
            <w:r>
              <w:t>Wood Packaging Material (export program)</w:t>
            </w:r>
          </w:p>
        </w:tc>
        <w:tc>
          <w:tcPr>
            <w:tcW w:type="dxa" w:w="1234"/>
          </w:tcPr>
          <w:p>
            <w:r>
              <w:t>USDA APHIS</w:t>
            </w:r>
          </w:p>
        </w:tc>
        <w:tc>
          <w:tcPr>
            <w:tcW w:type="dxa" w:w="1234"/>
          </w:tcPr>
          <w:p>
            <w:r>
              <w:t>US</w:t>
            </w:r>
          </w:p>
        </w:tc>
        <w:tc>
          <w:tcPr>
            <w:tcW w:type="dxa" w:w="1234"/>
          </w:tcPr>
          <w:p>
            <w:r>
              <w:t>T1</w:t>
            </w:r>
          </w:p>
        </w:tc>
        <w:tc>
          <w:tcPr>
            <w:tcW w:type="dxa" w:w="1234"/>
          </w:tcPr>
          <w:p>
            <w:r>
              <w:t>CROSS_CHECKED</w:t>
            </w:r>
          </w:p>
        </w:tc>
        <w:tc>
          <w:tcPr>
            <w:tcW w:type="dxa" w:w="1234"/>
          </w:tcPr>
          <w:p>
            <w:r>
              <w:t>https://www.aphis.usda.gov/import_export/plants/plant_exports/wpm/</w:t>
            </w:r>
          </w:p>
        </w:tc>
        <w:tc>
          <w:tcPr>
            <w:tcW w:type="dxa" w:w="1234"/>
          </w:tcPr>
          <w:p>
            <w:r>
              <w:t>treatment_methods — destination NPPO implementation example; country-specific</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2026-09-06</w:t>
      </w:r>
    </w:p>
    <w:p>
      <w:pPr>
        <w:pStyle w:val="ListBullet"/>
      </w:pPr>
      <w:r>
        <w:rPr>
          <w:b/>
        </w:rPr>
        <w:t>Reference market</w:t>
      </w:r>
      <w:r>
        <w:t>: CN出口侧 + IPPC国际植物检疫框架（目的国各自采纳，逐国确认）</w:t>
      </w:r>
    </w:p>
    <w:p>
      <w:pPr>
        <w:pStyle w:val="ListBullet"/>
      </w:pPr>
      <w:r>
        <w:rPr>
          <w:b/>
        </w:rPr>
        <w:t>Verification method</w:t>
      </w:r>
      <w:r>
        <w:t>: Desk research against the sources below; Chinese-market reference specification only unless a separate export market is explicitly cited. Time-sensitive items (rates, fees, lists, trim line-ups, domestic reference prices) must be re-confirmed on the official current page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