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Settling Chinese Vehicle Exports in RMB: Cross-Border RMB Settlement and the Role of CIPS</w:t>
      </w:r>
    </w:p>
    <w:p>
      <w:pPr>
        <w:pStyle w:val="Heading2"/>
      </w:pPr>
      <w:r>
        <w:t>SEO Metadata</w:t>
      </w:r>
    </w:p>
    <w:p>
      <w:pPr>
        <w:pStyle w:val="ListBullet"/>
      </w:pPr>
      <w:r>
        <w:rPr>
          <w:b/>
        </w:rPr>
        <w:t>SEO Title</w:t>
      </w:r>
      <w:r>
        <w:t>: RMB Settlement &amp; CIPS for Chinese Vehicle Exporters</w:t>
      </w:r>
    </w:p>
    <w:p>
      <w:pPr>
        <w:pStyle w:val="ListBullet"/>
      </w:pPr>
      <w:r>
        <w:rPr>
          <w:b/>
        </w:rPr>
        <w:t>Meta Description</w:t>
      </w:r>
      <w:r>
        <w:t>: Whether and how a Chinese vehicle exporter can invoice and receive payment in RMB, how cross-border RMB settlement works, the tax-refund position, and what CIPS actually does.</w:t>
      </w:r>
    </w:p>
    <w:p>
      <w:pPr>
        <w:pStyle w:val="ListBullet"/>
      </w:pPr>
      <w:r>
        <w:rPr>
          <w:b/>
        </w:rPr>
        <w:t>H1</w:t>
      </w:r>
      <w:r>
        <w:t>: Settling Chinese Vehicle Exports in RMB: Cross-Border RMB Settlement and the Role of CIPS</w:t>
      </w:r>
    </w:p>
    <w:p>
      <w:pPr>
        <w:pStyle w:val="ListBullet"/>
      </w:pPr>
      <w:r>
        <w:rPr>
          <w:b/>
        </w:rPr>
        <w:t>Primary Keyword</w:t>
      </w:r>
      <w:r>
        <w:t>: cross border RMB settlement CIPS vehicle export</w:t>
      </w:r>
    </w:p>
    <w:p>
      <w:pPr>
        <w:pStyle w:val="ListBullet"/>
      </w:pPr>
      <w:r>
        <w:rPr>
          <w:b/>
        </w:rPr>
        <w:t>Secondary Search Terms</w:t>
      </w:r>
      <w:r>
        <w:t>: RMB trade settlement; CIPS cross-border interbank payment; renminbi export receipt; cross-border RMB tax refund; RMB invoicing exporter</w:t>
      </w:r>
    </w:p>
    <w:p>
      <w:pPr>
        <w:pStyle w:val="ListBullet"/>
      </w:pPr>
      <w:r>
        <w:rPr>
          <w:b/>
        </w:rPr>
        <w:t>Suggested URL</w:t>
      </w:r>
      <w:r>
        <w:t>: /guides/cross-border-rmb-settlement-cips/</w:t>
      </w:r>
    </w:p>
    <w:p>
      <w:pPr>
        <w:pStyle w:val="ListBullet"/>
      </w:pPr>
      <w:r>
        <w:rPr>
          <w:b/>
        </w:rPr>
        <w:t>Search Intent</w:t>
      </w:r>
      <w:r>
        <w:t>: 汽车出口企业能否用人民币结算收汇、如何办理跨境人民币结算、CIPS在其中起什么作用</w:t>
      </w:r>
    </w:p>
    <w:p>
      <w:pPr>
        <w:pStyle w:val="ListBullet"/>
      </w:pPr>
      <w:r>
        <w:rPr>
          <w:b/>
        </w:rPr>
        <w:t>Internal Link Suggestions</w:t>
      </w:r>
      <w:r>
        <w:t>: /guides/export-payment-methods-t-t-lc-risk/, /guides/china-export-credit-insurance-sinosure/, /guides/china-customs-supervision-method-0110-1039/</w:t>
      </w:r>
    </w:p>
    <w:p>
      <w:pPr>
        <w:pStyle w:val="ListBullet"/>
      </w:pPr>
      <w:r>
        <w:rPr>
          <w:b/>
        </w:rPr>
        <w:t>Image Suggestion</w:t>
      </w:r>
      <w:r>
        <w:t>: An exporter comparing RMB settlement routes on screen with a vehicle contract and CIPS diagram</w:t>
      </w:r>
    </w:p>
    <w:p>
      <w:pPr>
        <w:pStyle w:val="ListBullet"/>
      </w:pPr>
      <w:r>
        <w:rPr>
          <w:b/>
        </w:rPr>
        <w:t>ALT Suggestion</w:t>
      </w:r>
      <w:r>
        <w:t>: Screen showing cross-border RMB settlement routes beside a vehicle export contract</w:t>
      </w:r>
    </w:p>
    <w:p>
      <w:pPr>
        <w:pStyle w:val="ListBullet"/>
      </w:pPr>
      <w:r>
        <w:rPr>
          <w:b/>
        </w:rPr>
        <w:t>Schema Scope</w:t>
      </w:r>
      <w:r>
        <w:t>: Article (no Product/Offer/Price/Review/Rating)</w:t>
      </w:r>
    </w:p>
    <w:p/>
    <w:p>
      <w:r>
        <w:t>Invoicing a vehicle export in renminbi instead of US dollars removes one layer of exchange risk for the Chinese seller — but only if the settlement is legally structured, the buyer can actually obtain and pay RMB, and the banking channel supports it. This page explains the policy basis for cross-border RMB settlement, how a vehicle exporter receives RMB, the export tax-refund position, and precisely what the Cross-Border Interbank Payment System (CIPS) does and does not do.</w:t>
      </w:r>
    </w:p>
    <w:p/>
    <w:p>
      <w:pPr>
        <w:pStyle w:val="Heading2"/>
      </w:pPr>
      <w:r>
        <w:t>Eligibility: RMB settlement is a normal, policy-supported option</w:t>
      </w:r>
    </w:p>
    <w:p/>
    <w:p>
      <w:r>
        <w:t>The legal foundation is the cross-border trade RMB settlement framework established by the People's Bank of China and partner ministries (the 2009 pilot administrative measures and their implementing rules). Under it, enterprises that declare and settle goods trade in RMB use the cross-border RMB channel; the pilot was broadened over time so that legitimate current-account trade — including vehicle exports — can be settled in renminbi through settlement banks. Eligibility is about operating through a qualified bank with a true trade background, not about a special licence for each deal.</w:t>
      </w:r>
    </w:p>
    <w:p/>
    <w:p>
      <w:pPr>
        <w:pStyle w:val="Heading2"/>
      </w:pPr>
      <w:r>
        <w:t>How the money actually moves</w:t>
      </w:r>
    </w:p>
    <w:p/>
    <w:p>
      <w:pPr>
        <w:pStyle w:val="ListNumber"/>
      </w:pPr>
      <w:r>
        <w:t>The sales contract and proforma invoice denominate in RMB, and the export declaration is consistent with RMB settlement.</w:t>
      </w:r>
    </w:p>
    <w:p>
      <w:pPr>
        <w:pStyle w:val="ListNumber"/>
      </w:pPr>
      <w:r>
        <w:t>The overseas buyer arranges RMB payment through its bank (an overseas participating/agent bank).</w:t>
      </w:r>
    </w:p>
    <w:p>
      <w:pPr>
        <w:pStyle w:val="ListNumber"/>
      </w:pPr>
      <w:r>
        <w:t xml:space="preserve">Funds clear through the cross-border RMB clearing infrastructure — via an RMB clearing bank or </w:t>
      </w:r>
      <w:r>
        <w:rPr>
          <w:b/>
        </w:rPr>
        <w:t>CIPS</w:t>
      </w:r>
      <w:r>
        <w:t xml:space="preserve"> — to the Chinese exporter's settlement bank.</w:t>
      </w:r>
    </w:p>
    <w:p>
      <w:pPr>
        <w:pStyle w:val="ListNumber"/>
      </w:pPr>
      <w:r>
        <w:t>The Chinese bank verifies the trade background (contract, declaration, receipt consistency) and credits RMB to the enterprise account.</w:t>
      </w:r>
    </w:p>
    <w:p/>
    <w:p>
      <w:pPr>
        <w:pStyle w:val="Heading2"/>
      </w:pPr>
      <w:r>
        <w:t>Tax refund: RMB settlement does not forfeit the export refund</w:t>
      </w:r>
    </w:p>
    <w:p/>
    <w:p>
      <w:r>
        <w:t>A common worry is that receiving RMB rather than foreign exchange blocks the export tax refund. The implementing framework treats legitimate RMB trade settlement as eligible for export rebate treatment on the same basis as foreign-exchange settlement, provided the trade background and documents are compliant. The refund turns on valid input invoices and a proper general-trade chain (see the trade-modes guide), not on the settlement currency itself. Confirm the operational documents with the tax authority and settlement bank for the specific case.</w:t>
      </w:r>
    </w:p>
    <w:p/>
    <w:p>
      <w:pPr>
        <w:pStyle w:val="Heading2"/>
      </w:pPr>
      <w:r>
        <w:t>What CIPS is — and what it is not</w:t>
      </w:r>
    </w:p>
    <w:p/>
    <w:p>
      <w:r>
        <w:t xml:space="preserve">CIPS is a financial-market infrastructure that provides clearing and settlement of cross-border and offshore RMB payments for its </w:t>
      </w:r>
      <w:r>
        <w:rPr>
          <w:b/>
        </w:rPr>
        <w:t>participating institutions</w:t>
      </w:r>
      <w:r>
        <w:t xml:space="preserve">, under PBoC business rules (the current CIPS Business Rules define its operators and participants). It is the interbank pipe: it moves RMB between banks. It is </w:t>
      </w:r>
      <w:r>
        <w:rPr>
          <w:b/>
        </w:rPr>
        <w:t>not</w:t>
      </w:r>
      <w:r>
        <w:t xml:space="preserve"> a party to the trade contract, not a lender to the exporter, and not an escrow service; an exporter does not 'open a CIPS account' — it banks with a settlement bank that reaches CIPS or an RMB clearing arrangement. The current participant directory is published by CIPS and changes, so do not hard-code a correspondent relationship.</w:t>
      </w:r>
    </w:p>
    <w:p/>
    <w:p>
      <w:pPr>
        <w:pStyle w:val="Heading2"/>
      </w:pPr>
      <w:r>
        <w:t>The real-world constraint: can the buyer pay RMB?</w:t>
      </w:r>
    </w:p>
    <w:p/>
    <w:p>
      <w:r>
        <w:t>&gt; Policy permission on the Chinese side does not guarantee RMB liquidity on the buyer side. Whether the destination market supports RMB payment, whether the buyer's bank can route it, and at what cost, must be confirmed case by case with the buyer and the banks. Settlement fees and arrival times vary by bank and are time-sensitive; obtain them rather than assuming numbers.</w:t>
      </w:r>
    </w:p>
    <w:p/>
    <w:p>
      <w:pPr>
        <w:pStyle w:val="Heading2"/>
      </w:pPr>
      <w:r>
        <w:t>RMB versus FX, and where SAFE sits</w:t>
      </w:r>
    </w:p>
    <w:p/>
    <w:p>
      <w:r>
        <w:t>Foreign-exchange receipt is governed by the State Administration of Foreign Exchange (SAFE); cross-border RMB runs under the PBoC RMB framework. Choosing RMB moves the transaction out of the FX-conversion track but does not exempt it from trade-background verification, anti-money-laundering checks or sanctions screening. For the exporter, the cleanest structure aligns contract currency, declaration currency, receipt currency and tax filing so no document contradicts another.</w:t>
      </w:r>
    </w:p>
    <w:p/>
    <w:tbl>
      <w:tblPr>
        <w:tblStyle w:val="LightGrid-Accent1"/>
        <w:tblW w:type="auto" w:w="0"/>
        <w:tblLook w:firstColumn="1" w:firstRow="1" w:lastColumn="0" w:lastRow="0" w:noHBand="0" w:noVBand="1" w:val="04A0"/>
      </w:tblPr>
      <w:tblGrid>
        <w:gridCol w:w="4320"/>
        <w:gridCol w:w="4320"/>
      </w:tblGrid>
      <w:tr>
        <w:tc>
          <w:tcPr>
            <w:tcW w:type="dxa" w:w="4320"/>
          </w:tcPr>
          <w:p>
            <w:r>
              <w:t>Decision point</w:t>
            </w:r>
          </w:p>
        </w:tc>
        <w:tc>
          <w:tcPr>
            <w:tcW w:type="dxa" w:w="4320"/>
          </w:tcPr>
          <w:p>
            <w:r>
              <w:t>Action</w:t>
            </w:r>
          </w:p>
        </w:tc>
      </w:tr>
      <w:tr>
        <w:tc>
          <w:tcPr>
            <w:tcW w:type="dxa" w:w="4320"/>
          </w:tcPr>
          <w:p>
            <w:r>
              <w:t>Buyer RMB capability</w:t>
            </w:r>
          </w:p>
        </w:tc>
        <w:tc>
          <w:tcPr>
            <w:tcW w:type="dxa" w:w="4320"/>
          </w:tcPr>
          <w:p>
            <w:r>
              <w:t>Confirm with the buyer and its bank that RMB can be sourced and routed before contracting in RMB.</w:t>
            </w:r>
          </w:p>
        </w:tc>
      </w:tr>
      <w:tr>
        <w:tc>
          <w:tcPr>
            <w:tcW w:type="dxa" w:w="4320"/>
          </w:tcPr>
          <w:p>
            <w:r>
              <w:t>Settlement bank</w:t>
            </w:r>
          </w:p>
        </w:tc>
        <w:tc>
          <w:tcPr>
            <w:tcW w:type="dxa" w:w="4320"/>
          </w:tcPr>
          <w:p>
            <w:r>
              <w:t>Use a bank able to handle cross-border RMB; ask which clearing route (CIPS / clearing bank) it uses.</w:t>
            </w:r>
          </w:p>
        </w:tc>
      </w:tr>
      <w:tr>
        <w:tc>
          <w:tcPr>
            <w:tcW w:type="dxa" w:w="4320"/>
          </w:tcPr>
          <w:p>
            <w:r>
              <w:t>Document consistency</w:t>
            </w:r>
          </w:p>
        </w:tc>
        <w:tc>
          <w:tcPr>
            <w:tcW w:type="dxa" w:w="4320"/>
          </w:tcPr>
          <w:p>
            <w:r>
              <w:t>Keep contract, customs declaration and RMB receipt aligned to support verification and refund.</w:t>
            </w:r>
          </w:p>
        </w:tc>
      </w:tr>
      <w:tr>
        <w:tc>
          <w:tcPr>
            <w:tcW w:type="dxa" w:w="4320"/>
          </w:tcPr>
          <w:p>
            <w:r>
              <w:t>Fees &amp; timing</w:t>
            </w:r>
          </w:p>
        </w:tc>
        <w:tc>
          <w:tcPr>
            <w:tcW w:type="dxa" w:w="4320"/>
          </w:tcPr>
          <w:p>
            <w:r>
              <w:t>Obtain current bank charges and timelines; do not assume.</w:t>
            </w:r>
          </w:p>
        </w:tc>
      </w:tr>
      <w:tr>
        <w:tc>
          <w:tcPr>
            <w:tcW w:type="dxa" w:w="4320"/>
          </w:tcPr>
          <w:p>
            <w:r>
              <w:t>Risk cover</w:t>
            </w:r>
          </w:p>
        </w:tc>
        <w:tc>
          <w:tcPr>
            <w:tcW w:type="dxa" w:w="4320"/>
          </w:tcPr>
          <w:p>
            <w:r>
              <w:t>RMB settlement removes FX mismatch for the seller but not buyer non-payment — pair with payment-term and credit-insurance controls.</w:t>
            </w:r>
          </w:p>
        </w:tc>
      </w:tr>
    </w:tbl>
    <w:p/>
    <w:p>
      <w:pPr>
        <w:pStyle w:val="Heading2"/>
      </w:pPr>
      <w:r>
        <w:t>FAQ</w:t>
      </w:r>
    </w:p>
    <w:p>
      <w:r>
        <w:rPr>
          <w:b/>
        </w:rPr>
        <w:t>Can a Chinese vehicle exporter legally receive RMB for an export?</w:t>
      </w:r>
    </w:p>
    <w:p/>
    <w:p>
      <w:r>
        <w:t>Yes — legitimate goods trade can be settled in RMB through the cross-border RMB channel via a qualified settlement bank under the PBoC framework.</w:t>
      </w:r>
    </w:p>
    <w:p/>
    <w:p>
      <w:r>
        <w:rPr>
          <w:b/>
        </w:rPr>
        <w:t>Does RMB settlement block the export tax refund?</w:t>
      </w:r>
    </w:p>
    <w:p/>
    <w:p>
      <w:r>
        <w:t>No; compliant RMB trade settlement supports export rebate treatment on the same basis, subject to normal invoice and trade-chain requirements.</w:t>
      </w:r>
    </w:p>
    <w:p/>
    <w:p>
      <w:r>
        <w:rPr>
          <w:b/>
        </w:rPr>
        <w:t>Do I open an account with CIPS?</w:t>
      </w:r>
    </w:p>
    <w:p/>
    <w:p>
      <w:r>
        <w:t>No — CIPS clears between participating banks; an exporter uses its settlement bank, which connects to CIPS or an RMB clearing bank.</w:t>
      </w:r>
    </w:p>
    <w:p/>
    <w:p>
      <w:r>
        <w:rPr>
          <w:b/>
        </w:rPr>
        <w:t>Does CIPS guarantee payment or act as escrow?</w:t>
      </w:r>
    </w:p>
    <w:p/>
    <w:p>
      <w:r>
        <w:t>No, it is interbank payment infrastructure, not a trade party, lender or escrow agent.</w:t>
      </w:r>
    </w:p>
    <w:p/>
    <w:p>
      <w:r>
        <w:rPr>
          <w:b/>
        </w:rPr>
        <w:t>Why might an overseas buyer not pay in RMB?</w:t>
      </w:r>
    </w:p>
    <w:p/>
    <w:p>
      <w:r>
        <w:t>Limited local RMB liquidity or bank routing in some markets; confirm capability and cost case by case.</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关于进一步优化跨境人民币政策支持稳外贸稳外资的通知（六部门，2021-01-04）</w:t>
            </w:r>
          </w:p>
        </w:tc>
        <w:tc>
          <w:tcPr>
            <w:tcW w:type="dxa" w:w="1234"/>
          </w:tcPr>
          <w:p>
            <w:r>
              <w:t>中国政府网</w:t>
            </w:r>
          </w:p>
        </w:tc>
        <w:tc>
          <w:tcPr>
            <w:tcW w:type="dxa" w:w="1234"/>
          </w:tcPr>
          <w:p>
            <w:r>
              <w:t>CN</w:t>
            </w:r>
          </w:p>
        </w:tc>
        <w:tc>
          <w:tcPr>
            <w:tcW w:type="dxa" w:w="1234"/>
          </w:tcPr>
          <w:p>
            <w:r>
              <w:t>T1</w:t>
            </w:r>
          </w:p>
        </w:tc>
        <w:tc>
          <w:tcPr>
            <w:tcW w:type="dxa" w:w="1234"/>
          </w:tcPr>
          <w:p>
            <w:r>
              <w:t>VERIFIED</w:t>
            </w:r>
          </w:p>
        </w:tc>
        <w:tc>
          <w:tcPr>
            <w:tcW w:type="dxa" w:w="1234"/>
          </w:tcPr>
          <w:p>
            <w:r>
              <w:t>https://www.gov.cn/zhengce/zhengceku/2021-01/05/content_5576890.htm</w:t>
            </w:r>
          </w:p>
        </w:tc>
        <w:tc>
          <w:tcPr>
            <w:tcW w:type="dxa" w:w="1234"/>
          </w:tcPr>
          <w:p>
            <w:r>
              <w:t>货物贸易人民币结算, 结算便利化 — 跨境人民币政策</w:t>
            </w:r>
          </w:p>
        </w:tc>
      </w:tr>
      <w:tr>
        <w:tc>
          <w:tcPr>
            <w:tcW w:type="dxa" w:w="1234"/>
          </w:tcPr>
          <w:p>
            <w:r>
              <w:t>跨境贸易人民币结算介绍（凡具备资格企业出口货物贸易均可人民币结算、人民币结算出口可享退税）</w:t>
            </w:r>
          </w:p>
        </w:tc>
        <w:tc>
          <w:tcPr>
            <w:tcW w:type="dxa" w:w="1234"/>
          </w:tcPr>
          <w:p>
            <w:r>
              <w:t>中国银行</w:t>
            </w:r>
          </w:p>
        </w:tc>
        <w:tc>
          <w:tcPr>
            <w:tcW w:type="dxa" w:w="1234"/>
          </w:tcPr>
          <w:p>
            <w:r>
              <w:t>CN</w:t>
            </w:r>
          </w:p>
        </w:tc>
        <w:tc>
          <w:tcPr>
            <w:tcW w:type="dxa" w:w="1234"/>
          </w:tcPr>
          <w:p>
            <w:r>
              <w:t>T2</w:t>
            </w:r>
          </w:p>
        </w:tc>
        <w:tc>
          <w:tcPr>
            <w:tcW w:type="dxa" w:w="1234"/>
          </w:tcPr>
          <w:p>
            <w:r>
              <w:t>CROSS_CHECKED</w:t>
            </w:r>
          </w:p>
        </w:tc>
        <w:tc>
          <w:tcPr>
            <w:tcW w:type="dxa" w:w="1234"/>
          </w:tcPr>
          <w:p>
            <w:r>
              <w:t>https://www.boc.cn/ibtservice/bi1/201012/t20101210_1240157.html</w:t>
            </w:r>
          </w:p>
        </w:tc>
        <w:tc>
          <w:tcPr>
            <w:tcW w:type="dxa" w:w="1234"/>
          </w:tcPr>
          <w:p>
            <w:r>
              <w:t>结算范围, 退税衔接 — 国有大行结算实务</w:t>
            </w:r>
          </w:p>
        </w:tc>
      </w:tr>
      <w:tr>
        <w:tc>
          <w:tcPr>
            <w:tcW w:type="dxa" w:w="1234"/>
          </w:tcPr>
          <w:p>
            <w:r>
              <w:t>跨境人民币结算FAQ（货物贸易结算、先进后收/预收预付）</w:t>
            </w:r>
          </w:p>
        </w:tc>
        <w:tc>
          <w:tcPr>
            <w:tcW w:type="dxa" w:w="1234"/>
          </w:tcPr>
          <w:p>
            <w:r>
              <w:t>中国银行</w:t>
            </w:r>
          </w:p>
        </w:tc>
        <w:tc>
          <w:tcPr>
            <w:tcW w:type="dxa" w:w="1234"/>
          </w:tcPr>
          <w:p>
            <w:r>
              <w:t>CN</w:t>
            </w:r>
          </w:p>
        </w:tc>
        <w:tc>
          <w:tcPr>
            <w:tcW w:type="dxa" w:w="1234"/>
          </w:tcPr>
          <w:p>
            <w:r>
              <w:t>T2</w:t>
            </w:r>
          </w:p>
        </w:tc>
        <w:tc>
          <w:tcPr>
            <w:tcW w:type="dxa" w:w="1234"/>
          </w:tcPr>
          <w:p>
            <w:r>
              <w:t>CROSS_CHECKED</w:t>
            </w:r>
          </w:p>
        </w:tc>
        <w:tc>
          <w:tcPr>
            <w:tcW w:type="dxa" w:w="1234"/>
          </w:tcPr>
          <w:p>
            <w:r>
              <w:t>https://www.boc.cn/ibtservice/bi1/202009/t20200914_18549064.html</w:t>
            </w:r>
          </w:p>
        </w:tc>
        <w:tc>
          <w:tcPr>
            <w:tcW w:type="dxa" w:w="1234"/>
          </w:tcPr>
          <w:p>
            <w:r>
              <w:t>结算场景, 银行审核 — 结算实务</w:t>
            </w:r>
          </w:p>
        </w:tc>
      </w:tr>
      <w:tr>
        <w:tc>
          <w:tcPr>
            <w:tcW w:type="dxa" w:w="1234"/>
          </w:tcPr>
          <w:p>
            <w:r>
              <w:t>CIPS跨境银行间支付清算公司（人民币跨境支付系统运营机构、业务规则）</w:t>
            </w:r>
          </w:p>
        </w:tc>
        <w:tc>
          <w:tcPr>
            <w:tcW w:type="dxa" w:w="1234"/>
          </w:tcPr>
          <w:p>
            <w:r>
              <w:t>跨境银行间支付清算有限责任公司(CIPS)</w:t>
            </w:r>
          </w:p>
        </w:tc>
        <w:tc>
          <w:tcPr>
            <w:tcW w:type="dxa" w:w="1234"/>
          </w:tcPr>
          <w:p>
            <w:r>
              <w:t>CN</w:t>
            </w:r>
          </w:p>
        </w:tc>
        <w:tc>
          <w:tcPr>
            <w:tcW w:type="dxa" w:w="1234"/>
          </w:tcPr>
          <w:p>
            <w:r>
              <w:t>T1</w:t>
            </w:r>
          </w:p>
        </w:tc>
        <w:tc>
          <w:tcPr>
            <w:tcW w:type="dxa" w:w="1234"/>
          </w:tcPr>
          <w:p>
            <w:r>
              <w:t>VERIFIED</w:t>
            </w:r>
          </w:p>
        </w:tc>
        <w:tc>
          <w:tcPr>
            <w:tcW w:type="dxa" w:w="1234"/>
          </w:tcPr>
          <w:p>
            <w:r>
              <w:t>https://www.cips.com.cn/cips/ywzy96/index.html</w:t>
            </w:r>
          </w:p>
        </w:tc>
        <w:tc>
          <w:tcPr>
            <w:tcW w:type="dxa" w:w="1234"/>
          </w:tcPr>
          <w:p>
            <w:r>
              <w:t>CIPS系统职能, 清算渠道 — 人民币跨境清算基础设施</w:t>
            </w:r>
          </w:p>
        </w:tc>
      </w:tr>
      <w:tr>
        <w:tc>
          <w:tcPr>
            <w:tcW w:type="dxa" w:w="1234"/>
          </w:tcPr>
          <w:p>
            <w:r>
              <w:t>跨境贸易人民币结算试点管理办法（六部委公告2009年第10号）</w:t>
            </w:r>
          </w:p>
        </w:tc>
        <w:tc>
          <w:tcPr>
            <w:tcW w:type="dxa" w:w="1234"/>
          </w:tcPr>
          <w:p>
            <w:r>
              <w:t>中国政府网/中国人民银行</w:t>
            </w:r>
          </w:p>
        </w:tc>
        <w:tc>
          <w:tcPr>
            <w:tcW w:type="dxa" w:w="1234"/>
          </w:tcPr>
          <w:p>
            <w:r>
              <w:t>CN</w:t>
            </w:r>
          </w:p>
        </w:tc>
        <w:tc>
          <w:tcPr>
            <w:tcW w:type="dxa" w:w="1234"/>
          </w:tcPr>
          <w:p>
            <w:r>
              <w:t>T1</w:t>
            </w:r>
          </w:p>
        </w:tc>
        <w:tc>
          <w:tcPr>
            <w:tcW w:type="dxa" w:w="1234"/>
          </w:tcPr>
          <w:p>
            <w:r>
              <w:t>VERIFIED</w:t>
            </w:r>
          </w:p>
        </w:tc>
        <w:tc>
          <w:tcPr>
            <w:tcW w:type="dxa" w:w="1234"/>
          </w:tcPr>
          <w:p>
            <w:r>
              <w:t>https://www.gov.cn/gongbao/content/2010/content_1533509.htm</w:t>
            </w:r>
          </w:p>
        </w:tc>
        <w:tc>
          <w:tcPr>
            <w:tcW w:type="dxa" w:w="1234"/>
          </w:tcPr>
          <w:p>
            <w:r>
              <w:t>eligibility — eligibility and RMB settlement/clearing legal basis</w:t>
            </w:r>
          </w:p>
        </w:tc>
      </w:tr>
      <w:tr>
        <w:tc>
          <w:tcPr>
            <w:tcW w:type="dxa" w:w="1234"/>
          </w:tcPr>
          <w:p>
            <w:r>
              <w:t>跨境贸易人民币结算试点管理办法实施细则</w:t>
            </w:r>
          </w:p>
        </w:tc>
        <w:tc>
          <w:tcPr>
            <w:tcW w:type="dxa" w:w="1234"/>
          </w:tcPr>
          <w:p>
            <w:r>
              <w:t>中国政府网/中国人民银行</w:t>
            </w:r>
          </w:p>
        </w:tc>
        <w:tc>
          <w:tcPr>
            <w:tcW w:type="dxa" w:w="1234"/>
          </w:tcPr>
          <w:p>
            <w:r>
              <w:t>CN</w:t>
            </w:r>
          </w:p>
        </w:tc>
        <w:tc>
          <w:tcPr>
            <w:tcW w:type="dxa" w:w="1234"/>
          </w:tcPr>
          <w:p>
            <w:r>
              <w:t>T1</w:t>
            </w:r>
          </w:p>
        </w:tc>
        <w:tc>
          <w:tcPr>
            <w:tcW w:type="dxa" w:w="1234"/>
          </w:tcPr>
          <w:p>
            <w:r>
              <w:t>VERIFIED</w:t>
            </w:r>
          </w:p>
        </w:tc>
        <w:tc>
          <w:tcPr>
            <w:tcW w:type="dxa" w:w="1234"/>
          </w:tcPr>
          <w:p>
            <w:r>
              <w:t>https://www.gov.cn/gongbao/content/2010/content_1555970.htm</w:t>
            </w:r>
          </w:p>
        </w:tc>
        <w:tc>
          <w:tcPr>
            <w:tcW w:type="dxa" w:w="1234"/>
          </w:tcPr>
          <w:p>
            <w:r>
              <w:t>tax_refund — RMB declaration &amp; settlement operational rules; tax refund eligibility</w:t>
            </w:r>
          </w:p>
        </w:tc>
      </w:tr>
      <w:tr>
        <w:tc>
          <w:tcPr>
            <w:tcW w:type="dxa" w:w="1234"/>
          </w:tcPr>
          <w:p>
            <w:r>
              <w:t>人民币跨境支付系统业务规则（2026年第5号公报）</w:t>
            </w:r>
          </w:p>
        </w:tc>
        <w:tc>
          <w:tcPr>
            <w:tcW w:type="dxa" w:w="1234"/>
          </w:tcPr>
          <w:p>
            <w:r>
              <w:t>中国政府网/中国人民银行</w:t>
            </w:r>
          </w:p>
        </w:tc>
        <w:tc>
          <w:tcPr>
            <w:tcW w:type="dxa" w:w="1234"/>
          </w:tcPr>
          <w:p>
            <w:r>
              <w:t>CN</w:t>
            </w:r>
          </w:p>
        </w:tc>
        <w:tc>
          <w:tcPr>
            <w:tcW w:type="dxa" w:w="1234"/>
          </w:tcPr>
          <w:p>
            <w:r>
              <w:t>T1</w:t>
            </w:r>
          </w:p>
        </w:tc>
        <w:tc>
          <w:tcPr>
            <w:tcW w:type="dxa" w:w="1234"/>
          </w:tcPr>
          <w:p>
            <w:r>
              <w:t>VERIFIED</w:t>
            </w:r>
          </w:p>
        </w:tc>
        <w:tc>
          <w:tcPr>
            <w:tcW w:type="dxa" w:w="1234"/>
          </w:tcPr>
          <w:p>
            <w:r>
              <w:t>https://www.gov.cn/gongbao/2026/issue_12566/202602/content_7057933.html</w:t>
            </w:r>
          </w:p>
        </w:tc>
        <w:tc>
          <w:tcPr>
            <w:tcW w:type="dxa" w:w="1234"/>
          </w:tcPr>
          <w:p>
            <w:r>
              <w:t>cips_role — CIPS participants and clearing scope; current business rules</w:t>
            </w:r>
          </w:p>
        </w:tc>
      </w:tr>
      <w:tr>
        <w:tc>
          <w:tcPr>
            <w:tcW w:type="dxa" w:w="1234"/>
          </w:tcPr>
          <w:p>
            <w:r>
              <w:t>国家外汇管理局（官方）</w:t>
            </w:r>
          </w:p>
        </w:tc>
        <w:tc>
          <w:tcPr>
            <w:tcW w:type="dxa" w:w="1234"/>
          </w:tcPr>
          <w:p>
            <w:r>
              <w:t>国家外汇管理局</w:t>
            </w:r>
          </w:p>
        </w:tc>
        <w:tc>
          <w:tcPr>
            <w:tcW w:type="dxa" w:w="1234"/>
          </w:tcPr>
          <w:p>
            <w:r>
              <w:t>CN</w:t>
            </w:r>
          </w:p>
        </w:tc>
        <w:tc>
          <w:tcPr>
            <w:tcW w:type="dxa" w:w="1234"/>
          </w:tcPr>
          <w:p>
            <w:r>
              <w:t>T1</w:t>
            </w:r>
          </w:p>
        </w:tc>
        <w:tc>
          <w:tcPr>
            <w:tcW w:type="dxa" w:w="1234"/>
          </w:tcPr>
          <w:p>
            <w:r>
              <w:t>CROSS_CHECKED</w:t>
            </w:r>
          </w:p>
        </w:tc>
        <w:tc>
          <w:tcPr>
            <w:tcW w:type="dxa" w:w="1234"/>
          </w:tcPr>
          <w:p>
            <w:r>
              <w:t>https://www.safe.gov.cn/</w:t>
            </w:r>
          </w:p>
        </w:tc>
        <w:tc>
          <w:tcPr>
            <w:tcW w:type="dxa" w:w="1234"/>
          </w:tcPr>
          <w:p>
            <w:r>
              <w:t>bank_channel — foreign-exchange regulator; RMB settlement vs FX settlement boundary</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2026-09-06</w:t>
      </w:r>
    </w:p>
    <w:p>
      <w:pPr>
        <w:pStyle w:val="ListBullet"/>
      </w:pPr>
      <w:r>
        <w:rPr>
          <w:b/>
        </w:rPr>
        <w:t>Reference market</w:t>
      </w:r>
      <w:r>
        <w:t>: CN（人民币跨境结算政策侧；手续费/流动性/参与行名单为时点且逐案确认）</w:t>
      </w:r>
    </w:p>
    <w:p>
      <w:pPr>
        <w:pStyle w:val="ListBullet"/>
      </w:pPr>
      <w:r>
        <w:rPr>
          <w:b/>
        </w:rPr>
        <w:t>Verification method</w:t>
      </w:r>
      <w:r>
        <w:t>: Desk research against the sources below; Chinese-market reference specification only unless a separate export market is explicitly cited. Time-sensitive items (rates, fees, lists, trim line-ups, domestic reference prices) must be re-confirmed on the official current page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