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MBL, HBL, Telex Release or Sea Waybill? Choosing a Vehicle's Release Method Under the 2025 Maritime Code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Export Bill of Lading Guide — MBL/HBL/Telex/SWB + Maritime Code Arts. 80/81/87</w:t>
      </w:r>
    </w:p>
    <w:p>
      <w:pPr>
        <w:pStyle w:val="ListBullet"/>
      </w:pPr>
      <w:r>
        <w:rPr>
          <w:b/>
        </w:rPr>
        <w:t>Meta Description</w:t>
      </w:r>
      <w:r>
        <w:t>: How master bills, house bills, telex release and sea waybills differ, the transferability/delivery rules in China's revised Maritime Code (in force 2026-05-01, Arts. 80/81/87), and matching release method to payment terms.</w:t>
      </w:r>
    </w:p>
    <w:p>
      <w:pPr>
        <w:pStyle w:val="ListBullet"/>
      </w:pPr>
      <w:r>
        <w:rPr>
          <w:b/>
        </w:rPr>
        <w:t>Suggested URL</w:t>
      </w:r>
      <w:r>
        <w:t>: /guides/vehicle-export-bill-of-lading-types</w:t>
      </w:r>
    </w:p>
    <w:p>
      <w:pPr>
        <w:pStyle w:val="ListBullet"/>
      </w:pPr>
      <w:r>
        <w:rPr>
          <w:b/>
        </w:rPr>
        <w:t>H1</w:t>
      </w:r>
      <w:r>
        <w:t>: Picking a Bill-of-Lading Release Method for an Exported Vehicle — Business Practice Anchored in the Revised Maritime Code</w:t>
      </w:r>
    </w:p>
    <w:p>
      <w:pPr>
        <w:pStyle w:val="ListBullet"/>
      </w:pPr>
      <w:r>
        <w:rPr>
          <w:b/>
        </w:rPr>
        <w:t>Primary Keyword</w:t>
      </w:r>
      <w:r>
        <w:t>: vehicle export bill of lading mbl hbl telex release seawaybill</w:t>
      </w:r>
    </w:p>
    <w:p>
      <w:pPr>
        <w:pStyle w:val="ListBullet"/>
      </w:pPr>
      <w:r>
        <w:rPr>
          <w:b/>
        </w:rPr>
        <w:t>Secondary Search Terms</w:t>
      </w:r>
      <w:r>
        <w:t>: Maritime Code 2025 revision, article 80 bill of lading transfer, article 81 other transport document, article 87 delivery, NVOCC HBL, order bill telex</w:t>
      </w:r>
    </w:p>
    <w:p>
      <w:pPr>
        <w:pStyle w:val="ListBullet"/>
      </w:pPr>
      <w:r>
        <w:rPr>
          <w:b/>
        </w:rPr>
        <w:t>Internal Link Suggestions</w:t>
      </w:r>
      <w:r>
        <w:t>: /guides/ocean-freight-charge-structure-vehicle-export/ ; /guides/vehicle-export-pdi-pre-shipment-handover/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four-method comparison; negotiability ladder vs payment; MBL/HBL chain; Arts.80/81/87 delivery flow</w:t>
      </w:r>
    </w:p>
    <w:p>
      <w:pPr>
        <w:pStyle w:val="ListBullet"/>
      </w:pPr>
      <w:r>
        <w:rPr>
          <w:b/>
        </w:rPr>
        <w:t>ALT Suggestions</w:t>
      </w:r>
      <w:r>
        <w:t>: "MBL HBL telex sea waybill negotiability under revised Maritime Code"</w:t>
      </w:r>
    </w:p>
    <w:p>
      <w:pPr>
        <w:pStyle w:val="Heading2"/>
      </w:pPr>
      <w:r>
        <w:t>The Procurement Problem Is Cargo Control, Not Paperwork</w:t>
      </w:r>
    </w:p>
    <w:p>
      <w:r>
        <w:t xml:space="preserve">Exporters treat the bill-of-lading choice as documentation. It is a </w:t>
      </w:r>
      <w:r>
        <w:rPr>
          <w:b/>
        </w:rPr>
        <w:t>payment-risk decision</w:t>
      </w:r>
      <w:r>
        <w:t xml:space="preserve">: the moment you move from an original negotiable bill to telex release or a sea waybill, you change when you stop controlling the vehicle at destination. This guide pairs the four instruments' business behaviour with the </w:t>
      </w:r>
      <w:r>
        <w:rPr>
          <w:b/>
        </w:rPr>
        <w:t>current Chinese statutory backbone</w:t>
      </w:r>
      <w:r>
        <w:t xml:space="preserve"> — the *Maritime Code of the PRC*, </w:t>
      </w:r>
      <w:r>
        <w:rPr>
          <w:b/>
        </w:rPr>
        <w:t>revised on 2025-10-28 by the 18th session of the 14th NPC Standing Committee (Presidential Order No.58), in force from 2026-05-01 (16 chapters, 310 articles)</w:t>
      </w:r>
      <w:r>
        <w:t xml:space="preserve"> — and then matches method to payment terms. Carrier/port-specific telex rules and fees remain voyage-specific and are not stated as fixed values.</w:t>
      </w:r>
    </w:p>
    <w:p>
      <w:pPr>
        <w:pStyle w:val="Heading2"/>
      </w:pPr>
      <w:r>
        <w:t>The Four Instruments Side by 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Who issues</w:t>
            </w:r>
          </w:p>
        </w:tc>
        <w:tc>
          <w:tcPr>
            <w:tcW w:type="dxa" w:w="2160"/>
          </w:tcPr>
          <w:p>
            <w:r>
              <w:t>How the consignee takes delivery</w:t>
            </w:r>
          </w:p>
        </w:tc>
        <w:tc>
          <w:tcPr>
            <w:tcW w:type="dxa" w:w="2160"/>
          </w:tcPr>
          <w:p>
            <w:r>
              <w:t>Shipper holds a paper document of title?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Master B/L (MBL)</w:t>
            </w:r>
          </w:p>
        </w:tc>
        <w:tc>
          <w:tcPr>
            <w:tcW w:type="dxa" w:w="2160"/>
          </w:tcPr>
          <w:p>
            <w:r>
              <w:t>Shipping line / its agent</w:t>
            </w:r>
          </w:p>
        </w:tc>
        <w:tc>
          <w:tcPr>
            <w:tcW w:type="dxa" w:w="2160"/>
          </w:tcPr>
          <w:p>
            <w:r>
              <w:t>Surrender original MBL (or follow line procedure)</w:t>
            </w:r>
          </w:p>
        </w:tc>
        <w:tc>
          <w:tcPr>
            <w:tcW w:type="dxa" w:w="2160"/>
          </w:tcPr>
          <w:p>
            <w:r>
              <w:t>Yes — contract of carriage + document-of-title function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House B/L (HBL)</w:t>
            </w:r>
          </w:p>
        </w:tc>
        <w:tc>
          <w:tcPr>
            <w:tcW w:type="dxa" w:w="2160"/>
          </w:tcPr>
          <w:p>
            <w:r>
              <w:t>NVOCC / freight forwarder</w:t>
            </w:r>
          </w:p>
        </w:tc>
        <w:tc>
          <w:tcPr>
            <w:tcW w:type="dxa" w:w="2160"/>
          </w:tcPr>
          <w:p>
            <w:r>
              <w:t>HBL consignee exchanges HBL for MBL via the forwarder's destination agent</w:t>
            </w:r>
          </w:p>
        </w:tc>
        <w:tc>
          <w:tcPr>
            <w:tcW w:type="dxa" w:w="2160"/>
          </w:tcPr>
          <w:p>
            <w:r>
              <w:t>Yes at HBL level, with an extra party in the chain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Telex Release</w:t>
            </w:r>
          </w:p>
        </w:tc>
        <w:tc>
          <w:tcPr>
            <w:tcW w:type="dxa" w:w="2160"/>
          </w:tcPr>
          <w:p>
            <w:r>
              <w:t>Carrier after shipper returns/forgoes originals</w:t>
            </w:r>
          </w:p>
        </w:tc>
        <w:tc>
          <w:tcPr>
            <w:tcW w:type="dxa" w:w="2160"/>
          </w:tcPr>
          <w:p>
            <w:r>
              <w:t>Electronic release instruction; collect on a copy + identity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  <w:r>
              <w:t xml:space="preserve"> — paper title is given up at release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Sea Waybill (SWB)</w:t>
            </w:r>
          </w:p>
        </w:tc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Named consignee collects on proof of identity; non-negotiable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  <w:r>
              <w:t xml:space="preserve"> — not a document of title, not transferable</w:t>
            </w:r>
          </w:p>
        </w:tc>
      </w:tr>
    </w:tbl>
    <w:p/>
    <w:p>
      <w:pPr>
        <w:pStyle w:val="Heading2"/>
      </w:pPr>
      <w:r>
        <w:t>The Statutory Backbone: Transferability, Other Documents, Delivery</w:t>
      </w:r>
    </w:p>
    <w:p>
      <w:r>
        <w:t>The revised Maritime Code supplies the legal architecture behind those business differences:</w:t>
      </w:r>
    </w:p>
    <w:p>
      <w:pPr>
        <w:pStyle w:val="ListBullet"/>
      </w:pPr>
      <w:r>
        <w:rPr>
          <w:b/>
        </w:rPr>
        <w:t>Article 80 — transfer of bills of lading</w:t>
      </w:r>
      <w:r>
        <w:t xml:space="preserve">: a </w:t>
      </w:r>
      <w:r>
        <w:rPr>
          <w:b/>
        </w:rPr>
        <w:t>straight (named) B/L is not transferable</w:t>
      </w:r>
      <w:r>
        <w:t xml:space="preserve">; an </w:t>
      </w:r>
      <w:r>
        <w:rPr>
          <w:b/>
        </w:rPr>
        <w:t>order B/L</w:t>
      </w:r>
      <w:r>
        <w:t xml:space="preserve"> transfers by </w:t>
      </w:r>
      <w:r>
        <w:rPr>
          <w:b/>
        </w:rPr>
        <w:t>special endorsement or blank endorsement</w:t>
      </w:r>
      <w:r>
        <w:t xml:space="preserve">; a </w:t>
      </w:r>
      <w:r>
        <w:rPr>
          <w:b/>
        </w:rPr>
        <w:t>bearer B/L</w:t>
      </w:r>
      <w:r>
        <w:t xml:space="preserve"> transfers </w:t>
      </w:r>
      <w:r>
        <w:rPr>
          <w:b/>
        </w:rPr>
        <w:t>without endorsement</w:t>
      </w:r>
      <w:r>
        <w:t>. This is why "to-order/blank" bills are the instrument that preserves control — and why they generally cannot simply be telex-released away.</w:t>
      </w:r>
    </w:p>
    <w:p>
      <w:pPr>
        <w:pStyle w:val="ListBullet"/>
      </w:pPr>
      <w:r>
        <w:rPr>
          <w:b/>
        </w:rPr>
        <w:t>Article 81 — other transport documents</w:t>
      </w:r>
      <w:r>
        <w:t xml:space="preserve">: a document other than a B/L that the carrier issues to evidence receipt of goods for carriage is </w:t>
      </w:r>
      <w:r>
        <w:rPr>
          <w:b/>
        </w:rPr>
        <w:t>prima facie evidence both of the contract of carriage by sea and of the carrier's receipt</w:t>
      </w:r>
      <w:r>
        <w:t xml:space="preserve"> of the listed goods. This frames </w:t>
      </w:r>
      <w:r>
        <w:rPr>
          <w:b/>
        </w:rPr>
        <w:t>non-title documents such as a sea waybill</w:t>
      </w:r>
      <w:r>
        <w:t>: they evidence receipt and contract but do not carry a B/L's negotiable document-of-title function.</w:t>
      </w:r>
    </w:p>
    <w:p>
      <w:pPr>
        <w:pStyle w:val="ListBullet"/>
      </w:pPr>
      <w:r>
        <w:rPr>
          <w:b/>
        </w:rPr>
        <w:t>Article 87 — delivery rules</w:t>
      </w:r>
      <w:r>
        <w:t xml:space="preserve">: under a </w:t>
      </w:r>
      <w:r>
        <w:rPr>
          <w:b/>
        </w:rPr>
        <w:t>straight B/L</w:t>
      </w:r>
      <w:r>
        <w:t xml:space="preserve">, delivery is to the </w:t>
      </w:r>
      <w:r>
        <w:rPr>
          <w:b/>
        </w:rPr>
        <w:t>named consignee</w:t>
      </w:r>
      <w:r>
        <w:t xml:space="preserve">; under an </w:t>
      </w:r>
      <w:r>
        <w:rPr>
          <w:b/>
        </w:rPr>
        <w:t>order B/L</w:t>
      </w:r>
      <w:r>
        <w:t xml:space="preserve">, to the </w:t>
      </w:r>
      <w:r>
        <w:rPr>
          <w:b/>
        </w:rPr>
        <w:t>endorsee</w:t>
      </w:r>
      <w:r>
        <w:t xml:space="preserve">; under a </w:t>
      </w:r>
      <w:r>
        <w:rPr>
          <w:b/>
        </w:rPr>
        <w:t>bearer or blank-endorsed order B/L</w:t>
      </w:r>
      <w:r>
        <w:t xml:space="preserve">, to the </w:t>
      </w:r>
      <w:r>
        <w:rPr>
          <w:b/>
        </w:rPr>
        <w:t>holder</w:t>
      </w:r>
      <w:r>
        <w:t xml:space="preserve">; a </w:t>
      </w:r>
      <w:r>
        <w:rPr>
          <w:b/>
        </w:rPr>
        <w:t>transferable electronic transport record</w:t>
      </w:r>
      <w:r>
        <w:t xml:space="preserve"> is delivered to its </w:t>
      </w:r>
      <w:r>
        <w:rPr>
          <w:b/>
        </w:rPr>
        <w:t>holder</w:t>
      </w:r>
      <w:r>
        <w:t>. These rules determine exactly who is entitled to collect the vehicle.</w:t>
      </w:r>
    </w:p>
    <w:p>
      <w:pPr>
        <w:pStyle w:val="Heading2"/>
      </w:pPr>
      <w:r>
        <w:t>Where the Risk Sits in Practice</w:t>
      </w:r>
    </w:p>
    <w:p>
      <w:pPr>
        <w:pStyle w:val="ListBullet"/>
      </w:pPr>
      <w:r>
        <w:rPr>
          <w:b/>
        </w:rPr>
        <w:t>Before full payment, telex release and SWB both hand release forward early</w:t>
      </w:r>
      <w:r>
        <w:t xml:space="preserve">, because no negotiable original remains in the shipper's hands (the Article 80/81 distinction explains why). Match them to </w:t>
      </w:r>
      <w:r>
        <w:rPr>
          <w:b/>
        </w:rPr>
        <w:t>pre-paid T/T</w:t>
      </w:r>
      <w:r>
        <w:t xml:space="preserve"> or a fully secured position.</w:t>
      </w:r>
    </w:p>
    <w:p>
      <w:pPr>
        <w:pStyle w:val="ListBullet"/>
      </w:pPr>
      <w:r>
        <w:rPr>
          <w:b/>
        </w:rPr>
        <w:t>Order/to-order bills generally cannot be telex-released</w:t>
      </w:r>
      <w:r>
        <w:t xml:space="preserve"> — their negotiability (Art.80) is the control mechanism.</w:t>
      </w:r>
    </w:p>
    <w:p>
      <w:pPr>
        <w:pStyle w:val="ListBullet"/>
      </w:pPr>
      <w:r>
        <w:rPr>
          <w:b/>
        </w:rPr>
        <w:t>HBL adds a chain dependency</w:t>
      </w:r>
      <w:r>
        <w:t>: the buyer cannot collect until the NVOCC's overseas agent converts HBL to MBL; check that agent before choosing house paper.</w:t>
      </w:r>
    </w:p>
    <w:p>
      <w:pPr>
        <w:pStyle w:val="ListBullet"/>
      </w:pPr>
      <w:r>
        <w:rPr>
          <w:b/>
        </w:rPr>
        <w:t>Port/country acceptance varies</w:t>
      </w:r>
      <w:r>
        <w:t xml:space="preserve"> (some South American destinations are reported not to accept telex release) — confirm with the carrier and destination agent </w:t>
      </w:r>
      <w:r>
        <w:rPr>
          <w:b/>
        </w:rPr>
        <w:t>per shipment</w:t>
      </w:r>
      <w:r>
        <w:t>, per the Art.87 delivery route that will actually apply.</w:t>
      </w:r>
    </w:p>
    <w:p>
      <w:pPr>
        <w:pStyle w:val="Heading2"/>
      </w:pPr>
      <w:r>
        <w:t>Matching Method to Payment Terms</w:t>
      </w:r>
    </w:p>
    <w:p>
      <w:pPr>
        <w:pStyle w:val="ListBullet"/>
      </w:pPr>
      <w:r>
        <w:rPr>
          <w:b/>
        </w:rPr>
        <w:t>T/T in advance / fully pre-paid</w:t>
      </w:r>
      <w:r>
        <w:t>: telex or SWB is workable; control leverage is no longer needed.</w:t>
      </w:r>
    </w:p>
    <w:p>
      <w:pPr>
        <w:pStyle w:val="ListBullet"/>
      </w:pPr>
      <w:r>
        <w:rPr>
          <w:b/>
        </w:rPr>
        <w:t>L/C</w:t>
      </w:r>
      <w:r>
        <w:t>: follow the credit exactly — it typically demands a negotiable B/L consigned/endorsed as stated; substituting SWB creates a discrepancy.</w:t>
      </w:r>
    </w:p>
    <w:p>
      <w:pPr>
        <w:pStyle w:val="ListBullet"/>
      </w:pPr>
      <w:r>
        <w:rPr>
          <w:b/>
        </w:rPr>
        <w:t>Balance against B/L / open account</w:t>
      </w:r>
      <w:r>
        <w:t>: keep the original negotiable MBL (Art.80 order/bearer control) until payment conditions are met; never telex-release an unpaid vehicle.</w:t>
      </w:r>
    </w:p>
    <w:p>
      <w:pPr>
        <w:pStyle w:val="ListBullet"/>
      </w:pPr>
      <w:r>
        <w:rPr>
          <w:b/>
        </w:rPr>
        <w:t>RoRo vs container</w:t>
      </w:r>
      <w:r>
        <w:t>: both release against the ocean B/L; confirm the line's procedure and the Art.87 consignee route before choosing the instrument.</w:t>
      </w:r>
    </w:p>
    <w:p>
      <w:pPr>
        <w:pStyle w:val="Heading2"/>
      </w:pPr>
      <w:r>
        <w:t>Questions to Put to the Forwarder Before Booking</w:t>
      </w:r>
    </w:p>
    <w:p>
      <w:pPr>
        <w:pStyle w:val="ListNumber"/>
      </w:pPr>
      <w:r>
        <w:t>Who is the MBL carrier, and (if HBL) the NVOCC and its destination agent?</w:t>
      </w:r>
    </w:p>
    <w:p>
      <w:pPr>
        <w:pStyle w:val="ListNumber"/>
      </w:pPr>
      <w:r>
        <w:t>Does this destination/consignee accept telex release, and which Art.87 delivery route applies?</w:t>
      </w:r>
    </w:p>
    <w:p>
      <w:pPr>
        <w:pStyle w:val="ListNumber"/>
      </w:pPr>
      <w:r>
        <w:t>Is the consignment straight, order or bearer — and is the bill negotiable?</w:t>
      </w:r>
    </w:p>
    <w:p>
      <w:pPr>
        <w:pStyle w:val="ListNumber"/>
      </w:pPr>
      <w:r>
        <w:t>Which release method matches the agreed T/T or L/C timeline?</w:t>
      </w:r>
    </w:p>
    <w:p>
      <w:pPr>
        <w:pStyle w:val="ListNumber"/>
      </w:pPr>
      <w:r>
        <w:t>What are the line's release/switch fees for this voyage (quoted, never assumed)?</w:t>
      </w:r>
    </w:p>
    <w:p>
      <w:pPr>
        <w:pStyle w:val="Heading2"/>
      </w:pPr>
      <w:r>
        <w:t>Boundaries of This Guide</w:t>
      </w:r>
    </w:p>
    <w:p>
      <w:pPr>
        <w:pStyle w:val="ListBullet"/>
      </w:pPr>
      <w:r>
        <w:t xml:space="preserve">Carrier-specific telex rules and </w:t>
      </w:r>
      <w:r>
        <w:rPr>
          <w:b/>
        </w:rPr>
        <w:t>fees are time-sensitive and voyage-specific</w:t>
      </w:r>
      <w:r>
        <w:t>; no fixed number is stated.</w:t>
      </w:r>
    </w:p>
    <w:p>
      <w:pPr>
        <w:pStyle w:val="ListBullet"/>
      </w:pPr>
      <w:r>
        <w:t xml:space="preserve">Statutory citations use the </w:t>
      </w:r>
      <w:r>
        <w:rPr>
          <w:b/>
        </w:rPr>
        <w:t>2025-revised Maritime Code in force 2026-05-01</w:t>
      </w:r>
      <w:r>
        <w:t>; pre-revision article wording must not be treated as current.</w:t>
      </w:r>
    </w:p>
    <w:p>
      <w:pPr>
        <w:pStyle w:val="Heading2"/>
      </w:pPr>
      <w:r>
        <w:t>Frequently Asked Questions</w:t>
      </w:r>
    </w:p>
    <w:p>
      <w:r>
        <w:rPr>
          <w:b/>
        </w:rPr>
        <w:t>Which Maritime Code articles govern B/L transfer and delivery?</w:t>
      </w:r>
      <w:r>
        <w:t xml:space="preserve"> Art.80 (transfer: straight/order/bearer), Art.81 (other transport documents such as SWB) and Art.87 (delivery to named consignee/endorsee/holder).</w:t>
      </w:r>
    </w:p>
    <w:p>
      <w:r>
        <w:rPr>
          <w:b/>
        </w:rPr>
        <w:t>Safest release method before payment?</w:t>
      </w:r>
      <w:r>
        <w:t xml:space="preserve"> Retain an original negotiable (order/bearer) B/L; avoid telex/SWB until payment is secured.</w:t>
      </w:r>
    </w:p>
    <w:p>
      <w:r>
        <w:rPr>
          <w:b/>
        </w:rPr>
        <w:t>Is a sea waybill a document of title?</w:t>
      </w:r>
      <w:r>
        <w:t xml:space="preserve"> No — under the Art.81 framing it evidences contract and receipt but is non-negotiable; the named consignee collects on identity.</w:t>
      </w:r>
    </w:p>
    <w:p>
      <w:r>
        <w:rPr>
          <w:b/>
        </w:rPr>
        <w:t>Can an order bill be telex-released?</w:t>
      </w:r>
      <w:r>
        <w:t xml:space="preserve"> Generally no; its Art.80 negotiability is the control mechanism.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MBL HBL telex release and sea waybill,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MBL HBL telex release and sea waybill,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MBL HBL telex release and sea waybill,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MBL HBL telex release and sea waybill,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MBL HBL telex release and sea waybill,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輸出バイヤー向けリファレンス｜MBL HBL telex release and sea waybill,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자료｜MBL HBL telex release and sea waybill,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MBL HBL telex release and sea waybill,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MBL HBL telex release and sea waybill,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MBL HBL telex release and sea waybill,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MBL HBL telex release and sea waybill,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出口采购参考｜MBL HBL telex release and sea waybill,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Maritime Code of the PRC (2025 revision, Presidential Order 58, in force 2026-05-01) full text</w:t>
            </w:r>
          </w:p>
        </w:tc>
        <w:tc>
          <w:tcPr>
            <w:tcW w:type="dxa" w:w="1234"/>
          </w:tcPr>
          <w:p>
            <w:r>
              <w:t>NPC Standing Committee (npc.gov.cn)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http://www.npc.gov.cn/c2/c30834/202510/t20251028_449061.html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Arts.80/81/87, version and effective date</w:t>
            </w:r>
          </w:p>
        </w:tc>
      </w:tr>
      <w:tr>
        <w:tc>
          <w:tcPr>
            <w:tcW w:type="dxa" w:w="1234"/>
          </w:tcPr>
          <w:p>
            <w:r>
              <w:t>Original B/L / telex / Sea Waybill explained</w:t>
            </w:r>
          </w:p>
        </w:tc>
        <w:tc>
          <w:tcPr>
            <w:tcW w:type="dxa" w:w="1234"/>
          </w:tcPr>
          <w:p>
            <w:r>
              <w:t>NetEase business wiki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https://www.163.com/dy/article/L0J4JN3F0556HN78.html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MBL/SWB/telex definitions</w:t>
            </w:r>
          </w:p>
        </w:tc>
      </w:tr>
      <w:tr>
        <w:tc>
          <w:tcPr>
            <w:tcW w:type="dxa" w:w="1234"/>
          </w:tcPr>
          <w:p>
            <w:r>
              <w:t>Master bill vs house bill</w:t>
            </w:r>
          </w:p>
        </w:tc>
        <w:tc>
          <w:tcPr>
            <w:tcW w:type="dxa" w:w="1234"/>
          </w:tcPr>
          <w:p>
            <w:r>
              <w:t>Sina Finance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https://finance.sina.com.cn/roll/2026-08-15/doc-ininkrwq1888009.shtml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MBL/HBL chain, vehicle practice</w:t>
            </w:r>
          </w:p>
        </w:tc>
      </w:tr>
      <w:tr>
        <w:tc>
          <w:tcPr>
            <w:tcW w:type="dxa" w:w="1234"/>
          </w:tcPr>
          <w:p>
            <w:r>
              <w:t>Release methods and B/L types</w:t>
            </w:r>
          </w:p>
        </w:tc>
        <w:tc>
          <w:tcPr>
            <w:tcW w:type="dxa" w:w="1234"/>
          </w:tcPr>
          <w:p>
            <w:r>
              <w:t>11467 industry knowledge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https://m.11467.com/product/d15253354.htm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Four-method comparison</w:t>
            </w:r>
          </w:p>
        </w:tc>
      </w:tr>
      <w:tr>
        <w:tc>
          <w:tcPr>
            <w:tcW w:type="dxa" w:w="1234"/>
          </w:tcPr>
          <w:p>
            <w:r>
              <w:t>Four release methods and telex risk (South America note)</w:t>
            </w:r>
          </w:p>
        </w:tc>
        <w:tc>
          <w:tcPr>
            <w:tcW w:type="dxa" w:w="1234"/>
          </w:tcPr>
          <w:p>
            <w:r>
              <w:t>NetEase</w:t>
            </w:r>
          </w:p>
        </w:tc>
        <w:tc>
          <w:tcPr>
            <w:tcW w:type="dxa" w:w="1234"/>
          </w:tcPr>
          <w:p>
            <w:r>
              <w:t>INTL</w:t>
            </w:r>
          </w:p>
        </w:tc>
        <w:tc>
          <w:tcPr>
            <w:tcW w:type="dxa" w:w="1234"/>
          </w:tcPr>
          <w:p>
            <w:r>
              <w:t>https://www.163.com/dy/article/K17GLBOG0556820S.html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Order-bill limit, port acceptance</w:t>
            </w:r>
          </w:p>
        </w:tc>
      </w:tr>
      <w:tr>
        <w:tc>
          <w:tcPr>
            <w:tcW w:type="dxa" w:w="1234"/>
          </w:tcPr>
          <w:p>
            <w:r>
              <w:t>International transport of goods conventions and model laws</w:t>
            </w:r>
          </w:p>
        </w:tc>
        <w:tc>
          <w:tcPr>
            <w:tcW w:type="dxa" w:w="1234"/>
          </w:tcPr>
          <w:p>
            <w:r>
              <w:t>UNCITRAL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https://uncitral.un.org/en/texts/transportgoods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Comparative legal framework for carriage documents (Hague-Visby/Hamburg/Rotterdam context)</w:t>
            </w:r>
          </w:p>
        </w:tc>
      </w:tr>
      <w:tr>
        <w:tc>
          <w:tcPr>
            <w:tcW w:type="dxa" w:w="1234"/>
          </w:tcPr>
          <w:p>
            <w:r>
              <w:t>Standard shipping documents and clauses reference</w:t>
            </w:r>
          </w:p>
        </w:tc>
        <w:tc>
          <w:tcPr>
            <w:tcW w:type="dxa" w:w="1234"/>
          </w:tcPr>
          <w:p>
            <w:r>
              <w:t>BIMCO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https://www.bimco.org/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Industry-standard maritime document/clause reference</w:t>
            </w:r>
          </w:p>
        </w:tc>
      </w:tr>
      <w:tr>
        <w:tc>
          <w:tcPr>
            <w:tcW w:type="dxa" w:w="1234"/>
          </w:tcPr>
          <w:p>
            <w:r>
              <w:t>FIATA transport documents and freight-forwarder practice</w:t>
            </w:r>
          </w:p>
        </w:tc>
        <w:tc>
          <w:tcPr>
            <w:tcW w:type="dxa" w:w="1234"/>
          </w:tcPr>
          <w:p>
            <w:r>
              <w:t>International Federation of Freight Forwarders (FIATA)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https://fiata.org/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Forwarder document (FBL/FCR) practice distinguishing carrier B/Ls</w:t>
            </w:r>
          </w:p>
        </w:tc>
      </w:tr>
    </w:tbl>
    <w:p/>
    <w:p>
      <w:r>
        <w:t>*Confidence note: statutory backbone VERIFIED via the NPC full text of the 2025 revision (in force 2026-05-01); business definitions cross-checked; carrier fees/port acceptance remain voyage-specific.*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Chinese statute + international ocean freight practice (carrier-specific values excluded)</w:t>
      </w:r>
    </w:p>
    <w:p>
      <w:pPr>
        <w:pStyle w:val="ListBullet"/>
      </w:pPr>
      <w:r>
        <w:rPr>
          <w:b/>
        </w:rPr>
        <w:t>Verification method</w:t>
      </w:r>
      <w:r>
        <w:t>: Primary NPC statute for legal rules; multi-source cross-check for business practice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#BillOfLading #MaritimeCode #TelexRelease #SeaWaybill #ExportRisk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