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Used Chinese EV Pre-Export Inspection: Battery SOH, Accident, Flood and Odometer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 Checklist: SOH, Accident &amp; Flood</w:t>
      </w:r>
    </w:p>
    <w:p>
      <w:pPr>
        <w:pStyle w:val="ListBullet"/>
      </w:pPr>
      <w:r>
        <w:rPr>
          <w:b/>
        </w:rPr>
        <w:t>Meta Description</w:t>
      </w:r>
      <w:r>
        <w:t>: Operational pre-export inspection for a used Chinese EV — reading battery SOH and cell balance, a 20–80% charge test, accident/flood/fire screening, odometer-vs-cycle checks and rejection rules.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A Technical Checklist</w:t>
      </w:r>
    </w:p>
    <w:p>
      <w:pPr>
        <w:pStyle w:val="ListBullet"/>
      </w:pPr>
      <w:r>
        <w:rPr>
          <w:b/>
        </w:rPr>
        <w:t>Primary Keyword</w:t>
      </w:r>
      <w:r>
        <w:t>: used Chinese EV inspection checklist battery SOH accident</w:t>
      </w:r>
    </w:p>
    <w:p>
      <w:pPr>
        <w:pStyle w:val="ListBullet"/>
      </w:pPr>
      <w:r>
        <w:rPr>
          <w:b/>
        </w:rPr>
        <w:t>Secondary Search Terms</w:t>
      </w:r>
      <w:r>
        <w:t>: EV battery SOH test, used EV cell voltage imbalance, EV flood damage check, odometer rollback battery cycle, used EV export SOH threshold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SOH readout on diagnostic tool; 20-80% charge test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"Diagnostic tool reading used EV battery state of health"; "20 to 80 percent charge energy test worksheet"; "EV battery pack undertray inspection"</w:t>
      </w:r>
    </w:p>
    <w:p>
      <w:pPr>
        <w:pStyle w:val="Heading1"/>
      </w:pPr>
      <w:r>
        <w:t>Scope: This Is an Inspection Manual, Not a Buy-New-vs-Used Decision</w:t>
      </w:r>
    </w:p>
    <w:p>
      <w:r>
        <w:t xml:space="preserve">This guide assumes the decision to buy </w:t>
      </w:r>
      <w:r>
        <w:rPr>
          <w:b/>
        </w:rPr>
        <w:t>used</w:t>
      </w:r>
      <w:r>
        <w:t xml:space="preserve"> is already made and covers the </w:t>
      </w:r>
      <w:r>
        <w:rPr>
          <w:b/>
        </w:rPr>
        <w:t>technical inspection before export</w:t>
      </w:r>
      <w:r>
        <w:t>. It does not compare new versus used value (a separate topic). The economics of a used EV depend overwhelmingly on the high-voltage battery, which is why the inspection logic differs from an ICE car: a cheap body with a degraded pack can be worthless after shipping, while battery replacement can exceed the vehicle's value.</w:t>
      </w:r>
    </w:p>
    <w:p>
      <w:pPr>
        <w:pStyle w:val="Heading1"/>
      </w:pPr>
      <w:r>
        <w:t>1. Battery State of Health (SOH) — the Primary Number</w:t>
      </w:r>
    </w:p>
    <w:p>
      <w:r>
        <w:rPr>
          <w:b/>
        </w:rPr>
        <w:t>SOH</w:t>
      </w:r>
      <w:r>
        <w:t xml:space="preserve"> expresses the pack's current usable capacity as a proportion of its when-new capacity. Industry guidance treats </w:t>
      </w:r>
      <w:r>
        <w:rPr>
          <w:b/>
        </w:rPr>
        <w:t>SOH around/above 80%</w:t>
      </w:r>
      <w:r>
        <w:t xml:space="preserve"> as retaining normal service value; below that, degradation accelerates and replacement cost is very high. Reference warning lines differ slightly by chemistry — roughly </w:t>
      </w:r>
      <w:r>
        <w:rPr>
          <w:b/>
        </w:rPr>
        <w:t>80% for LFP (phosphate) and 85% for NMC (ternary)</w:t>
      </w:r>
      <w:r>
        <w:t xml:space="preserve"> packs (method-level references; brand standards vary).</w:t>
      </w:r>
    </w:p>
    <w:p>
      <w:r>
        <w:t>How to obtain it:</w:t>
      </w:r>
    </w:p>
    <w:p>
      <w:pPr>
        <w:pStyle w:val="ListBullet"/>
      </w:pPr>
      <w:r>
        <w:t>Read the in-car/cluster battery-health display where available.</w:t>
      </w:r>
    </w:p>
    <w:p>
      <w:pPr>
        <w:pStyle w:val="ListBullet"/>
      </w:pPr>
      <w:r>
        <w:t xml:space="preserve">Prefer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 xml:space="preserve"> (a large imbalance flags weak modules even when headline SOH looks acceptable).</w:t>
      </w:r>
    </w:p>
    <w:p>
      <w:pPr>
        <w:pStyle w:val="ListBullet"/>
      </w:pPr>
      <w:r>
        <w:t xml:space="preserve">There is no single universal OBD readout standard across Chinese brands, and third-party report formats are not standardised — so </w:t>
      </w:r>
      <w:r>
        <w:rPr>
          <w:b/>
        </w:rPr>
        <w:t>commission a reputable inspector, keep the report, and avoid promising an exact SOH number you cannot evidence</w:t>
      </w:r>
      <w:r>
        <w:t>. Brand-specific official battery-health/warranty criteria were not captured and should be requested from the brand where possible.</w:t>
      </w:r>
    </w:p>
    <w:p>
      <w:pPr>
        <w:pStyle w:val="Heading1"/>
      </w:pPr>
      <w:r>
        <w:t>2. Run a Live Charge Test</w:t>
      </w:r>
    </w:p>
    <w:p>
      <w:r>
        <w:t xml:space="preserve">A static SOH figure can be misrepresented; a charge test cross-checks it. The method used by used-EV inspectors: charge from about </w:t>
      </w:r>
      <w:r>
        <w:rPr>
          <w:b/>
        </w:rPr>
        <w:t>20% to 80%</w:t>
      </w:r>
      <w:r>
        <w:t xml:space="preserve"> and compare the energy actually delivered (from a metered charger) against the expected ~60% of usable pack capacity. A large shortfall indicates real capacity loss. Record start/end SOC, kWh delivered, charging power curve and time; a pack that also cannot sustain its expected charge rate warrants deeper inspection. Combine this with the charging-standard check (GB/T in China vs the destination connector) so a healthy battery is not let down by an incompatible charge interface.</w:t>
      </w:r>
    </w:p>
    <w:p>
      <w:pPr>
        <w:pStyle w:val="Heading1"/>
      </w:pPr>
      <w:r>
        <w:t>3. The "Three-Electric" System (Battery, Motor, Controller)</w:t>
      </w:r>
    </w:p>
    <w:p>
      <w:r>
        <w:t>Inspect the high-voltage triad beyond SOH:</w:t>
      </w:r>
    </w:p>
    <w:p>
      <w:pPr>
        <w:pStyle w:val="ListBullet"/>
      </w:pPr>
      <w:r>
        <w:rPr>
          <w:b/>
        </w:rPr>
        <w:t>Battery pack underside</w:t>
      </w:r>
      <w:r>
        <w:t>: remove/inspect the bottom shield for removal/reseal marks, scrapes, deformation or repair evidence.</w:t>
      </w:r>
    </w:p>
    <w:p>
      <w:pPr>
        <w:pStyle w:val="ListBullet"/>
      </w:pPr>
      <w:r>
        <w:rPr>
          <w:b/>
        </w:rPr>
        <w:t>Motor and power electronics</w:t>
      </w:r>
      <w:r>
        <w:t>: scan for fault codes, check for warning lamps and verify smooth drive/regen behaviour on a road test.</w:t>
      </w:r>
    </w:p>
    <w:p>
      <w:pPr>
        <w:pStyle w:val="ListBullet"/>
      </w:pPr>
      <w:r>
        <w:rPr>
          <w:b/>
        </w:rPr>
        <w:t>High-voltage cabling and connectors</w:t>
      </w:r>
      <w:r>
        <w:t>: look for corrosion, retermination or non-factory repairs.</w:t>
      </w:r>
    </w:p>
    <w:p>
      <w:pPr>
        <w:pStyle w:val="Heading1"/>
      </w:pPr>
      <w:r>
        <w:t>4. Accident, Flood and Fire Screening</w:t>
      </w:r>
    </w:p>
    <w:p>
      <w:r>
        <w:t xml:space="preserve">Used-EV history screening must specifically cover collision, </w:t>
      </w:r>
      <w:r>
        <w:rPr>
          <w:b/>
        </w:rPr>
        <w:t>water immersion (flood)</w:t>
      </w:r>
      <w:r>
        <w:t xml:space="preserve"> and fire/thermal events:</w:t>
      </w:r>
    </w:p>
    <w:p>
      <w:pPr>
        <w:pStyle w:val="ListBullet"/>
      </w:pPr>
      <w:r>
        <w:t xml:space="preserve">Pull </w:t>
      </w:r>
      <w:r>
        <w:rPr>
          <w:b/>
        </w:rPr>
        <w:t>maintenance/service records and insurance claim (出险) records</w:t>
      </w:r>
      <w:r>
        <w:t>; any sheet-metal/structural repair or flood-water claim marker is grounds to reject.</w:t>
      </w:r>
    </w:p>
    <w:p>
      <w:pPr>
        <w:pStyle w:val="ListBullet"/>
      </w:pPr>
      <w:r>
        <w:t>Flooded EVs carry hidden risk of pack-density loss and wiring-harness corrosion; inspect under-dash connectors, seat rails, fuse boxes and the battery enclosure for water lines or corrosion.</w:t>
      </w:r>
    </w:p>
    <w:p>
      <w:pPr>
        <w:pStyle w:val="ListBullet"/>
      </w:pPr>
      <w:r>
        <w:t>Check panel gaps, paint thickness and bolt/fastener witness marks for structural repair; inspect for any battery-pack opening that suggests post-incident rework.</w:t>
      </w:r>
    </w:p>
    <w:p>
      <w:pPr>
        <w:pStyle w:val="Heading1"/>
      </w:pPr>
      <w:r>
        <w:t>5. Odometer vs Battery Cycles — Catching a Rollback</w:t>
      </w:r>
    </w:p>
    <w:p>
      <w:r>
        <w:t xml:space="preserve">A hallmark of a clocked EV is an </w:t>
      </w:r>
      <w:r>
        <w:rPr>
          <w:b/>
        </w:rPr>
        <w:t>odometer reading inconsistent with battery charge-cycle count and wear state</w:t>
      </w:r>
      <w:r>
        <w:t>. Where diagnostic data exposes cycle count, compare it against displayed mileage and seat/steering/pedal wear. A low displayed mileage paired with high cycle counts or aged components is a rollback warning.</w:t>
      </w:r>
    </w:p>
    <w:p>
      <w:pPr>
        <w:pStyle w:val="Heading1"/>
      </w:pPr>
      <w:r>
        <w:t>6. Export Threshold and Paperwork</w:t>
      </w:r>
    </w:p>
    <w:p>
      <w:r>
        <w:t xml:space="preserve">Industry guidance for export markets (e.g., EU/ASEAN-type regimes) commonly expects </w:t>
      </w:r>
      <w:r>
        <w:rPr>
          <w:b/>
        </w:rPr>
        <w:t>SOH ≥ 80%</w:t>
      </w:r>
      <w:r>
        <w:t xml:space="preserve"> for a used EV to clear certification/value expectations; below it, the car can effectively lose export viability. This is a </w:t>
      </w:r>
      <w:r>
        <w:rPr>
          <w:b/>
        </w:rPr>
        <w:t>general market reference, not a universal legal number</w:t>
      </w:r>
      <w:r>
        <w:t xml:space="preserve"> — the destination certification body's current standard governs, so confirm it for the specific country. Keep the third-party SOH/inspection report, the charge-test record and service/claims history with the export dossier; several markets also require these for used-vehicle type/import procedures. (China's own used-car export qualification/age rules were not re-verified in this research — obtain the current MOFCOM position rather than relying on older statements.)</w:t>
      </w:r>
    </w:p>
    <w:p>
      <w:pPr>
        <w:pStyle w:val="Heading1"/>
      </w:pPr>
      <w:r>
        <w:t>Hard Rejection Rules (Walk Away)</w:t>
      </w:r>
    </w:p>
    <w:p>
      <w:pPr>
        <w:pStyle w:val="ListBullet"/>
      </w:pPr>
      <w:r>
        <w:t>SOH below the destination threshold (or below ~80% where no specific rule exists) without a priced-in battery plan.</w:t>
      </w:r>
    </w:p>
    <w:p>
      <w:pPr>
        <w:pStyle w:val="ListBullet"/>
      </w:pPr>
      <w:r>
        <w:t>Any flood/fire marker in claims records, or corrosion/water lines in the pack or harness.</w:t>
      </w:r>
    </w:p>
    <w:p>
      <w:pPr>
        <w:pStyle w:val="ListBullet"/>
      </w:pPr>
      <w:r>
        <w:t>Structural/accident repair to high-voltage areas or evidence the battery pack was opened non-commercially.</w:t>
      </w:r>
    </w:p>
    <w:p>
      <w:pPr>
        <w:pStyle w:val="ListBullet"/>
      </w:pPr>
      <w:r>
        <w:t>Odometer inconsistent with battery cycles and wear, with no credible explanation.</w:t>
      </w:r>
    </w:p>
    <w:p>
      <w:pPr>
        <w:pStyle w:val="ListBullet"/>
      </w:pPr>
      <w:r>
        <w:t>Seller refuses a live charge test or an independent diagnostic report.</w:t>
      </w:r>
    </w:p>
    <w:p>
      <w:pPr>
        <w:pStyle w:val="Heading1"/>
      </w:pPr>
      <w:r>
        <w:t>Pre-Purchase Inspection Checklist</w:t>
      </w:r>
    </w:p>
    <w:p>
      <w:pPr>
        <w:pStyle w:val="ListBullet"/>
      </w:pPr>
      <w:r>
        <w:t>Independent report with SOH and max cell-voltage imbalance.</w:t>
      </w:r>
    </w:p>
    <w:p>
      <w:pPr>
        <w:pStyle w:val="ListBullet"/>
      </w:pPr>
      <w:r>
        <w:t>Metered 20→80% charge test recorded (SOC, kWh, power,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battery cycles and physical wear.</w:t>
      </w:r>
    </w:p>
    <w:p>
      <w:pPr>
        <w:pStyle w:val="ListBullet"/>
      </w:pPr>
      <w:r>
        <w:t>Destination used-EV certification/SOH threshold confirmed in writing.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SOH is acceptable for an exported used EV?</w:t>
      </w:r>
      <w:r>
        <w:t xml:space="preserve"> Around 80%+ is the common reference (LFP ~80%, NMC ~85% warning lines), but the destination certification body's current rule decides — confirm it rather than assuming. </w:t>
      </w:r>
      <w:r>
        <w:rPr>
          <w:b/>
        </w:rPr>
        <w:t>How do I verify SOH if brands differ?</w:t>
      </w:r>
      <w:r>
        <w:t xml:space="preserve"> Use the in-car display plus an independent diagnostic report showing SOH and cell imbalance; keep the report as evidence because there is no universal OBD standard. </w:t>
      </w:r>
      <w:r>
        <w:rPr>
          <w:b/>
        </w:rPr>
        <w:t>Can a charge test expose a bad battery?</w:t>
      </w:r>
      <w:r>
        <w:t xml:space="preserve"> Yes — metering the energy from 20% to 80% and comparing to expected capacity reveals real degradation that a static number may hide. </w:t>
      </w:r>
      <w:r>
        <w:rPr>
          <w:b/>
        </w:rPr>
        <w:t>Why is flood damage especially dangerous in an EV?</w:t>
      </w:r>
      <w:r>
        <w:t xml:space="preserve"> It can degrade the pack and corrode hidden harnesses/connectors, creating safety and reliability failures after export. </w:t>
      </w:r>
      <w:r>
        <w:rPr>
          <w:b/>
        </w:rPr>
        <w:t>How is odometer fraud spotted on an EV?</w:t>
      </w:r>
      <w:r>
        <w:t xml:space="preserve"> Compare displayed mileage with battery charge-cycle count and component wear; a low odometer with high cycles is a warning.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points for buying used NEVs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(易车, auto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https://hao.m.yiche.com/wenzhang/107776270/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SOH definition, ≥80% service value, reading methods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Used-EV battery charge test (video, method reference)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https://www.iesdouyin.com/share/video/7618925618490849457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20→80% metered charge comparison method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Three ways to rule out accident/flood/clocked EVs (video)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https://www.iesdouyin.com/share/video/7678314679869430004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Accident/flood/odometer methods, undertray marks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SOH chemistry warning lines (video, method reference)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Douyin industry content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https://www.iesdouyin.com/share/video/7674527923274474225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LFP 80% / NMC 85% reference lines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 used-NEV export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Jingsuncar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https://www.jingsuncar.com/news/2026-must-see-guide-for-buying-used-new-energy-85493284.html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SOH ≥80% common threshold (destination standard governs)</w:t>
            </w:r>
          </w:p>
        </w:tc>
      </w:tr>
    </w:tbl>
    <w:p>
      <w:r>
        <w:rPr>
          <w:i/>
        </w:rPr>
        <w:t>Verification note: SOH concepts are media/industry-supported and several methods come from low-authority video content used only as method references; no exact SOH is promised and an independent third-party report is recommended. Brand battery standards and current China used-car export rules were not captured and must be obtained from primary sources.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Media/industry methods with explicit limits; third-party inspection recommended; numeric thresholds framed as references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