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Marine Cargo Insurance When Importing Chinese Vehicles: ICC A/B/C, Insured Value and Claims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Marine Insurance for Imported Chinese Cars: ICC A/B/C &amp; Claims Guide</w:t>
      </w:r>
    </w:p>
    <w:p>
      <w:pPr>
        <w:pStyle w:val="ListBullet"/>
      </w:pPr>
      <w:r>
        <w:rPr>
          <w:b/>
        </w:rPr>
        <w:t>Meta Description</w:t>
      </w:r>
      <w:r>
        <w:t>: Choose the right marine cargo cover for shipped vehicles — ICC (A)/(B)/(C) differences, why cars need All-Risks, the CIF ×110% insured-value rule, carrier liability caps and the claims evidence trail.</w:t>
      </w:r>
    </w:p>
    <w:p>
      <w:pPr>
        <w:pStyle w:val="ListBullet"/>
      </w:pPr>
      <w:r>
        <w:rPr>
          <w:b/>
        </w:rPr>
        <w:t>Suggested URL</w:t>
      </w:r>
      <w:r>
        <w:t>: /guides/marine-cargo-insurance-car-import/</w:t>
      </w:r>
    </w:p>
    <w:p>
      <w:pPr>
        <w:pStyle w:val="ListBullet"/>
      </w:pPr>
      <w:r>
        <w:rPr>
          <w:b/>
        </w:rPr>
        <w:t>H1</w:t>
      </w:r>
      <w:r>
        <w:t>: Insuring Chinese Vehicles in Ocean Transit: Cover Tiers, Sum Insured and How Claims Actually Work</w:t>
      </w:r>
    </w:p>
    <w:p>
      <w:pPr>
        <w:pStyle w:val="ListBullet"/>
      </w:pPr>
      <w:r>
        <w:rPr>
          <w:b/>
        </w:rPr>
        <w:t>Primary Keyword</w:t>
      </w:r>
      <w:r>
        <w:t>: marine cargo insurance imported Chinese car ICC A B C coverage</w:t>
      </w:r>
    </w:p>
    <w:p>
      <w:pPr>
        <w:pStyle w:val="ListBullet"/>
      </w:pPr>
      <w:r>
        <w:rPr>
          <w:b/>
        </w:rPr>
        <w:t>Secondary Search Terms</w:t>
      </w:r>
      <w:r>
        <w:t>: ICC A all risks vehicle shipping, CIF 110% insured value, CIP Incoterms 2020 ICC A, Hague-Visby carrier liability cap SDR, RoRo vehicle insurance, EV battery fire marine insurance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/guides/commercial-truck-fleet-procurement-china/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ICC A/B/C coverage pyramid; risk-transfer timeline by Incoterm; claims evidence photo set; SDR carrier-cap comparison</w:t>
      </w:r>
    </w:p>
    <w:p>
      <w:pPr>
        <w:pStyle w:val="ListBullet"/>
      </w:pPr>
      <w:r>
        <w:rPr>
          <w:b/>
        </w:rPr>
        <w:t>ALT Suggestions</w:t>
      </w:r>
      <w:r>
        <w:t>: "ICC A B C marine cargo coverage tiers"; "When cargo risk transfers under Incoterms"; "Vehicle pre-shipment condition photos for insurance claim"</w:t>
      </w:r>
    </w:p>
    <w:p>
      <w:pPr>
        <w:pStyle w:val="Heading1"/>
      </w:pPr>
      <w:r>
        <w:t>The Misconception That Costs Importers Money</w:t>
      </w:r>
    </w:p>
    <w:p>
      <w:r>
        <w:t xml:space="preserve">Many first-time buyers assume that under FOB or CIF the </w:t>
      </w:r>
      <w:r>
        <w:rPr>
          <w:b/>
        </w:rPr>
        <w:t>shipping line will fully compensate</w:t>
      </w:r>
      <w:r>
        <w:t xml:space="preserve"> a scratched, dented, stolen or crushed vehicle. It will not. A carrier's liability is capped by international convention far below a car's value, and the cargo insurance you choose determines whether ordinary transit damage is covered at all. This guide covers </w:t>
      </w:r>
      <w:r>
        <w:rPr>
          <w:b/>
        </w:rPr>
        <w:t>marine cargo insurance for vehicles shipped from China</w:t>
      </w:r>
      <w:r>
        <w:t xml:space="preserve"> (global ocean routes) — it is about insurance clauses and claims, a different topic from Incoterms price checks or RoRo-vs-container choice.</w:t>
      </w:r>
    </w:p>
    <w:p>
      <w:pPr>
        <w:pStyle w:val="Heading1"/>
      </w:pPr>
      <w:r>
        <w:t>The Three Cover Tiers: ICC (A), (B), (C)</w:t>
      </w:r>
    </w:p>
    <w:p>
      <w:r>
        <w:t>Institute Cargo Clauses come in three levels (cross-checked across shipping/insurance guides):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covers (outline)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Suitability for vehicles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ICC (A) — "All Risks"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Accidental physical loss/damage except listed exclusions; </w:t>
            </w:r>
            <w:r>
              <w:rPr>
                <w:b/>
                <w:sz w:val="20"/>
              </w:rPr>
              <w:t>includes theft, scratching and loading/unloading damage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Recommended for vehicles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ICC (B) — named perils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Fire/explosion, stranding/sinking, collision, water ingress, etc. (named events only)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Leaves common vehicle losses uncovered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ICC (C) — basic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Major casualties only (e.g., total-loss-type events)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Inadequate for a car</w:t>
            </w:r>
          </w:p>
        </w:tc>
      </w:tr>
    </w:tbl>
    <w:p>
      <w:r>
        <w:t xml:space="preserve">The practical reason vehicles warrant </w:t>
      </w:r>
      <w:r>
        <w:rPr>
          <w:b/>
        </w:rPr>
        <w:t>ICC (A)</w:t>
      </w:r>
      <w:r>
        <w:t xml:space="preserve"> is precisely the losses B and C exclude: </w:t>
      </w:r>
      <w:r>
        <w:rPr>
          <w:b/>
        </w:rPr>
        <w:t>loading/unloading damage, theft and many scratch/dent scenarios</w:t>
      </w:r>
      <w:r>
        <w:t xml:space="preserve"> — the most frequent problems on RoRo and in port handling. For high-value, luxury or classic vehicles, All-Risks is the baseline; </w:t>
      </w:r>
      <w:r>
        <w:rPr>
          <w:b/>
        </w:rPr>
        <w:t>war-risk and strikes-risk are separate add-ons</w:t>
      </w:r>
      <w:r>
        <w:t xml:space="preserve"> that must be purchased additionally for sensitive routes.</w:t>
      </w:r>
    </w:p>
    <w:p>
      <w:pPr>
        <w:pStyle w:val="Heading1"/>
      </w:pPr>
      <w:r>
        <w:t>Setting the Insured Value (No Fixed Premium Here)</w:t>
      </w:r>
    </w:p>
    <w:p>
      <w:r>
        <w:t xml:space="preserve">Standard CIF/CIP and letter-of-credit practice sets minimum insured value at </w:t>
      </w:r>
      <w:r>
        <w:rPr>
          <w:b/>
        </w:rPr>
        <w:t>110% of CIF value</w:t>
      </w:r>
      <w:r>
        <w:t xml:space="preserve"> (100% goods value + 10% for expected profit/charges), cross-checked across logistics sources:</w:t>
      </w:r>
    </w:p>
    <w:p>
      <w:pPr>
        <w:pStyle w:val="ListBullet"/>
      </w:pPr>
      <w:r>
        <w:rPr>
          <w:b/>
        </w:rPr>
        <w:t>Insured amount = CIF value × 110%</w:t>
      </w:r>
    </w:p>
    <w:p>
      <w:pPr>
        <w:pStyle w:val="ListBullet"/>
      </w:pPr>
      <w:r>
        <w:rPr>
          <w:b/>
        </w:rPr>
        <w:t>Premium = insured amount × insurance rate</w:t>
      </w:r>
    </w:p>
    <w:p>
      <w:r>
        <w:t xml:space="preserve">The </w:t>
      </w:r>
      <w:r>
        <w:rPr>
          <w:b/>
        </w:rPr>
        <w:t>rate floats with route, season, cover tier, vessel and cargo risk and must be quoted per shipment</w:t>
      </w:r>
      <w:r>
        <w:t xml:space="preserve"> — no fixed percentage is published here, because a printed rate would be wrong by the time you use it. Obtain a per-shipment quote and check whether it matches the tier (A/B/C) and any add-ons you actually need.</w:t>
      </w:r>
    </w:p>
    <w:p>
      <w:pPr>
        <w:pStyle w:val="Heading1"/>
      </w:pPr>
      <w:r>
        <w:t>Incoterms 2020: the CIP vs CIF Detail Buyers Miss</w:t>
      </w:r>
    </w:p>
    <w:p>
      <w:r>
        <w:t xml:space="preserve">Under </w:t>
      </w:r>
      <w:r>
        <w:rPr>
          <w:b/>
        </w:rPr>
        <w:t>Incoterms 2020</w:t>
      </w:r>
      <w:r>
        <w:t xml:space="preserve">, the seller's </w:t>
      </w:r>
      <w:r>
        <w:rPr>
          <w:i/>
        </w:rPr>
        <w:t>minimum</w:t>
      </w:r>
      <w:r>
        <w:t xml:space="preserve"> insurance obligation was </w:t>
      </w:r>
      <w:r>
        <w:rPr>
          <w:b/>
        </w:rPr>
        <w:t>raised to ICC (A) for CIP</w:t>
      </w:r>
      <w:r>
        <w:t xml:space="preserve">, while </w:t>
      </w:r>
      <w:r>
        <w:rPr>
          <w:b/>
        </w:rPr>
        <w:t>CIF keeps the lower ICC (C) minimum</w:t>
      </w:r>
      <w:r>
        <w:t xml:space="preserve">. Consequence: if you buy </w:t>
      </w:r>
      <w:r>
        <w:rPr>
          <w:b/>
        </w:rPr>
        <w:t>CIF</w:t>
      </w:r>
      <w:r>
        <w:t xml:space="preserve">, the seller may only be obliged to arrange minimal (C) cover even though your car needs (A) — specify </w:t>
      </w:r>
      <w:r>
        <w:rPr>
          <w:b/>
        </w:rPr>
        <w:t>ICC (A) explicitly in the contract/L/C</w:t>
      </w:r>
      <w:r>
        <w:t>, or buy your own top-up. Under CIP the default is stronger, but still confirm the actual clause rather than assuming.</w:t>
      </w:r>
    </w:p>
    <w:p>
      <w:pPr>
        <w:pStyle w:val="Heading1"/>
      </w:pPr>
      <w:r>
        <w:t>Why the Carrier's Own Liability Is Not Enough</w:t>
      </w:r>
    </w:p>
    <w:p>
      <w:r>
        <w:t xml:space="preserve">Carrier liability under the </w:t>
      </w:r>
      <w:r>
        <w:rPr>
          <w:b/>
        </w:rPr>
        <w:t>Hague-Visby Rules</w:t>
      </w:r>
      <w:r>
        <w:t xml:space="preserve"> is capped at </w:t>
      </w:r>
      <w:r>
        <w:rPr>
          <w:b/>
        </w:rPr>
        <w:t>666.67 SDR per package/unit or 2 SDR per kilogram (whichever is higher)</w:t>
      </w:r>
      <w:r>
        <w:t xml:space="preserve"> — both far below a vehicle's real value (per an insurance-brokerage source citing the convention). SDR limits are amended over time by the IMF, so confirm the current figure, but the structural point stands: </w:t>
      </w:r>
      <w:r>
        <w:rPr>
          <w:b/>
        </w:rPr>
        <w:t>the gap between carrier cap and vehicle value is exactly what cargo insurance fills.</w:t>
      </w:r>
    </w:p>
    <w:p>
      <w:pPr>
        <w:pStyle w:val="Heading1"/>
      </w:pPr>
      <w:r>
        <w:t>What Even "All Risks" Does Not Cover</w:t>
      </w:r>
    </w:p>
    <w:p>
      <w:r>
        <w:t xml:space="preserve">ICC (A) is broad, not absolute. It does </w:t>
      </w:r>
      <w:r>
        <w:rPr>
          <w:b/>
        </w:rPr>
        <w:t>not</w:t>
      </w:r>
      <w:r>
        <w:t xml:space="preserve"> cover mechanical/electrical breakdown, ordinary wear and tear, or </w:t>
      </w:r>
      <w:r>
        <w:rPr>
          <w:b/>
        </w:rPr>
        <w:t>inherent vice</w:t>
      </w:r>
      <w:r>
        <w:t xml:space="preserve"> (the cargo's own nature). For an </w:t>
      </w:r>
      <w:r>
        <w:rPr>
          <w:b/>
        </w:rPr>
        <w:t>EV</w:t>
      </w:r>
      <w:r>
        <w:t xml:space="preserve">, the boundary around </w:t>
      </w:r>
      <w:r>
        <w:rPr>
          <w:b/>
        </w:rPr>
        <w:t>battery/thermal (fire) events</w:t>
      </w:r>
      <w:r>
        <w:t xml:space="preserve"> depends on the specific policy and insurer wording — declare the EV, ask in writing whether battery fire/thermal-runaway in transit is covered or excluded, and whether dangerous-goods declaration requirements apply. Never assume an EV is covered identically to an ICE car.</w:t>
      </w:r>
    </w:p>
    <w:p>
      <w:pPr>
        <w:pStyle w:val="Heading1"/>
      </w:pPr>
      <w:r>
        <w:t>Building a Claim That Pays Out</w:t>
      </w:r>
    </w:p>
    <w:p>
      <w:r>
        <w:t>Insurance responds to documented loss. Prepare the evidence trail before and during shipment:</w:t>
      </w:r>
    </w:p>
    <w:p>
      <w:pPr>
        <w:pStyle w:val="ListBullet"/>
      </w:pPr>
      <w:r>
        <w:rPr>
          <w:b/>
        </w:rPr>
        <w:t>Pre-shipment condition record</w:t>
      </w:r>
      <w:r>
        <w:t>: dated photos/video of every panel, wheels, glass, interior, underside and (for EV) charge/SOC state, witnessed at handover.</w:t>
      </w:r>
    </w:p>
    <w:p>
      <w:pPr>
        <w:pStyle w:val="ListBullet"/>
      </w:pPr>
      <w:r>
        <w:rPr>
          <w:b/>
        </w:rPr>
        <w:t>Documents</w:t>
      </w:r>
      <w:r>
        <w:t>: commercial invoice, packing list, B/L (RoRo: B/L with vehicle condition noted), insurance certificate, loading/handling receipts.</w:t>
      </w:r>
    </w:p>
    <w:p>
      <w:pPr>
        <w:pStyle w:val="ListBullet"/>
      </w:pPr>
      <w:r>
        <w:rPr>
          <w:b/>
        </w:rPr>
        <w:t>At discharge</w:t>
      </w:r>
      <w:r>
        <w:t xml:space="preserve">: inspect </w:t>
      </w:r>
      <w:r>
        <w:rPr>
          <w:b/>
        </w:rPr>
        <w:t>before</w:t>
      </w:r>
      <w:r>
        <w:t xml:space="preserve"> signing clean receipt; note damage on the tally/receipt with photos immediately; survey promptly where required.</w:t>
      </w:r>
    </w:p>
    <w:p>
      <w:pPr>
        <w:pStyle w:val="ListBullet"/>
      </w:pPr>
      <w:r>
        <w:t>File within policy deadlines and preserve damaged parts/packaging for survey.</w:t>
      </w:r>
    </w:p>
    <w:p>
      <w:pPr>
        <w:pStyle w:val="Heading1"/>
      </w:pPr>
      <w:r>
        <w:t>Before You Pay Freight / Premium</w:t>
      </w:r>
    </w:p>
    <w:p>
      <w:pPr>
        <w:pStyle w:val="ListBullet"/>
      </w:pPr>
      <w:r>
        <w:t xml:space="preserve">Specify </w:t>
      </w:r>
      <w:r>
        <w:rPr>
          <w:b/>
        </w:rPr>
        <w:t>ICC (A)</w:t>
      </w:r>
      <w:r>
        <w:t xml:space="preserve"> in writing; add war/strikes cover if the route warrants.</w:t>
      </w:r>
    </w:p>
    <w:p>
      <w:pPr>
        <w:pStyle w:val="ListBullet"/>
      </w:pPr>
      <w:r>
        <w:t>Confirm insured value = CIF × 110% and obtain a per-shipment rate (no assumed number).</w:t>
      </w:r>
    </w:p>
    <w:p>
      <w:pPr>
        <w:pStyle w:val="ListBullet"/>
      </w:pPr>
      <w:r>
        <w:t>Under CIF, do not rely on the default minimum (C) — require (A) or self-insure the gap.</w:t>
      </w:r>
    </w:p>
    <w:p>
      <w:pPr>
        <w:pStyle w:val="ListBullet"/>
      </w:pPr>
      <w:r>
        <w:t>For EVs, obtain written confirmation of battery-fire coverage and DG declaration duties.</w:t>
      </w:r>
    </w:p>
    <w:p>
      <w:pPr>
        <w:pStyle w:val="ListBullet"/>
      </w:pPr>
      <w:r>
        <w:t>Complete a pre-shipment condition record and plan discharge inspection before signing.</w:t>
      </w:r>
    </w:p>
    <w:p>
      <w:pPr>
        <w:pStyle w:val="Heading1"/>
      </w:pPr>
      <w:r>
        <w:t>Frequently Asked Questions</w:t>
      </w:r>
    </w:p>
    <w:p>
      <w:r>
        <w:rPr>
          <w:b/>
        </w:rPr>
        <w:t>Is ICC (C) enough for a shipped car?</w:t>
      </w:r>
      <w:r>
        <w:t xml:space="preserve"> No — it covers only major casualties; theft, scratches and loading damage, the common vehicle losses, need ICC (A). </w:t>
      </w:r>
      <w:r>
        <w:rPr>
          <w:b/>
        </w:rPr>
        <w:t>Why insure at 110% of CIF?</w:t>
      </w:r>
      <w:r>
        <w:t xml:space="preserve"> Standard practice adds 10% for expected profit and incidentals, giving a 110% insured value; premium is that amount times a per-shipment rate. </w:t>
      </w:r>
      <w:r>
        <w:rPr>
          <w:b/>
        </w:rPr>
        <w:t>Doesn't the shipping line pay if they damage the car?</w:t>
      </w:r>
      <w:r>
        <w:t xml:space="preserve"> Only up to the Hague-Visby cap (666.67 SDR/unit or 2 SDR/kg, whichever is higher) — well below vehicle value, hence separate cargo insurance. </w:t>
      </w:r>
      <w:r>
        <w:rPr>
          <w:b/>
        </w:rPr>
        <w:t>CIF or CIP — which gives better default cover?</w:t>
      </w:r>
      <w:r>
        <w:t xml:space="preserve"> Under Incoterms 2020 CIP requires at least ICC (A), while CIF defaults to only ICC (C); on CIF terms, demand ICC (A) explicitly. </w:t>
      </w:r>
      <w:r>
        <w:rPr>
          <w:b/>
        </w:rPr>
        <w:t>Is an EV battery fire covered by All-Risks?</w:t>
      </w:r>
      <w:r>
        <w:t xml:space="preserve"> It depends on the specific policy wording — declare the EV and obtain written confirmation rather than assuming.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Korean used-car marine insurance claim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SH 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https://shglobalauto.com/blog/korean-used-car-marine-insurance-claim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ICC (A)/(B)/(C) coverage tiers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Korean used-car export insurance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SH 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https://shglobalauto.com/blog/korean-used-car-export-insurance-guide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Vehicles recommended ICC (A)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Marine cargo insurance ICC/CIF/CIP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Portlogics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https://www.portlogics.com/insights/marine-cargo-insurance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110% CIF insured value; rate variability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Guide to marine insurance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laojinchuhai (老金出海)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https://www.laojinchuhai.com/en/insights/guide-marine-insurance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Incoterms 2020 CIP→ICC(A), CIF→ICC(C)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Insuring vehicles on RoRo vessels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Voyage Cover (brokerage, cites IUA/LMA, Hague-Visby)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https://voyagecover.com/guides/roro-vehicle-cargo-insurance-underwriter-decline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Carrier SDR liability cap; inherent-vice exclusions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Marine cargo insurance overview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Ascope Shipping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https://www.ascopeshipping.co.uk/marine-cargo-insurance/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All-risks; war/strikes add-ons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export marine insurance (formula)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PLANETCARS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https://planetcars.jp/index.php/ja/insurance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Insured amount = CIF×110%; premium formula</w:t>
            </w:r>
          </w:p>
        </w:tc>
      </w:tr>
    </w:tbl>
    <w:p>
      <w:r>
        <w:rPr>
          <w:i/>
        </w:rPr>
        <w:t>Verification note: cover tiers, 110% convention and Incoterms 2020 change are cross-checked. SDR caps are IMF-amended (verify current value); premium rates vary per shipment and no fixed rate is given; EV battery-fire cover is policy-specific and must be confirmed in writing.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Global ocean cargo from China</w:t>
      </w:r>
    </w:p>
    <w:p>
      <w:pPr>
        <w:pStyle w:val="ListBullet"/>
      </w:pPr>
      <w:r>
        <w:rPr>
          <w:b/>
        </w:rPr>
        <w:t>Verification method</w:t>
      </w:r>
      <w:r>
        <w:t>: Cross-checked insurance/logistics sources plus brokerage citing international clauses; rates and SDR values left to live confirmation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