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w:hAnsi="Noto Sans" w:eastAsia="Noto Sans CJK SC" w:cs="Noto Sans Arabic"/>
          <w:b w:val="0"/>
          <w:sz w:val="23"/>
        </w:rPr>
        <w:t>AutoBridge Export</w:t>
      </w:r>
    </w:p>
    <w:p>
      <w:pPr/>
      <w:r>
        <w:t>BUYER GUIDE REPAIR PACKAGE — BATCH 2 V3 CONTENT REPAIR</w:t>
      </w:r>
    </w:p>
    <w:p>
      <w:pPr>
        <w:pStyle w:val="Heading1"/>
      </w:pPr>
      <w:r>
        <w:rPr>
          <w:rFonts w:ascii="Noto Sans" w:hAnsi="Noto Sans" w:eastAsia="Noto Sans CJK SC" w:cs="Noto Sans Arabic"/>
          <w:b w:val="0"/>
          <w:sz w:val="30"/>
        </w:rPr>
        <w:t>Buying a Chinese MPV for Southeast Asia: Steering Side, Urban Use and Service Checks</w:t>
      </w:r>
    </w:p>
    <w:p>
      <w:pPr/>
      <w:r>
        <w:t>Package: AB50-033</w:t>
      </w:r>
    </w:p>
    <w:p>
      <w:pPr/>
      <w:r>
        <w:t>Evidence basis: official/authoritative source URLs are listed in this package; deployment must re-open critical URLs before publication.</w:t>
      </w:r>
    </w:p>
    <w:p>
      <w:pPr/>
      <w:r>
        <w:t>Release status: READY FOR INDEPENDENT MULTILINGUAL QA AND PR REVIEW — NOT YET PUBLISHED.</w:t>
      </w:r>
    </w:p>
    <w:p>
      <w:pPr/>
      <w:r>
        <w:rPr>
          <w:rFonts w:ascii="Noto Sans" w:hAnsi="Noto Sans" w:eastAsia="Noto Sans CJK SC" w:cs="Noto Sans Arabic"/>
          <w:b w:val="0"/>
          <w:sz w:val="18"/>
        </w:rPr>
        <w:t>This package repairs the existing URL in place. It preserves evidence boundaries and does not convert a source-market specification or country rule into a global claim.</w:t>
      </w:r>
    </w:p>
    <w:p>
      <w:pPr>
        <w:pStyle w:val="Heading2"/>
      </w:pPr>
      <w:r>
        <w:rPr>
          <w:rFonts w:ascii="Noto Sans" w:hAnsi="Noto Sans" w:eastAsia="Noto Sans CJK SC" w:cs="Noto Sans Arabic"/>
          <w:b w:val="0"/>
          <w:sz w:val="23"/>
        </w:rPr>
        <w:t>Deployment role</w:t>
      </w:r>
    </w:p>
    <w:p>
      <w:pPr>
        <w:pStyle w:val="ListBullet"/>
      </w:pPr>
      <w:r>
        <w:rPr>
          <w:rFonts w:ascii="Noto Sans" w:hAnsi="Noto Sans" w:eastAsia="Noto Sans CJK SC" w:cs="Noto Sans Arabic"/>
          <w:b w:val="0"/>
          <w:sz w:val="18"/>
        </w:rPr>
        <w:t>Update the existing page in place and preserve the supplied URL plus its 12 locale counterparts; do not create a duplicate page.</w:t>
      </w:r>
    </w:p>
    <w:p>
      <w:pPr>
        <w:pStyle w:val="ListBullet"/>
      </w:pPr>
      <w:r>
        <w:rPr>
          <w:rFonts w:ascii="Noto Sans" w:hAnsi="Noto Sans" w:eastAsia="Noto Sans CJK SC" w:cs="Noto Sans Arabic"/>
          <w:b w:val="0"/>
          <w:sz w:val="18"/>
        </w:rPr>
        <w:t>The deployment AI is an executor, not an author. Do not rewrite, shorten, retranslate, add facts, add prices or change the evidence boundary.</w:t>
      </w:r>
    </w:p>
    <w:p>
      <w:pPr>
        <w:pStyle w:val="ListBullet"/>
      </w:pPr>
      <w:r>
        <w:rPr>
          <w:rFonts w:ascii="Noto Sans" w:hAnsi="Noto Sans" w:eastAsia="Noto Sans CJK SC" w:cs="Noto Sans Arabic"/>
          <w:b w:val="0"/>
          <w:sz w:val="18"/>
        </w:rPr>
        <w:t>If a critical source becomes inaccessible, materially changes or contradicts the package, place the page on quality hold and report the issue.</w:t>
      </w:r>
    </w:p>
    <w:p>
      <w:pPr>
        <w:pStyle w:val="ListBullet"/>
      </w:pPr>
      <w:r>
        <w:rPr>
          <w:rFonts w:ascii="Noto Sans" w:hAnsi="Noto Sans" w:eastAsia="Noto Sans CJK SC" w:cs="Noto Sans Arabic"/>
          <w:b w:val="0"/>
          <w:sz w:val="18"/>
        </w:rPr>
        <w:t>Do not mark “Human reviewed” until a named human reviewer actually approves the page.</w:t>
      </w:r>
    </w:p>
    <w:p>
      <w:pPr>
        <w:pStyle w:val="ListBullet"/>
      </w:pPr>
      <w:r>
        <w:rPr>
          <w:rFonts w:ascii="Noto Sans" w:hAnsi="Noto Sans" w:eastAsia="Noto Sans CJK SC" w:cs="Noto Sans Arabic"/>
          <w:b w:val="0"/>
          <w:sz w:val="18"/>
        </w:rPr>
        <w:t>After deployment verify one H1, title/meta fields, image and ALT, source module, self-canonical, reciprocal hreflang and mobile/desktop rendering.</w:t>
      </w:r>
    </w:p>
    <w:p>
      <w:pPr>
        <w:pStyle w:val="Heading2"/>
      </w:pPr>
      <w:r>
        <w:rPr>
          <w:rFonts w:ascii="Noto Sans" w:hAnsi="Noto Sans" w:eastAsia="Noto Sans CJK SC" w:cs="Noto Sans Arabic"/>
          <w:b w:val="0"/>
          <w:sz w:val="23"/>
        </w:rPr>
        <w:t>Editorial metadata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E7EEF7"/>
          </w:tcPr>
          <w:p>
            <w:r/>
            <w:r>
              <w:rPr>
                <w:rFonts w:ascii="Noto Sans" w:hAnsi="Noto Sans"/>
                <w:b/>
                <w:sz w:val="17"/>
              </w:rPr>
              <w:t>Field</w:t>
            </w:r>
          </w:p>
        </w:tc>
        <w:tc>
          <w:tcPr>
            <w:tcW w:type="dxa" w:w="5184"/>
            <w:vAlign w:val="top"/>
            <w:shd w:fill="E7EEF7"/>
          </w:tcPr>
          <w:p>
            <w:r/>
            <w:r>
              <w:rPr>
                <w:rFonts w:ascii="Noto Sans" w:hAnsi="Noto Sans"/>
                <w:b/>
                <w:sz w:val="17"/>
              </w:rPr>
              <w:t>Value</w:t>
            </w:r>
          </w:p>
        </w:tc>
      </w:tr>
      <w:tr>
        <w:tc>
          <w:tcPr>
            <w:tcW w:type="dxa" w:w="5184"/>
            <w:vAlign w:val="top"/>
          </w:tcPr>
          <w:p>
            <w:r/>
            <w:r>
              <w:rPr>
                <w:rFonts w:ascii="Noto Sans" w:hAnsi="Noto Sans"/>
                <w:b w:val="0"/>
                <w:sz w:val="17"/>
              </w:rPr>
              <w:t>Content owner</w:t>
            </w:r>
          </w:p>
        </w:tc>
        <w:tc>
          <w:tcPr>
            <w:tcW w:type="dxa" w:w="5184"/>
            <w:vAlign w:val="top"/>
          </w:tcPr>
          <w:p>
            <w:r/>
            <w:r>
              <w:rPr>
                <w:rFonts w:ascii="Noto Sans" w:hAnsi="Noto Sans"/>
                <w:b w:val="0"/>
                <w:sz w:val="17"/>
              </w:rPr>
              <w:t>AutoBridge Export Editorial Team</w:t>
            </w:r>
          </w:p>
        </w:tc>
      </w:tr>
      <w:tr>
        <w:tc>
          <w:tcPr>
            <w:tcW w:type="dxa" w:w="5184"/>
            <w:vAlign w:val="top"/>
          </w:tcPr>
          <w:p>
            <w:r/>
            <w:r>
              <w:rPr>
                <w:rFonts w:ascii="Noto Sans" w:hAnsi="Noto Sans"/>
                <w:b w:val="0"/>
                <w:sz w:val="17"/>
              </w:rPr>
              <w:t>Research</w:t>
            </w:r>
          </w:p>
        </w:tc>
        <w:tc>
          <w:tcPr>
            <w:tcW w:type="dxa" w:w="5184"/>
            <w:vAlign w:val="top"/>
          </w:tcPr>
          <w:p>
            <w:r/>
            <w:r>
              <w:rPr>
                <w:rFonts w:ascii="Noto Sans" w:hAnsi="Noto Sans"/>
                <w:b w:val="0"/>
                <w:sz w:val="17"/>
              </w:rPr>
              <w:t>AI-assisted; official/authoritative sources listed in package</w:t>
            </w:r>
          </w:p>
        </w:tc>
      </w:tr>
      <w:tr>
        <w:tc>
          <w:tcPr>
            <w:tcW w:type="dxa" w:w="5184"/>
            <w:vAlign w:val="top"/>
          </w:tcPr>
          <w:p>
            <w:r/>
            <w:r>
              <w:rPr>
                <w:rFonts w:ascii="Noto Sans" w:hAnsi="Noto Sans"/>
                <w:b w:val="0"/>
                <w:sz w:val="17"/>
              </w:rPr>
              <w:t>Drafting</w:t>
            </w:r>
          </w:p>
        </w:tc>
        <w:tc>
          <w:tcPr>
            <w:tcW w:type="dxa" w:w="5184"/>
            <w:vAlign w:val="top"/>
          </w:tcPr>
          <w:p>
            <w:r/>
            <w:r>
              <w:rPr>
                <w:rFonts w:ascii="Noto Sans" w:hAnsi="Noto Sans"/>
                <w:b w:val="0"/>
                <w:sz w:val="17"/>
              </w:rPr>
              <w:t>AI-assisted, second-batch editorial rewrite</w:t>
            </w:r>
          </w:p>
        </w:tc>
      </w:tr>
      <w:tr>
        <w:tc>
          <w:tcPr>
            <w:tcW w:type="dxa" w:w="5184"/>
            <w:vAlign w:val="top"/>
          </w:tcPr>
          <w:p>
            <w:r/>
            <w:r>
              <w:rPr>
                <w:rFonts w:ascii="Noto Sans" w:hAnsi="Noto Sans"/>
                <w:b w:val="0"/>
                <w:sz w:val="17"/>
              </w:rPr>
              <w:t>Language set</w:t>
            </w:r>
          </w:p>
        </w:tc>
        <w:tc>
          <w:tcPr>
            <w:tcW w:type="dxa" w:w="5184"/>
            <w:vAlign w:val="top"/>
          </w:tcPr>
          <w:p>
            <w:r/>
            <w:r>
              <w:rPr>
                <w:rFonts w:ascii="Noto Sans" w:hAnsi="Noto Sans"/>
                <w:b w:val="0"/>
                <w:sz w:val="17"/>
              </w:rPr>
              <w:t>EN / FR / DE / ES / PT / JA / KO / VI / TH / ID / AR / ZH</w:t>
            </w:r>
          </w:p>
        </w:tc>
      </w:tr>
      <w:tr>
        <w:tc>
          <w:tcPr>
            <w:tcW w:type="dxa" w:w="5184"/>
            <w:vAlign w:val="top"/>
          </w:tcPr>
          <w:p>
            <w:r/>
            <w:r>
              <w:rPr>
                <w:rFonts w:ascii="Noto Sans" w:hAnsi="Noto Sans"/>
                <w:b w:val="0"/>
                <w:sz w:val="17"/>
              </w:rPr>
              <w:t>Named human final review</w:t>
            </w:r>
          </w:p>
        </w:tc>
        <w:tc>
          <w:tcPr>
            <w:tcW w:type="dxa" w:w="5184"/>
            <w:vAlign w:val="top"/>
          </w:tcPr>
          <w:p>
            <w:r/>
            <w:r>
              <w:rPr>
                <w:rFonts w:ascii="Noto Sans" w:hAnsi="Noto Sans"/>
                <w:b w:val="0"/>
                <w:sz w:val="17"/>
              </w:rPr>
              <w:t>PENDING USER APPROVAL</w:t>
            </w:r>
          </w:p>
        </w:tc>
      </w:tr>
      <w:tr>
        <w:tc>
          <w:tcPr>
            <w:tcW w:type="dxa" w:w="5184"/>
            <w:vAlign w:val="top"/>
          </w:tcPr>
          <w:p>
            <w:r/>
            <w:r>
              <w:rPr>
                <w:rFonts w:ascii="Noto Sans" w:hAnsi="Noto Sans"/>
                <w:b w:val="0"/>
                <w:sz w:val="17"/>
              </w:rPr>
              <w:t>Deployment authority</w:t>
            </w:r>
          </w:p>
        </w:tc>
        <w:tc>
          <w:tcPr>
            <w:tcW w:type="dxa" w:w="5184"/>
            <w:vAlign w:val="top"/>
          </w:tcPr>
          <w:p>
            <w:r/>
            <w:r>
              <w:rPr>
                <w:rFonts w:ascii="Noto Sans" w:hAnsi="Noto Sans"/>
                <w:b w:val="0"/>
                <w:sz w:val="17"/>
              </w:rPr>
              <w:t>Executor only; no editorial authority</w:t>
            </w:r>
          </w:p>
        </w:tc>
      </w:tr>
    </w:tbl>
    <w:p>
      <w:pPr>
        <w:pStyle w:val="Heading2"/>
      </w:pPr>
      <w:r>
        <w:rPr>
          <w:rFonts w:ascii="Noto Sans" w:hAnsi="Noto Sans" w:eastAsia="Noto Sans CJK SC" w:cs="Noto Sans Arabic"/>
          <w:b w:val="0"/>
          <w:sz w:val="23"/>
        </w:rPr>
        <w:t>Search intent and fact boundary</w:t>
      </w:r>
    </w:p>
    <w:p>
      <w:pPr/>
      <w:r>
        <w:rPr>
          <w:rFonts w:ascii="Noto Sans" w:hAnsi="Noto Sans" w:eastAsia="Noto Sans CJK SC" w:cs="Noto Sans Arabic"/>
          <w:b w:val="0"/>
          <w:sz w:val="18"/>
        </w:rPr>
        <w:t>Core intent: Right- and left-hand-drive markets sit in the same region, while tropical urban duty and service networks vary sharply country by country.</w:t>
      </w:r>
    </w:p>
    <w:p>
      <w:pPr/>
      <w:r>
        <w:rPr>
          <w:rFonts w:ascii="Noto Sans" w:hAnsi="Noto Sans" w:eastAsia="Noto Sans CJK SC" w:cs="Noto Sans Arabic"/>
          <w:b w:val="0"/>
          <w:sz w:val="18"/>
        </w:rPr>
        <w:t>Existing English URL: https://www.autobridgeexport.com/guides/mpv-procurement-southeast-asia.html</w:t>
      </w:r>
    </w:p>
    <w:p>
      <w:pPr>
        <w:pStyle w:val="ListBullet"/>
      </w:pPr>
      <w:r>
        <w:rPr>
          <w:rFonts w:ascii="Noto Sans" w:hAnsi="Noto Sans" w:eastAsia="Noto Sans CJK SC" w:cs="Noto Sans Arabic"/>
          <w:b w:val="0"/>
          <w:sz w:val="18"/>
        </w:rPr>
        <w:t>Model-year boundary: any 2026 statement is limited to the official source market or MY2026 material cited in this package; it is not automatically global.</w:t>
      </w:r>
    </w:p>
    <w:p>
      <w:pPr>
        <w:pStyle w:val="ListBullet"/>
      </w:pPr>
      <w:r>
        <w:rPr>
          <w:rFonts w:ascii="Noto Sans" w:hAnsi="Noto Sans" w:eastAsia="Noto Sans CJK SC" w:cs="Noto Sans Arabic"/>
          <w:b w:val="0"/>
          <w:sz w:val="18"/>
        </w:rPr>
        <w:t>Source-market specifications remain source-market specific unless the cited source explicitly supports broader scope.</w:t>
      </w:r>
    </w:p>
    <w:p>
      <w:pPr>
        <w:pStyle w:val="ListBullet"/>
      </w:pPr>
      <w:r>
        <w:rPr>
          <w:rFonts w:ascii="Noto Sans" w:hAnsi="Noto Sans" w:eastAsia="Noto Sans CJK SC" w:cs="Noto Sans Arabic"/>
          <w:b w:val="0"/>
          <w:sz w:val="18"/>
        </w:rPr>
        <w:t>Independent safety evidence remains limited to its published model, variant, build and test scope.</w:t>
      </w:r>
    </w:p>
    <w:p>
      <w:pPr>
        <w:pStyle w:val="ListBullet"/>
      </w:pPr>
      <w:r>
        <w:rPr>
          <w:rFonts w:ascii="Noto Sans" w:hAnsi="Noto Sans" w:eastAsia="Noto Sans CJK SC" w:cs="Noto Sans Arabic"/>
          <w:b w:val="0"/>
          <w:sz w:val="18"/>
        </w:rPr>
        <w:t>Destination-country requirements are not generalized across an entire region.</w:t>
      </w:r>
    </w:p>
    <w:p>
      <w:pPr>
        <w:pStyle w:val="ListBullet"/>
      </w:pPr>
      <w:r>
        <w:rPr>
          <w:rFonts w:ascii="Noto Sans" w:hAnsi="Noto Sans" w:eastAsia="Noto Sans CJK SC" w:cs="Noto Sans Arabic"/>
          <w:b w:val="0"/>
          <w:sz w:val="18"/>
        </w:rPr>
        <w:t>No current price, stock, freight, tax, delivery, certification or warranty promise is inserted without transaction-specific evidence.</w:t>
      </w:r>
    </w:p>
    <w:p>
      <w:pPr>
        <w:pStyle w:val="ListBullet"/>
      </w:pPr>
      <w:r>
        <w:rPr>
          <w:rFonts w:ascii="Noto Sans" w:hAnsi="Noto Sans" w:eastAsia="Noto Sans CJK SC" w:cs="Noto Sans Arabic"/>
          <w:b w:val="0"/>
          <w:sz w:val="18"/>
        </w:rPr>
        <w:t>Any unresolved VIN, derivative, destination eligibility, warranty territory or material commercial term remains unverified.</w:t>
      </w:r>
    </w:p>
    <w:p>
      <w:pPr>
        <w:pStyle w:val="Heading2"/>
      </w:pPr>
      <w:r>
        <w:rPr>
          <w:rFonts w:ascii="Noto Sans" w:hAnsi="Noto Sans" w:eastAsia="Noto Sans CJK SC" w:cs="Noto Sans Arabic"/>
          <w:b w:val="0"/>
          <w:sz w:val="23"/>
        </w:rPr>
        <w:t>Evidence and source boundary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top"/>
            <w:shd w:fill="E7EEF7"/>
          </w:tcPr>
          <w:p>
            <w:r/>
            <w:r>
              <w:rPr>
                <w:rFonts w:ascii="Noto Sans" w:hAnsi="Noto Sans"/>
                <w:b/>
                <w:sz w:val="16"/>
              </w:rPr>
              <w:t>Grade</w:t>
            </w:r>
          </w:p>
        </w:tc>
        <w:tc>
          <w:tcPr>
            <w:tcW w:type="dxa" w:w="2592"/>
            <w:vAlign w:val="top"/>
            <w:shd w:fill="E7EEF7"/>
          </w:tcPr>
          <w:p>
            <w:r/>
            <w:r>
              <w:rPr>
                <w:rFonts w:ascii="Noto Sans" w:hAnsi="Noto Sans"/>
                <w:b/>
                <w:sz w:val="16"/>
              </w:rPr>
              <w:t>Source</w:t>
            </w:r>
          </w:p>
        </w:tc>
        <w:tc>
          <w:tcPr>
            <w:tcW w:type="dxa" w:w="2592"/>
            <w:vAlign w:val="top"/>
            <w:shd w:fill="E7EEF7"/>
          </w:tcPr>
          <w:p>
            <w:r/>
            <w:r>
              <w:rPr>
                <w:rFonts w:ascii="Noto Sans" w:hAnsi="Noto Sans"/>
                <w:b/>
                <w:sz w:val="16"/>
              </w:rPr>
              <w:t>Supported fact / scope</w:t>
            </w:r>
          </w:p>
        </w:tc>
        <w:tc>
          <w:tcPr>
            <w:tcW w:type="dxa" w:w="2592"/>
            <w:vAlign w:val="top"/>
            <w:shd w:fill="E7EEF7"/>
          </w:tcPr>
          <w:p>
            <w:r/>
            <w:r>
              <w:rPr>
                <w:rFonts w:ascii="Noto Sans" w:hAnsi="Noto Sans"/>
                <w:b/>
                <w:sz w:val="16"/>
              </w:rPr>
              <w:t>URL</w:t>
            </w:r>
          </w:p>
        </w:tc>
      </w:tr>
      <w:tr>
        <w:tc>
          <w:tcPr>
            <w:tcW w:type="dxa" w:w="2592"/>
            <w:vAlign w:val="top"/>
          </w:tcPr>
          <w:p>
            <w:r/>
            <w:r>
              <w:rPr>
                <w:rFonts w:ascii="Noto Sans" w:hAnsi="Noto Sans"/>
                <w:b w:val="0"/>
                <w:sz w:val="15"/>
              </w:rPr>
              <w:t>B</w:t>
            </w:r>
          </w:p>
        </w:tc>
        <w:tc>
          <w:tcPr>
            <w:tcW w:type="dxa" w:w="2592"/>
            <w:vAlign w:val="top"/>
          </w:tcPr>
          <w:p>
            <w:r/>
            <w:r>
              <w:rPr>
                <w:rFonts w:ascii="Noto Sans" w:hAnsi="Noto Sans"/>
                <w:b w:val="0"/>
                <w:sz w:val="15"/>
              </w:rPr>
              <w:t>ASEAN NCAP</w:t>
            </w:r>
          </w:p>
        </w:tc>
        <w:tc>
          <w:tcPr>
            <w:tcW w:type="dxa" w:w="2592"/>
            <w:vAlign w:val="top"/>
          </w:tcPr>
          <w:p>
            <w:r/>
            <w:r>
              <w:rPr>
                <w:rFonts w:ascii="Noto Sans" w:hAnsi="Noto Sans"/>
                <w:b w:val="0"/>
                <w:sz w:val="15"/>
              </w:rPr>
              <w:t>Regional safety ratings with model/variant scope</w:t>
            </w:r>
          </w:p>
        </w:tc>
        <w:tc>
          <w:tcPr>
            <w:tcW w:type="dxa" w:w="2592"/>
            <w:vAlign w:val="top"/>
          </w:tcPr>
          <w:p>
            <w:r/>
            <w:r>
              <w:rPr>
                <w:rFonts w:ascii="Noto Sans" w:hAnsi="Noto Sans"/>
                <w:b w:val="0"/>
                <w:sz w:val="15"/>
              </w:rPr>
              <w:t>https://www.aseancap.org/</w:t>
            </w:r>
          </w:p>
        </w:tc>
      </w:tr>
      <w:tr>
        <w:tc>
          <w:tcPr>
            <w:tcW w:type="dxa" w:w="2592"/>
            <w:vAlign w:val="top"/>
          </w:tcPr>
          <w:p>
            <w:r/>
            <w:r>
              <w:rPr>
                <w:rFonts w:ascii="Noto Sans" w:hAnsi="Noto Sans"/>
                <w:b w:val="0"/>
                <w:sz w:val="15"/>
              </w:rPr>
              <w:t>A1</w:t>
            </w:r>
          </w:p>
        </w:tc>
        <w:tc>
          <w:tcPr>
            <w:tcW w:type="dxa" w:w="2592"/>
            <w:vAlign w:val="top"/>
          </w:tcPr>
          <w:p>
            <w:r/>
            <w:r>
              <w:rPr>
                <w:rFonts w:ascii="Noto Sans" w:hAnsi="Noto Sans"/>
                <w:b w:val="0"/>
                <w:sz w:val="15"/>
              </w:rPr>
              <w:t>Singapore LTA — vehicle import and registration</w:t>
            </w:r>
          </w:p>
        </w:tc>
        <w:tc>
          <w:tcPr>
            <w:tcW w:type="dxa" w:w="2592"/>
            <w:vAlign w:val="top"/>
          </w:tcPr>
          <w:p>
            <w:r/>
            <w:r>
              <w:rPr>
                <w:rFonts w:ascii="Noto Sans" w:hAnsi="Noto Sans"/>
                <w:b w:val="0"/>
                <w:sz w:val="15"/>
              </w:rPr>
              <w:t>Country-specific import/registration example</w:t>
            </w:r>
          </w:p>
        </w:tc>
        <w:tc>
          <w:tcPr>
            <w:tcW w:type="dxa" w:w="2592"/>
            <w:vAlign w:val="top"/>
          </w:tcPr>
          <w:p>
            <w:r/>
            <w:r>
              <w:rPr>
                <w:rFonts w:ascii="Noto Sans" w:hAnsi="Noto Sans"/>
                <w:b w:val="0"/>
                <w:sz w:val="15"/>
              </w:rPr>
              <w:t>https://onemotoring.lta.gov.sg/content/onemotoring/home/buying/upfront-vehicle-costs/import-a-vehicle.html</w:t>
            </w:r>
          </w:p>
        </w:tc>
      </w:tr>
      <w:tr>
        <w:tc>
          <w:tcPr>
            <w:tcW w:type="dxa" w:w="2592"/>
            <w:vAlign w:val="top"/>
          </w:tcPr>
          <w:p>
            <w:r/>
            <w:r>
              <w:rPr>
                <w:rFonts w:ascii="Noto Sans" w:hAnsi="Noto Sans"/>
                <w:b w:val="0"/>
                <w:sz w:val="15"/>
              </w:rPr>
              <w:t>A1</w:t>
            </w:r>
          </w:p>
        </w:tc>
        <w:tc>
          <w:tcPr>
            <w:tcW w:type="dxa" w:w="2592"/>
            <w:vAlign w:val="top"/>
          </w:tcPr>
          <w:p>
            <w:r/>
            <w:r>
              <w:rPr>
                <w:rFonts w:ascii="Noto Sans" w:hAnsi="Noto Sans"/>
                <w:b w:val="0"/>
                <w:sz w:val="15"/>
              </w:rPr>
              <w:t>UNECE Regulation No. 17</w:t>
            </w:r>
          </w:p>
        </w:tc>
        <w:tc>
          <w:tcPr>
            <w:tcW w:type="dxa" w:w="2592"/>
            <w:vAlign w:val="top"/>
          </w:tcPr>
          <w:p>
            <w:r/>
            <w:r>
              <w:rPr>
                <w:rFonts w:ascii="Noto Sans" w:hAnsi="Noto Sans"/>
                <w:b w:val="0"/>
                <w:sz w:val="15"/>
              </w:rPr>
              <w:t>Seat/anchorage technical reference</w:t>
            </w:r>
          </w:p>
        </w:tc>
        <w:tc>
          <w:tcPr>
            <w:tcW w:type="dxa" w:w="2592"/>
            <w:vAlign w:val="top"/>
          </w:tcPr>
          <w:p>
            <w:r/>
            <w:r>
              <w:rPr>
                <w:rFonts w:ascii="Noto Sans" w:hAnsi="Noto Sans"/>
                <w:b w:val="0"/>
                <w:sz w:val="15"/>
              </w:rPr>
              <w:t>https://unece.org/transport/documents/2022/01/standards/un-regulation-no-17-rev6</w:t>
            </w:r>
          </w:p>
        </w:tc>
      </w:tr>
    </w:tbl>
    <w:p>
      <w:pPr>
        <w:pStyle w:val="Heading2"/>
      </w:pPr>
      <w:r>
        <w:rPr>
          <w:rFonts w:ascii="Noto Sans" w:hAnsi="Noto Sans" w:eastAsia="Noto Sans CJK SC" w:cs="Noto Sans Arabic"/>
          <w:b w:val="0"/>
          <w:sz w:val="23"/>
        </w:rPr>
        <w:t>Image handling</w:t>
      </w:r>
    </w:p>
    <w:p>
      <w:pPr/>
      <w:r>
        <w:rPr>
          <w:rFonts w:ascii="Noto Sans" w:hAnsi="Noto Sans" w:eastAsia="Noto Sans CJK SC" w:cs="Noto Sans Arabic"/>
          <w:b w:val="0"/>
          <w:sz w:val="18"/>
        </w:rPr>
        <w:t>Keep the current image only when subject relevance, rights/licence and attribution are documented. ALT text must describe the visible vehicle or procurement scene and must not claim an unverified model year, market specification, certification or equipment item.</w:t>
      </w:r>
    </w:p>
    <w:p>
      <w:pPr>
        <w:pStyle w:val="Heading2"/>
      </w:pPr>
      <w:r>
        <w:rPr>
          <w:rFonts w:ascii="Noto Sans" w:hAnsi="Noto Sans" w:eastAsia="Noto Sans CJK SC" w:cs="Noto Sans Arabic"/>
          <w:b w:val="0"/>
          <w:sz w:val="23"/>
        </w:rPr>
        <w:t>12-language URL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E7EEF7"/>
          </w:tcPr>
          <w:p>
            <w:r/>
            <w:r>
              <w:rPr>
                <w:rFonts w:ascii="Noto Sans" w:hAnsi="Noto Sans"/>
                <w:b/>
                <w:sz w:val="16"/>
              </w:rPr>
              <w:t>Locale</w:t>
            </w:r>
          </w:p>
        </w:tc>
        <w:tc>
          <w:tcPr>
            <w:tcW w:type="dxa" w:w="3456"/>
            <w:vAlign w:val="top"/>
            <w:shd w:fill="E7EEF7"/>
          </w:tcPr>
          <w:p>
            <w:r/>
            <w:r>
              <w:rPr>
                <w:rFonts w:ascii="Noto Sans" w:hAnsi="Noto Sans"/>
                <w:b/>
                <w:sz w:val="16"/>
              </w:rPr>
              <w:t>Language</w:t>
            </w:r>
          </w:p>
        </w:tc>
        <w:tc>
          <w:tcPr>
            <w:tcW w:type="dxa" w:w="3456"/>
            <w:vAlign w:val="top"/>
            <w:shd w:fill="E7EEF7"/>
          </w:tcPr>
          <w:p>
            <w:r/>
            <w:r>
              <w:rPr>
                <w:rFonts w:ascii="Noto Sans" w:hAnsi="Noto Sans"/>
                <w:b/>
                <w:sz w:val="16"/>
              </w:rPr>
              <w:t>Target URL</w:t>
            </w:r>
          </w:p>
        </w:tc>
      </w:tr>
      <w:tr>
        <w:tc>
          <w:tcPr>
            <w:tcW w:type="dxa" w:w="3456"/>
            <w:vAlign w:val="top"/>
          </w:tcPr>
          <w:p>
            <w:r/>
            <w:r>
              <w:rPr>
                <w:rFonts w:ascii="Noto Sans" w:hAnsi="Noto Sans"/>
                <w:b w:val="0"/>
                <w:sz w:val="15"/>
              </w:rPr>
              <w:t>EN</w:t>
            </w:r>
          </w:p>
        </w:tc>
        <w:tc>
          <w:tcPr>
            <w:tcW w:type="dxa" w:w="3456"/>
            <w:vAlign w:val="top"/>
          </w:tcPr>
          <w:p>
            <w:r/>
            <w:r>
              <w:rPr>
                <w:rFonts w:ascii="Noto Sans" w:hAnsi="Noto Sans"/>
                <w:b w:val="0"/>
                <w:sz w:val="15"/>
              </w:rPr>
              <w:t>English</w:t>
            </w:r>
          </w:p>
        </w:tc>
        <w:tc>
          <w:tcPr>
            <w:tcW w:type="dxa" w:w="3456"/>
            <w:vAlign w:val="top"/>
          </w:tcPr>
          <w:p>
            <w:r/>
            <w:r>
              <w:rPr>
                <w:rFonts w:ascii="Noto Sans" w:hAnsi="Noto Sans"/>
                <w:b w:val="0"/>
                <w:sz w:val="15"/>
              </w:rPr>
              <w:t>https://www.autobridgeexport.com/guides/mpv-procurement-southeast-asia.html</w:t>
            </w:r>
          </w:p>
        </w:tc>
      </w:tr>
      <w:tr>
        <w:tc>
          <w:tcPr>
            <w:tcW w:type="dxa" w:w="3456"/>
            <w:vAlign w:val="top"/>
          </w:tcPr>
          <w:p>
            <w:r/>
            <w:r>
              <w:rPr>
                <w:rFonts w:ascii="Noto Sans" w:hAnsi="Noto Sans"/>
                <w:b w:val="0"/>
                <w:sz w:val="15"/>
              </w:rPr>
              <w:t>FR</w:t>
            </w:r>
          </w:p>
        </w:tc>
        <w:tc>
          <w:tcPr>
            <w:tcW w:type="dxa" w:w="3456"/>
            <w:vAlign w:val="top"/>
          </w:tcPr>
          <w:p>
            <w:r/>
            <w:r>
              <w:rPr>
                <w:rFonts w:ascii="Noto Sans" w:hAnsi="Noto Sans"/>
                <w:b w:val="0"/>
                <w:sz w:val="15"/>
              </w:rPr>
              <w:t>Français</w:t>
            </w:r>
          </w:p>
        </w:tc>
        <w:tc>
          <w:tcPr>
            <w:tcW w:type="dxa" w:w="3456"/>
            <w:vAlign w:val="top"/>
          </w:tcPr>
          <w:p>
            <w:r/>
            <w:r>
              <w:rPr>
                <w:rFonts w:ascii="Noto Sans" w:hAnsi="Noto Sans"/>
                <w:b w:val="0"/>
                <w:sz w:val="15"/>
              </w:rPr>
              <w:t>https://fr.autobridgeexport.com/guides/mpv-procurement-southeast-asia.html</w:t>
            </w:r>
          </w:p>
        </w:tc>
      </w:tr>
      <w:tr>
        <w:tc>
          <w:tcPr>
            <w:tcW w:type="dxa" w:w="3456"/>
            <w:vAlign w:val="top"/>
          </w:tcPr>
          <w:p>
            <w:r/>
            <w:r>
              <w:rPr>
                <w:rFonts w:ascii="Noto Sans" w:hAnsi="Noto Sans"/>
                <w:b w:val="0"/>
                <w:sz w:val="15"/>
              </w:rPr>
              <w:t>DE</w:t>
            </w:r>
          </w:p>
        </w:tc>
        <w:tc>
          <w:tcPr>
            <w:tcW w:type="dxa" w:w="3456"/>
            <w:vAlign w:val="top"/>
          </w:tcPr>
          <w:p>
            <w:r/>
            <w:r>
              <w:rPr>
                <w:rFonts w:ascii="Noto Sans" w:hAnsi="Noto Sans"/>
                <w:b w:val="0"/>
                <w:sz w:val="15"/>
              </w:rPr>
              <w:t>Deutsch</w:t>
            </w:r>
          </w:p>
        </w:tc>
        <w:tc>
          <w:tcPr>
            <w:tcW w:type="dxa" w:w="3456"/>
            <w:vAlign w:val="top"/>
          </w:tcPr>
          <w:p>
            <w:r/>
            <w:r>
              <w:rPr>
                <w:rFonts w:ascii="Noto Sans" w:hAnsi="Noto Sans"/>
                <w:b w:val="0"/>
                <w:sz w:val="15"/>
              </w:rPr>
              <w:t>https://de.autobridgeexport.com/guides/mpv-procurement-southeast-asia.html</w:t>
            </w:r>
          </w:p>
        </w:tc>
      </w:tr>
      <w:tr>
        <w:tc>
          <w:tcPr>
            <w:tcW w:type="dxa" w:w="3456"/>
            <w:vAlign w:val="top"/>
          </w:tcPr>
          <w:p>
            <w:r/>
            <w:r>
              <w:rPr>
                <w:rFonts w:ascii="Noto Sans" w:hAnsi="Noto Sans"/>
                <w:b w:val="0"/>
                <w:sz w:val="15"/>
              </w:rPr>
              <w:t>ES</w:t>
            </w:r>
          </w:p>
        </w:tc>
        <w:tc>
          <w:tcPr>
            <w:tcW w:type="dxa" w:w="3456"/>
            <w:vAlign w:val="top"/>
          </w:tcPr>
          <w:p>
            <w:r/>
            <w:r>
              <w:rPr>
                <w:rFonts w:ascii="Noto Sans" w:hAnsi="Noto Sans"/>
                <w:b w:val="0"/>
                <w:sz w:val="15"/>
              </w:rPr>
              <w:t>Español</w:t>
            </w:r>
          </w:p>
        </w:tc>
        <w:tc>
          <w:tcPr>
            <w:tcW w:type="dxa" w:w="3456"/>
            <w:vAlign w:val="top"/>
          </w:tcPr>
          <w:p>
            <w:r/>
            <w:r>
              <w:rPr>
                <w:rFonts w:ascii="Noto Sans" w:hAnsi="Noto Sans"/>
                <w:b w:val="0"/>
                <w:sz w:val="15"/>
              </w:rPr>
              <w:t>https://es.autobridgeexport.com/guides/mpv-procurement-southeast-asia.html</w:t>
            </w:r>
          </w:p>
        </w:tc>
      </w:tr>
      <w:tr>
        <w:tc>
          <w:tcPr>
            <w:tcW w:type="dxa" w:w="3456"/>
            <w:vAlign w:val="top"/>
          </w:tcPr>
          <w:p>
            <w:r/>
            <w:r>
              <w:rPr>
                <w:rFonts w:ascii="Noto Sans" w:hAnsi="Noto Sans"/>
                <w:b w:val="0"/>
                <w:sz w:val="15"/>
              </w:rPr>
              <w:t>PT</w:t>
            </w:r>
          </w:p>
        </w:tc>
        <w:tc>
          <w:tcPr>
            <w:tcW w:type="dxa" w:w="3456"/>
            <w:vAlign w:val="top"/>
          </w:tcPr>
          <w:p>
            <w:r/>
            <w:r>
              <w:rPr>
                <w:rFonts w:ascii="Noto Sans" w:hAnsi="Noto Sans"/>
                <w:b w:val="0"/>
                <w:sz w:val="15"/>
              </w:rPr>
              <w:t>Português</w:t>
            </w:r>
          </w:p>
        </w:tc>
        <w:tc>
          <w:tcPr>
            <w:tcW w:type="dxa" w:w="3456"/>
            <w:vAlign w:val="top"/>
          </w:tcPr>
          <w:p>
            <w:r/>
            <w:r>
              <w:rPr>
                <w:rFonts w:ascii="Noto Sans" w:hAnsi="Noto Sans"/>
                <w:b w:val="0"/>
                <w:sz w:val="15"/>
              </w:rPr>
              <w:t>https://pt.autobridgeexport.com/guides/mpv-procurement-southeast-asia.html</w:t>
            </w:r>
          </w:p>
        </w:tc>
      </w:tr>
      <w:tr>
        <w:tc>
          <w:tcPr>
            <w:tcW w:type="dxa" w:w="3456"/>
            <w:vAlign w:val="top"/>
          </w:tcPr>
          <w:p>
            <w:r/>
            <w:r>
              <w:rPr>
                <w:rFonts w:ascii="Noto Sans" w:hAnsi="Noto Sans"/>
                <w:b w:val="0"/>
                <w:sz w:val="15"/>
              </w:rPr>
              <w:t>JA</w:t>
            </w:r>
          </w:p>
        </w:tc>
        <w:tc>
          <w:tcPr>
            <w:tcW w:type="dxa" w:w="3456"/>
            <w:vAlign w:val="top"/>
          </w:tcPr>
          <w:p>
            <w:r/>
            <w:r>
              <w:rPr>
                <w:rFonts w:ascii="Noto Sans" w:hAnsi="Noto Sans"/>
                <w:b w:val="0"/>
                <w:sz w:val="15"/>
              </w:rPr>
              <w:t>日本語</w:t>
            </w:r>
          </w:p>
        </w:tc>
        <w:tc>
          <w:tcPr>
            <w:tcW w:type="dxa" w:w="3456"/>
            <w:vAlign w:val="top"/>
          </w:tcPr>
          <w:p>
            <w:r/>
            <w:r>
              <w:rPr>
                <w:rFonts w:ascii="Noto Sans" w:hAnsi="Noto Sans"/>
                <w:b w:val="0"/>
                <w:sz w:val="15"/>
              </w:rPr>
              <w:t>https://ja.autobridgeexport.com/guides/mpv-procurement-southeast-asia.html</w:t>
            </w:r>
          </w:p>
        </w:tc>
      </w:tr>
      <w:tr>
        <w:tc>
          <w:tcPr>
            <w:tcW w:type="dxa" w:w="3456"/>
            <w:vAlign w:val="top"/>
          </w:tcPr>
          <w:p>
            <w:r/>
            <w:r>
              <w:rPr>
                <w:rFonts w:ascii="Noto Sans" w:hAnsi="Noto Sans"/>
                <w:b w:val="0"/>
                <w:sz w:val="15"/>
              </w:rPr>
              <w:t>KO</w:t>
            </w:r>
          </w:p>
        </w:tc>
        <w:tc>
          <w:tcPr>
            <w:tcW w:type="dxa" w:w="3456"/>
            <w:vAlign w:val="top"/>
          </w:tcPr>
          <w:p>
            <w:r/>
            <w:r>
              <w:rPr>
                <w:rFonts w:ascii="Noto Sans" w:hAnsi="Noto Sans"/>
                <w:b w:val="0"/>
                <w:sz w:val="15"/>
              </w:rPr>
              <w:t>한국어</w:t>
            </w:r>
          </w:p>
        </w:tc>
        <w:tc>
          <w:tcPr>
            <w:tcW w:type="dxa" w:w="3456"/>
            <w:vAlign w:val="top"/>
          </w:tcPr>
          <w:p>
            <w:r/>
            <w:r>
              <w:rPr>
                <w:rFonts w:ascii="Noto Sans" w:hAnsi="Noto Sans"/>
                <w:b w:val="0"/>
                <w:sz w:val="15"/>
              </w:rPr>
              <w:t>https://ko.autobridgeexport.com/guides/mpv-procurement-southeast-asia.html</w:t>
            </w:r>
          </w:p>
        </w:tc>
      </w:tr>
      <w:tr>
        <w:tc>
          <w:tcPr>
            <w:tcW w:type="dxa" w:w="3456"/>
            <w:vAlign w:val="top"/>
          </w:tcPr>
          <w:p>
            <w:r/>
            <w:r>
              <w:rPr>
                <w:rFonts w:ascii="Noto Sans" w:hAnsi="Noto Sans"/>
                <w:b w:val="0"/>
                <w:sz w:val="15"/>
              </w:rPr>
              <w:t>VI</w:t>
            </w:r>
          </w:p>
        </w:tc>
        <w:tc>
          <w:tcPr>
            <w:tcW w:type="dxa" w:w="3456"/>
            <w:vAlign w:val="top"/>
          </w:tcPr>
          <w:p>
            <w:r/>
            <w:r>
              <w:rPr>
                <w:rFonts w:ascii="Noto Sans" w:hAnsi="Noto Sans"/>
                <w:b w:val="0"/>
                <w:sz w:val="15"/>
              </w:rPr>
              <w:t>Tiếng Việt</w:t>
            </w:r>
          </w:p>
        </w:tc>
        <w:tc>
          <w:tcPr>
            <w:tcW w:type="dxa" w:w="3456"/>
            <w:vAlign w:val="top"/>
          </w:tcPr>
          <w:p>
            <w:r/>
            <w:r>
              <w:rPr>
                <w:rFonts w:ascii="Noto Sans" w:hAnsi="Noto Sans"/>
                <w:b w:val="0"/>
                <w:sz w:val="15"/>
              </w:rPr>
              <w:t>https://vi.autobridgeexport.com/guides/mpv-procurement-southeast-asia.html</w:t>
            </w:r>
          </w:p>
        </w:tc>
      </w:tr>
      <w:tr>
        <w:tc>
          <w:tcPr>
            <w:tcW w:type="dxa" w:w="3456"/>
            <w:vAlign w:val="top"/>
          </w:tcPr>
          <w:p>
            <w:r/>
            <w:r>
              <w:rPr>
                <w:rFonts w:ascii="Noto Sans" w:hAnsi="Noto Sans"/>
                <w:b w:val="0"/>
                <w:sz w:val="15"/>
              </w:rPr>
              <w:t>TH</w:t>
            </w:r>
          </w:p>
        </w:tc>
        <w:tc>
          <w:tcPr>
            <w:tcW w:type="dxa" w:w="3456"/>
            <w:vAlign w:val="top"/>
          </w:tcPr>
          <w:p>
            <w:r/>
            <w:r>
              <w:rPr>
                <w:rFonts w:ascii="Noto Sans" w:hAnsi="Noto Sans"/>
                <w:b w:val="0"/>
                <w:sz w:val="15"/>
              </w:rPr>
              <w:t>ภาษาไทย</w:t>
            </w:r>
          </w:p>
        </w:tc>
        <w:tc>
          <w:tcPr>
            <w:tcW w:type="dxa" w:w="3456"/>
            <w:vAlign w:val="top"/>
          </w:tcPr>
          <w:p>
            <w:r/>
            <w:r>
              <w:rPr>
                <w:rFonts w:ascii="Noto Sans" w:hAnsi="Noto Sans"/>
                <w:b w:val="0"/>
                <w:sz w:val="15"/>
              </w:rPr>
              <w:t>https://th.autobridgeexport.com/guides/mpv-procurement-southeast-asia.html</w:t>
            </w:r>
          </w:p>
        </w:tc>
      </w:tr>
      <w:tr>
        <w:tc>
          <w:tcPr>
            <w:tcW w:type="dxa" w:w="3456"/>
            <w:vAlign w:val="top"/>
          </w:tcPr>
          <w:p>
            <w:r/>
            <w:r>
              <w:rPr>
                <w:rFonts w:ascii="Noto Sans" w:hAnsi="Noto Sans"/>
                <w:b w:val="0"/>
                <w:sz w:val="15"/>
              </w:rPr>
              <w:t>ID</w:t>
            </w:r>
          </w:p>
        </w:tc>
        <w:tc>
          <w:tcPr>
            <w:tcW w:type="dxa" w:w="3456"/>
            <w:vAlign w:val="top"/>
          </w:tcPr>
          <w:p>
            <w:r/>
            <w:r>
              <w:rPr>
                <w:rFonts w:ascii="Noto Sans" w:hAnsi="Noto Sans"/>
                <w:b w:val="0"/>
                <w:sz w:val="15"/>
              </w:rPr>
              <w:t>Bahasa Indonesia</w:t>
            </w:r>
          </w:p>
        </w:tc>
        <w:tc>
          <w:tcPr>
            <w:tcW w:type="dxa" w:w="3456"/>
            <w:vAlign w:val="top"/>
          </w:tcPr>
          <w:p>
            <w:r/>
            <w:r>
              <w:rPr>
                <w:rFonts w:ascii="Noto Sans" w:hAnsi="Noto Sans"/>
                <w:b w:val="0"/>
                <w:sz w:val="15"/>
              </w:rPr>
              <w:t>https://id.autobridgeexport.com/guides/mpv-procurement-southeast-asia.html</w:t>
            </w:r>
          </w:p>
        </w:tc>
      </w:tr>
      <w:tr>
        <w:tc>
          <w:tcPr>
            <w:tcW w:type="dxa" w:w="3456"/>
            <w:vAlign w:val="top"/>
          </w:tcPr>
          <w:p>
            <w:r/>
            <w:r>
              <w:rPr>
                <w:rFonts w:ascii="Noto Sans" w:hAnsi="Noto Sans"/>
                <w:b w:val="0"/>
                <w:sz w:val="15"/>
              </w:rPr>
              <w:t>AR</w:t>
            </w:r>
          </w:p>
        </w:tc>
        <w:tc>
          <w:tcPr>
            <w:tcW w:type="dxa" w:w="3456"/>
            <w:vAlign w:val="top"/>
          </w:tcPr>
          <w:p>
            <w:r/>
            <w:r>
              <w:rPr>
                <w:rFonts w:ascii="Noto Sans" w:hAnsi="Noto Sans"/>
                <w:b w:val="0"/>
                <w:sz w:val="15"/>
              </w:rPr>
              <w:t>العربية</w:t>
            </w:r>
          </w:p>
        </w:tc>
        <w:tc>
          <w:tcPr>
            <w:tcW w:type="dxa" w:w="3456"/>
            <w:vAlign w:val="top"/>
          </w:tcPr>
          <w:p>
            <w:r/>
            <w:r>
              <w:rPr>
                <w:rFonts w:ascii="Noto Sans" w:hAnsi="Noto Sans"/>
                <w:b w:val="0"/>
                <w:sz w:val="15"/>
              </w:rPr>
              <w:t>https://ar.autobridgeexport.com/guides/mpv-procurement-southeast-asia.html</w:t>
            </w:r>
          </w:p>
        </w:tc>
      </w:tr>
      <w:tr>
        <w:tc>
          <w:tcPr>
            <w:tcW w:type="dxa" w:w="3456"/>
            <w:vAlign w:val="top"/>
          </w:tcPr>
          <w:p>
            <w:r/>
            <w:r>
              <w:rPr>
                <w:rFonts w:ascii="Noto Sans" w:hAnsi="Noto Sans"/>
                <w:b w:val="0"/>
                <w:sz w:val="15"/>
              </w:rPr>
              <w:t>ZH</w:t>
            </w:r>
          </w:p>
        </w:tc>
        <w:tc>
          <w:tcPr>
            <w:tcW w:type="dxa" w:w="3456"/>
            <w:vAlign w:val="top"/>
          </w:tcPr>
          <w:p>
            <w:r/>
            <w:r>
              <w:rPr>
                <w:rFonts w:ascii="Noto Sans" w:hAnsi="Noto Sans"/>
                <w:b w:val="0"/>
                <w:sz w:val="15"/>
              </w:rPr>
              <w:t>中文</w:t>
            </w:r>
          </w:p>
        </w:tc>
        <w:tc>
          <w:tcPr>
            <w:tcW w:type="dxa" w:w="3456"/>
            <w:vAlign w:val="top"/>
          </w:tcPr>
          <w:p>
            <w:r/>
            <w:r>
              <w:rPr>
                <w:rFonts w:ascii="Noto Sans" w:hAnsi="Noto Sans"/>
                <w:b w:val="0"/>
                <w:sz w:val="15"/>
              </w:rPr>
              <w:t>https://zh.autobridgeexport.com/guides/mpv-procurement-southeast-asia.html</w:t>
            </w:r>
          </w:p>
        </w:tc>
      </w:tr>
    </w:tbl>
    <w:p>
      <w:pPr>
        <w:pStyle w:val="Heading1"/>
        <w:pageBreakBefore/>
      </w:pPr>
      <w:r>
        <w:t>EN — English</w:t>
      </w:r>
    </w:p>
    <w:p>
      <w:r>
        <w:t>SEO Title: Chinese MPV Buying Guide for Southeast Asia</w:t>
      </w:r>
    </w:p>
    <w:p>
      <w:r>
        <w:t>Meta Description: Buying a Chinese MPV for Southeast Asia? Verify seating, full-load luggage, registration class, powertrain, tyres, service and downtime.</w:t>
      </w:r>
    </w:p>
    <w:p>
      <w:r>
        <w:t>H1: Buy a Chinese MPV for Southeast Asia by Mission</w:t>
      </w:r>
    </w:p>
    <w:p>
      <w:r>
        <w:t>For Chinese MPV procurement in Southeast Asia, the buying decision starts with one concrete transaction. The practical aim is to size the vehicle around real passengers, luggage and duty rather than the seat-count headline. Name the country first because steering side, registration, emissions/tax treatment, port routing and charging or fuel conditions can differ across southeast asia. Keep source evidence, destination confirmation and live commercial data in separate layers so a buyer can see which conclusions are proved and which still depend on the actual deal.</w:t>
      </w:r>
    </w:p>
    <w:p>
      <w:pPr>
        <w:pStyle w:val="Heading2"/>
      </w:pPr>
      <w:r>
        <w:t>Treat seats and legal use as separate questions</w:t>
      </w:r>
    </w:p>
    <w:p>
      <w:r>
        <w:t>A practical Chinese MPV procurement review starts from one outcome: size the vehicle around real passengers, luggage and duty rather than the seat-count headline. To test it, collect passenger count, luggage, trip pattern, body/wheelbase, seating layout, powertrain, drivetrain, source market, registration class, service route and downtime tolerance. If the seller cannot provide a decision-changing field, keep the uncertainty in the comparison rather than rewarding the offer as if the stronger interpretation were already proved.</w:t>
      </w:r>
    </w:p>
    <w:p>
      <w:pPr>
        <w:pStyle w:val="Heading2"/>
      </w:pPr>
      <w:r>
        <w:t>Mpv procurement: build the country-and-route decision file</w:t>
      </w:r>
    </w:p>
    <w:p>
      <w:r>
        <w:t>The last useful document is a short transaction memo. It should state the buyer's conclusion on Chinese MPV procurement, summarize body and seating, full-load use, powertrain/drivetrain, luggage, destination class, service/parts path and commercial scope, and name the Southeast Asia destination party responsible for local confirmation. Include the current status of steering/version fit, tropical use, charging or fuel interface, port/transshipment route, registration and local workshop support and the live fields that must be refreshed: keep country-specific rules, port schedules, route costs, charging/fuel access and service promises dated and local. The memo should also say what remains unverified. A buyer who can produce this record has moved beyond generic research: the decision is tied to a vehicle or shipment, a route, a destination and evidence. If the memo still relies on a regional assumption, return that item to verification.</w:t>
      </w:r>
    </w:p>
    <w:p>
      <w:pPr>
        <w:pStyle w:val="Heading2"/>
      </w:pPr>
      <w:r>
        <w:t>Compare body and mission before trim</w:t>
      </w:r>
    </w:p>
    <w:p>
      <w:r>
        <w:t>Move the Chinese MPV procurement analysis from the source side to the Southeast Asia destination. Check steering/version fit, tropical use, charging or fuel interface, port/transshipment route, registration and local workshop support. Then make the file follow the transaction: trace the source-market unit through the actual country, port or transshipment path to registration and service. If the seller cannot answer destination questions, assign them to a local party instead of guessing from another country in the region.</w:t>
      </w:r>
    </w:p>
    <w:p>
      <w:pPr>
        <w:pStyle w:val="Heading2"/>
      </w:pPr>
      <w:r>
        <w:t>Make the destination class explicit</w:t>
      </w:r>
    </w:p>
    <w:p>
      <w:r>
        <w:t>Run one cold-review scenario: an attractive seven-seat MPV works on paper but loses practical luggage or payload margin when the actual passenger mission is applied. Give the current file to someone who did not negotiate the deal and ask what evidence would prove or disprove the concern. If the reviewer needs a verbal explanation, strengthen the written record. This test is intentionally specific to Chinese MPV procurement; it catches the kind of gap that a universal procurement checklist can miss.</w:t>
      </w:r>
    </w:p>
    <w:p>
      <w:pPr>
        <w:pStyle w:val="Heading2"/>
      </w:pPr>
      <w:r>
        <w:t>Powertrain choice changes the service chain</w:t>
      </w:r>
    </w:p>
    <w:p>
      <w:r>
        <w:t>Compare evidence first and money second. For Chinese MPV procurement, align body and seating, full-load use, powertrain/drivetrain, luggage, destination class, service/parts path and commercial scope. Then explain every remaining difference in writing. A cheaper option may still be correct, but the buyer should know whether the gap comes from a real specification, service or logistics choice rather than an omitted cost or unproved claim.</w:t>
      </w:r>
    </w:p>
    <w:p>
      <w:pPr>
        <w:pStyle w:val="Heading2"/>
      </w:pPr>
      <w:r>
        <w:t>Test the MPV at full real-world load</w:t>
      </w:r>
    </w:p>
    <w:p>
      <w:r>
        <w:t>Use evidence with a named job. For Chinese MPV procurement, the useful base is official derivative dimensions/specification, VIN/build evidence, seating/restraint documentation where relevant and destination classification confirmation. Label what each item confirms and what it cannot confirm. This reduces the temptation to let a polished brochure, photo set or quote fill unrelated gaps in the procurement record.</w:t>
      </w:r>
    </w:p>
    <w:p>
      <w:pPr>
        <w:pStyle w:val="Heading2"/>
      </w:pPr>
      <w:r>
        <w:t>Start with people, luggage and duty cycle</w:t>
      </w:r>
    </w:p>
    <w:p>
      <w:r>
        <w:t>The first control for Chinese MPV procurement is scope. Identify what is being bought, where it originated and the actual Southeast Asia destination. Name the country first because steering side, registration, emissions/tax treatment, port routing and charging or fuel conditions can differ across southeast asia. This prevents an otherwise useful guide from becoming a false regional promise. Any item that can change by country, port, derivative or live quotation remains tied to its own evidence and date.</w:t>
      </w:r>
    </w:p>
    <w:p>
      <w:pPr>
        <w:pStyle w:val="Heading2"/>
      </w:pPr>
      <w:r>
        <w:t>Keep fleet downtime in the economics</w:t>
      </w:r>
    </w:p>
    <w:p>
      <w:r>
        <w:t>Time is part of evidence quality. In the Southeast Asia version, keep country-specific rules, port schedules, route costs, charging/fuel access and service promises dated and local. A source can be authoritative and still be stale for a live quote, route or local requirement. Record dates and reopen critical sources immediately before the transaction relies on them.</w:t>
      </w:r>
    </w:p>
    <w:p>
      <w:pPr>
        <w:pStyle w:val="Heading2"/>
      </w:pPr>
      <w:r>
        <w:t>Release the MPV only after the mission fits</w:t>
      </w:r>
    </w:p>
    <w:p>
      <w:r>
        <w:t>The last control for this Southeast Asia transaction is a cold handover. The file must show what is being bought, why the evidence applies, what the destination still requires and what the commercial terms cover. If the MPV cannot carry the intended people and luggage, fit the required class or be supported after a fault, return the file to investigation rather than marking it ready.</w:t>
      </w:r>
    </w:p>
    <w:p>
      <w:pPr>
        <w:pStyle w:val="Heading2"/>
      </w:pPr>
      <w:r>
        <w:t>Evidence required before country and route release</w:t>
      </w:r>
    </w:p>
    <w:p>
      <w:r>
        <w:t>Chinese MPV procurement / Southeast Asia: exact vehicle or shipment identity</w:t>
      </w:r>
    </w:p>
    <w:p>
      <w:r>
        <w:t>Chinese MPV procurement / Southeast Asia: passenger count and other decision-changing fields</w:t>
      </w:r>
    </w:p>
    <w:p>
      <w:r>
        <w:t>Chinese MPV procurement / Southeast Asia: dated evidence for the claimed scope</w:t>
      </w:r>
    </w:p>
    <w:p>
      <w:r>
        <w:t>Chinese MPV procurement / Southeast Asia: destination-country or route confirmation kept separate</w:t>
      </w:r>
    </w:p>
    <w:p>
      <w:r>
        <w:t>Chinese MPV procurement / Southeast Asia: commercial inclusions, exclusions and validity</w:t>
      </w:r>
    </w:p>
    <w:p>
      <w:r>
        <w:t>Chinese MPV procurement / Southeast Asia: written list of unresolved material items and responsible party</w:t>
      </w:r>
    </w:p>
    <w:p>
      <w:pPr>
        <w:pStyle w:val="Heading2"/>
      </w:pPr>
      <w:r>
        <w:t>Related reading</w:t>
      </w:r>
    </w:p>
    <w:p>
      <w:pPr>
        <w:pStyle w:val="ListBullet"/>
      </w:pPr>
      <w:r>
        <w:t>VIN and Vehicle Photo Verification for Southeast Asia: Pre-Payment Evidence Guide — https://www.autobridgeexport.com/guides/photo-vin-review-southeast-asia.html</w:t>
      </w:r>
    </w:p>
    <w:p>
      <w:pPr>
        <w:pStyle w:val="ListBullet"/>
      </w:pPr>
      <w:r>
        <w:t>RoRo vs Container Shipping to Southeast Asia: Vehicle Export Decision Guide — https://www.autobridgeexport.com/guides/roro-container-shipping-southeast-asia.html</w:t>
      </w:r>
    </w:p>
    <w:p>
      <w:r>
        <w:t>ALT: Chinese MPV procurement reference image for an international vehicle-import decision in Southeast Asia</w:t>
      </w:r>
    </w:p>
    <w:p>
      <w:pPr>
        <w:pStyle w:val="Heading1"/>
        <w:pageBreakBefore/>
      </w:pPr>
      <w:r>
        <w:t>FR — Français</w:t>
      </w:r>
    </w:p>
    <w:p>
      <w:pPr/>
      <w:r>
        <w:t>SEO Title: achat de monospaces chinois en Asie du Sud-Est : guide de vérification</w:t>
      </w:r>
    </w:p>
    <w:p>
      <w:pPr/>
      <w:r>
        <w:t>Meta Description: Pour achat de monospaces chinois en Asie du Sud-Est, vérifiez l’identité du véhicule ou du devis, les preuves, les exigences du pays de destination et les risques avant paiement.</w:t>
      </w:r>
    </w:p>
    <w:p>
      <w:pPr/>
      <w:r>
        <w:t>H1: achat de monospaces chinois en Asie du Sud-Est : vérifier la transaction avant paiement</w:t>
      </w:r>
    </w:p>
    <w:p>
      <w:pPr/>
      <w:r>
        <w:t>Ce guide traite de achat de monospaces/MPV chinois pour Asie du Sud-Est. Il ne transforme jamais une règle nationale en règle régionale : la transaction doit être vérifiée pour le pays, le port et le véhicule réellement concernés.</w:t>
      </w:r>
    </w:p>
    <w:p>
      <w:pPr/>
      <w:r>
        <w:t>Lors de l’examen de « achat de monospaces chinois en Asie du Sud-Est », rendez cette étape spécifique au dossier : pour Asie du Sud-Est, l’étiquette régionale sert à organiser les questions, jamais à remplacer la vérification du pays, du port et de l’itinéraire réels.</w:t>
      </w:r>
    </w:p>
    <w:p>
      <w:pPr>
        <w:pStyle w:val="Heading2"/>
      </w:pPr>
      <w:r>
        <w:t>Lire les preuves sans mélanger leur portée</w:t>
      </w:r>
    </w:p>
    <w:p>
      <w:pPr/>
      <w:r>
        <w:t>Lors de l’examen de « achat de monospaces chinois en Asie du Sud-Est », rendez cette étape spécifique au dossier : une source constructeur décrit un marché ou une version donnée; un organisme de sécurité couvre le véhicule testé; une autorité locale définit ses propres exigences. Ne combinez pas les meilleurs chiffres de plusieurs marchés pour fabriquer une configuration qui n’existe pas.</w:t>
      </w:r>
    </w:p>
    <w:p>
      <w:pPr>
        <w:pStyle w:val="Heading2"/>
      </w:pPr>
      <w:r>
        <w:t>Points à rattacher au véhicule ou à la transaction</w:t>
      </w:r>
    </w:p>
    <w:p>
      <w:pPr>
        <w:pStyle w:val="ListBullet"/>
      </w:pPr>
      <w:r>
        <w:t>VIN/variante exacte et référence de production</w:t>
      </w:r>
    </w:p>
    <w:p>
      <w:pPr>
        <w:pStyle w:val="ListBullet"/>
      </w:pPr>
      <w:r>
        <w:t>marché d’origine et source officielle des spécifications</w:t>
      </w:r>
    </w:p>
    <w:p>
      <w:pPr>
        <w:pStyle w:val="ListBullet"/>
      </w:pPr>
      <w:r>
        <w:t>groupe motopropulseur, transmission, batterie/recharge ou carburant si applicable</w:t>
      </w:r>
    </w:p>
    <w:p>
      <w:pPr>
        <w:pStyle w:val="ListBullet"/>
      </w:pPr>
      <w:r>
        <w:t>photos, étiquettes et documents identifiant la même unité</w:t>
      </w:r>
    </w:p>
    <w:p>
      <w:pPr>
        <w:pStyle w:val="Heading2"/>
      </w:pPr>
      <w:r>
        <w:t>Définir exactement ce qui est acheté</w:t>
      </w:r>
    </w:p>
    <w:p>
      <w:pPr/>
      <w:r>
        <w:t>Dans « achat de monospaces chinois en Asie du Sud-Est », appliquez ce contrôle à la transaction réelle : commencez par l’identité de la transaction. Notez le VIN ou la variante, le marché d’origine, la configuration technique, la destination et le périmètre commercial. Si l’un de ces éléments change après le devis, recommencez les contrôles concernés.</w:t>
      </w:r>
    </w:p>
    <w:p>
      <w:pPr>
        <w:pStyle w:val="Heading2"/>
      </w:pPr>
      <w:r>
        <w:t>Vérifier séparément le pays de destination</w:t>
      </w:r>
    </w:p>
    <w:p>
      <w:pPr/>
      <w:r>
        <w:t>Lors de l’examen de « achat de monospaces chinois en Asie du Sud-Est », rendez cette étape spécifique au dossier : l’admissibilité, l’immatriculation, l’usage, le réseau de service et la garantie doivent être confirmés pour la destination réelle. Une spécification correcte sur le marché source n’est pas, à elle seule, une autorisation d’importation ou d’utilisation ailleurs.</w:t>
      </w:r>
    </w:p>
    <w:p>
      <w:pPr>
        <w:pStyle w:val="Heading2"/>
      </w:pPr>
      <w:r>
        <w:t>Transformer les spécifications en décision d’achat</w:t>
      </w:r>
    </w:p>
    <w:p>
      <w:pPr/>
      <w:r>
        <w:t>Dans « achat de monospaces chinois en Asie du Sud-Est », appliquez ce contrôle à la transaction réelle : une donnée n’est utile que si elle change la décision : immatriculation, carburant ou recharge, charge/passagers, sécurité, pièces, diagnostic, logiciel, garantie, entretien ou coût d’immobilisation. Les inconnues importantes doivent rester écrites comme non vérifiées.</w:t>
      </w:r>
    </w:p>
    <w:p>
      <w:pPr>
        <w:pStyle w:val="Heading2"/>
      </w:pPr>
      <w:r>
        <w:t>Exiger un devis traçable</w:t>
      </w:r>
    </w:p>
    <w:p>
      <w:pPr/>
      <w:r>
        <w:t>Lors de l’examen de « achat de monospaces chinois en Asie du Sud-Est », rendez cette étape spécifique au dossier : le devis, les photos, les plaques et les documents doivent identifier la même unité. Indiquez le lieu Incoterm, les coûts inclus et exclus, la validité et les étapes de paiement. Deux prix ne sont comparables que lorsqu’ils couvrent le même véhicule et le même périmètre.</w:t>
      </w:r>
    </w:p>
    <w:p>
      <w:pPr>
        <w:pStyle w:val="Heading2"/>
      </w:pPr>
      <w:r>
        <w:t>Règle de libération avant paiement</w:t>
      </w:r>
    </w:p>
    <w:p>
      <w:pPr/>
      <w:r>
        <w:t>Dans « achat de monospaces chinois en Asie du Sud-Est », appliquez ce contrôle à la transaction réelle : ne libérez pas les fonds tant qu’un point susceptible d’empêcher l’immatriculation, l’utilisation sûre, la recharge/le ravitaillement, l’entretien ou la livraison reste sans preuve. Demandez le document manquant ou conservez clairement l’incertitude dans le dossier de transaction.</w:t>
      </w:r>
    </w:p>
    <w:p>
      <w:pPr>
        <w:pStyle w:val="Heading2"/>
      </w:pPr>
      <w:r>
        <w:t>Contrôles à conserver dans le dossier</w:t>
      </w:r>
    </w:p>
    <w:p>
      <w:pPr>
        <w:pStyle w:val="ListBullet"/>
      </w:pPr>
      <w:r>
        <w:t>VIN/variante ou identité de transaction</w:t>
      </w:r>
    </w:p>
    <w:p>
      <w:pPr>
        <w:pStyle w:val="ListBullet"/>
      </w:pPr>
      <w:r>
        <w:t>marché/route source et preuve datée</w:t>
      </w:r>
    </w:p>
    <w:p>
      <w:pPr>
        <w:pStyle w:val="ListBullet"/>
      </w:pPr>
      <w:r>
        <w:t>photos et documents cohérents</w:t>
      </w:r>
    </w:p>
    <w:p>
      <w:pPr>
        <w:pStyle w:val="ListBullet"/>
      </w:pPr>
      <w:r>
        <w:t>exigences du pays de destination</w:t>
      </w:r>
    </w:p>
    <w:p>
      <w:pPr>
        <w:pStyle w:val="ListBullet"/>
      </w:pPr>
      <w:r>
        <w:t>coûts inclus/exclus et validité</w:t>
      </w:r>
    </w:p>
    <w:p>
      <w:pPr>
        <w:pStyle w:val="ListBullet"/>
      </w:pPr>
      <w:r>
        <w:t>service/garantie si applicable</w:t>
      </w:r>
    </w:p>
    <w:p>
      <w:pPr>
        <w:pStyle w:val="Heading2"/>
      </w:pPr>
      <w:r>
        <w:t>À lire aussi</w:t>
      </w:r>
    </w:p>
    <w:p>
      <w:pPr>
        <w:pStyle w:val="ListBullet"/>
      </w:pPr>
      <w:r>
        <w:t>vérification VIN et photos du véhicule en Asie du Sud-Est : guide de vérification — https://fr.autobridgeexport.com/guides/photo-vin-review-southeast-asia.html</w:t>
      </w:r>
    </w:p>
    <w:p>
      <w:pPr>
        <w:pStyle w:val="ListBullet"/>
      </w:pPr>
      <w:r>
        <w:t>RoRo ou conteneur vers l’Asie du Sud-Est : comment décider — https://fr.autobridgeexport.com/guides/roro-container-shipping-southeast-asia.html</w:t>
      </w:r>
    </w:p>
    <w:p>
      <w:pPr/>
      <w:r>
        <w:t>ALT: Image de référence pour achat de monospaces chinois en Asie du Sud-Est destinée aux acheteurs automobiles internationaux</w:t>
      </w:r>
    </w:p>
    <w:p>
      <w:pPr>
        <w:pStyle w:val="Heading1"/>
        <w:pageBreakBefore/>
      </w:pPr>
      <w:r>
        <w:t>DE — Deutsch</w:t>
      </w:r>
    </w:p>
    <w:p>
      <w:pPr/>
      <w:r>
        <w:t>SEO Title: Beschaffung chinesischer MPVs in Südostasien: Prüfguide für Käufer</w:t>
      </w:r>
    </w:p>
    <w:p>
      <w:pPr/>
      <w:r>
        <w:t>Meta Description: Bei Beschaffung chinesischer MPVs in Südostasien Fahrzeug/Angebot, Nachweise, Zielanforderungen und Zahlungsrisiken getrennt prüfen.</w:t>
      </w:r>
    </w:p>
    <w:p>
      <w:pPr/>
      <w:r>
        <w:t>H1: Beschaffung chinesischer MPVs in Südostasien: Transaktion vor Zahlung prüfen</w:t>
      </w:r>
    </w:p>
    <w:p>
      <w:pPr/>
      <w:r>
        <w:t>Dieser Leitfaden behandelt Beschaffung chinesischer MPVs für Südostasien. Nationale Regeln werden nicht zu Regionalregeln verallgemeinert; geprüft werden müssen das konkrete Zielland, der Hafen, die Route und das tatsächliche Fahrzeug.</w:t>
      </w:r>
    </w:p>
    <w:p>
      <w:pPr/>
      <w:r>
        <w:t>Bei „Beschaffung chinesischer MPVs in Südostasien“ muss diese Kontrolle an Fahrzeug, Route oder Zielmarkt gebunden bleiben: für Südostasien strukturiert die Regionalbezeichnung nur die Fragen; sie ersetzt niemals die Prüfung des konkreten Landes, Hafens und Transportwegs.</w:t>
      </w:r>
    </w:p>
    <w:p>
      <w:pPr>
        <w:pStyle w:val="Heading2"/>
      </w:pPr>
      <w:r>
        <w:t>Nachweise nach ihrem tatsächlichen Geltungsbereich lesen</w:t>
      </w:r>
    </w:p>
    <w:p>
      <w:pPr/>
      <w:r>
        <w:t>Bei „Beschaffung chinesischer MPVs in Südostasien“ muss diese Kontrolle an Fahrzeug, Route oder Zielmarkt gebunden bleiben: herstellerunterlagen belegen einen benannten Markt oder eine Variante, Sicherheitsorganisationen nur den geprüften Umfang und Behörden ihre eigene Zuständigkeit. Attraktive Zahlen aus mehreren Märkten dürfen nicht zu einer künstlichen Global-Spezifikation kombiniert werden.</w:t>
      </w:r>
    </w:p>
    <w:p>
      <w:pPr>
        <w:pStyle w:val="Heading2"/>
      </w:pPr>
      <w:r>
        <w:t>Nachweise, die dem Fahrzeug oder Geschäft zugeordnet werden müssen</w:t>
      </w:r>
    </w:p>
    <w:p>
      <w:pPr>
        <w:pStyle w:val="ListBullet"/>
      </w:pPr>
      <w:r>
        <w:t>exakte VIN/Variante und Produktionsreferenz</w:t>
      </w:r>
    </w:p>
    <w:p>
      <w:pPr>
        <w:pStyle w:val="ListBullet"/>
      </w:pPr>
      <w:r>
        <w:t>ursprünglicher Verkaufsmarkt und offizielle Spezifikationsquelle</w:t>
      </w:r>
    </w:p>
    <w:p>
      <w:pPr>
        <w:pStyle w:val="ListBullet"/>
      </w:pPr>
      <w:r>
        <w:t>Antrieb, Getriebe, Batterie/Laden oder Kraftstoff, soweit relevant</w:t>
      </w:r>
    </w:p>
    <w:p>
      <w:pPr>
        <w:pStyle w:val="ListBullet"/>
      </w:pPr>
      <w:r>
        <w:t>Fotos, Typenschilder und Dokumente für dasselbe Fahrzeug</w:t>
      </w:r>
    </w:p>
    <w:p>
      <w:pPr>
        <w:pStyle w:val="Heading2"/>
      </w:pPr>
      <w:r>
        <w:t>Den Kaufgegenstand exakt festlegen</w:t>
      </w:r>
    </w:p>
    <w:p>
      <w:pPr/>
      <w:r>
        <w:t>Nutzen Sie „Beschaffung chinesischer MPVs in Südostasien“ als klare Grenze für diese Entscheidung: beginnen Sie mit der Transaktionsidentität: VIN oder Variante, Ursprungsmarkt, technische Konfiguration, Zielland und kommerzieller Umfang. Ändert sich nach dem Angebot einer dieser Punkte, sind die betroffenen Prüfungen zu wiederholen.</w:t>
      </w:r>
    </w:p>
    <w:p>
      <w:pPr>
        <w:pStyle w:val="Heading2"/>
      </w:pPr>
      <w:r>
        <w:t>Zielland separat prüfen</w:t>
      </w:r>
    </w:p>
    <w:p>
      <w:pPr/>
      <w:r>
        <w:t>Bei „Beschaffung chinesischer MPVs in Südostasien“ muss diese Kontrolle an Fahrzeug, Route oder Zielmarkt gebunden bleiben: zulässigkeit, Registrierung, Nutzung, Serviceweg und Garantie müssen für das tatsächliche Zielland geprüft werden. Eine korrekte Quellmarkt-Spezifikation ist keine automatische Import- oder Zulassungsgenehmigung in einem anderen Land.</w:t>
      </w:r>
    </w:p>
    <w:p>
      <w:pPr>
        <w:pStyle w:val="Heading2"/>
      </w:pPr>
      <w:r>
        <w:t>Technische Daten in Kaufentscheidungen übersetzen</w:t>
      </w:r>
    </w:p>
    <w:p>
      <w:pPr/>
      <w:r>
        <w:t>Nutzen Sie „Beschaffung chinesischer MPVs in Südostasien“ als klare Grenze für diese Entscheidung: eine Angabe ist nur dann wertvoll, wenn sie Zulassung, Kraftstoff/Laden, Nutzlast/Passagiere, Sicherheit, Teile, Diagnose, Software, Garantie, Wartung oder Ausfallkosten beeinflusst. Wesentliche offene Punkte bleiben ausdrücklich unbestätigt.</w:t>
      </w:r>
    </w:p>
    <w:p>
      <w:pPr>
        <w:pStyle w:val="Heading2"/>
      </w:pPr>
      <w:r>
        <w:t>Ein prüfbares Angebot verlangen</w:t>
      </w:r>
    </w:p>
    <w:p>
      <w:pPr/>
      <w:r>
        <w:t>Bei „Beschaffung chinesischer MPVs in Südostasien“ muss diese Kontrolle an Fahrzeug, Route oder Zielmarkt gebunden bleiben: angebot, Fotos, Typenschilder und Dokumente müssen dieselbe Einheit beschreiben. Incoterm-Ort, ein- und ausgeschlossene Kosten, Gültigkeit und Zahlungsstufen gehören schriftlich in die Akte. Preise sind erst bei gleichem Fahrzeug und gleichem Umfang vergleichbar.</w:t>
      </w:r>
    </w:p>
    <w:p>
      <w:pPr>
        <w:pStyle w:val="Heading2"/>
      </w:pPr>
      <w:r>
        <w:t>Freigaberegel vor der Zahlung</w:t>
      </w:r>
    </w:p>
    <w:p>
      <w:pPr/>
      <w:r>
        <w:t>Nutzen Sie „Beschaffung chinesischer MPVs in Südostasien“ als klare Grenze für diese Entscheidung: zahlen Sie nicht, solange ein ungeklärter Punkt Registrierung, sicheren Betrieb, Laden/Tanken, Wartung oder Lieferung verhindern könnte. Fordern Sie den fehlenden Nachweis an oder halten Sie die Unsicherheit im Transaktionsdossier sichtbar fest.</w:t>
      </w:r>
    </w:p>
    <w:p>
      <w:pPr>
        <w:pStyle w:val="Heading2"/>
      </w:pPr>
      <w:r>
        <w:t>Kontrollen für die Transaktionsakte</w:t>
      </w:r>
    </w:p>
    <w:p>
      <w:pPr>
        <w:pStyle w:val="ListBullet"/>
      </w:pPr>
      <w:r>
        <w:t>VIN/Variante oder Transaktionsidentität</w:t>
      </w:r>
    </w:p>
    <w:p>
      <w:pPr>
        <w:pStyle w:val="ListBullet"/>
      </w:pPr>
      <w:r>
        <w:t>Quellmarkt/Route und datierter Nachweis</w:t>
      </w:r>
    </w:p>
    <w:p>
      <w:pPr>
        <w:pStyle w:val="ListBullet"/>
      </w:pPr>
      <w:r>
        <w:t>übereinstimmende Fotos und Dokumente</w:t>
      </w:r>
    </w:p>
    <w:p>
      <w:pPr>
        <w:pStyle w:val="ListBullet"/>
      </w:pPr>
      <w:r>
        <w:t>Anforderungen des Ziellandes</w:t>
      </w:r>
    </w:p>
    <w:p>
      <w:pPr>
        <w:pStyle w:val="ListBullet"/>
      </w:pPr>
      <w:r>
        <w:t>ein-/ausgeschlossene Kosten und Gültigkeit</w:t>
      </w:r>
    </w:p>
    <w:p>
      <w:pPr>
        <w:pStyle w:val="ListBullet"/>
      </w:pPr>
      <w:r>
        <w:t>Service/Garantie, soweit relevant</w:t>
      </w:r>
    </w:p>
    <w:p>
      <w:pPr>
        <w:pStyle w:val="Heading2"/>
      </w:pPr>
      <w:r>
        <w:t>Weiterführende Artikel</w:t>
      </w:r>
    </w:p>
    <w:p>
      <w:pPr>
        <w:pStyle w:val="ListBullet"/>
      </w:pPr>
      <w:r>
        <w:t>VIN- und Fotoprüfung in Südostasien: Prüfguide für Käufer — https://de.autobridgeexport.com/guides/photo-vin-review-southeast-asia.html</w:t>
      </w:r>
    </w:p>
    <w:p>
      <w:pPr>
        <w:pStyle w:val="ListBullet"/>
      </w:pPr>
      <w:r>
        <w:t>RoRo oder Container nach Südostasien: Entscheidung für Fahrzeugkäufer — https://de.autobridgeexport.com/guides/roro-container-shipping-southeast-asia.html</w:t>
      </w:r>
    </w:p>
    <w:p>
      <w:pPr/>
      <w:r>
        <w:t>ALT: Referenzbild zu Beschaffung chinesischer MPVs in Südostasien für internationale Fahrzeugkäufer</w:t>
      </w:r>
    </w:p>
    <w:p>
      <w:pPr>
        <w:pStyle w:val="Heading1"/>
        <w:pageBreakBefore/>
      </w:pPr>
      <w:r>
        <w:t>ES — Español</w:t>
      </w:r>
    </w:p>
    <w:p>
      <w:pPr/>
      <w:r>
        <w:t>SEO Title: compra de monovolúmenes chinos en Sudeste Asiático: guía de verificación</w:t>
      </w:r>
    </w:p>
    <w:p>
      <w:pPr/>
      <w:r>
        <w:t>Meta Description: Para compra de monovolúmenes chinos en Sudeste Asiático, verifique vehículo/cotización, evidencias, requisitos del destino y riesgos antes del pago.</w:t>
      </w:r>
    </w:p>
    <w:p>
      <w:pPr/>
      <w:r>
        <w:t>H1: compra de monovolúmenes chinos en Sudeste Asiático: cómo verificar la operación antes de pagar</w:t>
      </w:r>
    </w:p>
    <w:p>
      <w:pPr/>
      <w:r>
        <w:t>Esta guía trata compra de MPV chinos para Sudeste Asiático. No convierte una regla nacional en regla regional; la operación debe verificarse para el país, puerto, ruta y vehículo concretos.</w:t>
      </w:r>
    </w:p>
    <w:p>
      <w:pPr/>
      <w:r>
        <w:t>En «compra de monovolúmenes chinos en Sudeste Asiático», aplique este control a la transacción concreta: para Sudeste Asiático, la etiqueta regional solo organiza las preguntas; nunca sustituye la verificación del país, puerto y ruta reales.</w:t>
      </w:r>
    </w:p>
    <w:p>
      <w:pPr>
        <w:pStyle w:val="Heading2"/>
      </w:pPr>
      <w:r>
        <w:t>Leer cada evidencia dentro de su alcance</w:t>
      </w:r>
    </w:p>
    <w:p>
      <w:pPr/>
      <w:r>
        <w:t>En «compra de monovolúmenes chinos en Sudeste Asiático», aplique este control a la transacción concreta: el fabricante demuestra una versión o mercado concreto; una entidad de seguridad cubre el vehículo ensayado; una autoridad local define su jurisdicción. No mezcle las cifras más atractivas de varios mercados para crear una especificación global inexistente.</w:t>
      </w:r>
    </w:p>
    <w:p>
      <w:pPr>
        <w:pStyle w:val="Heading2"/>
      </w:pPr>
      <w:r>
        <w:t>Evidencia que debe vincularse al vehículo o a la operación</w:t>
      </w:r>
    </w:p>
    <w:p>
      <w:pPr>
        <w:pStyle w:val="ListBullet"/>
      </w:pPr>
      <w:r>
        <w:t>VIN/variante exactos y referencia de producción</w:t>
      </w:r>
    </w:p>
    <w:p>
      <w:pPr>
        <w:pStyle w:val="ListBullet"/>
      </w:pPr>
      <w:r>
        <w:t>mercado de venta original y fuente oficial de especificaciones</w:t>
      </w:r>
    </w:p>
    <w:p>
      <w:pPr>
        <w:pStyle w:val="ListBullet"/>
      </w:pPr>
      <w:r>
        <w:t>propulsión, transmisión, batería/carga o combustible cuando corresponda</w:t>
      </w:r>
    </w:p>
    <w:p>
      <w:pPr>
        <w:pStyle w:val="ListBullet"/>
      </w:pPr>
      <w:r>
        <w:t>fotos, etiquetas y documentos de la misma unidad</w:t>
      </w:r>
    </w:p>
    <w:p>
      <w:pPr>
        <w:pStyle w:val="Heading2"/>
      </w:pPr>
      <w:r>
        <w:t>Definir exactamente qué se está comprando</w:t>
      </w:r>
    </w:p>
    <w:p>
      <w:pPr/>
      <w:r>
        <w:t>Al revisar «compra de monovolúmenes chinos en Sudeste Asiático», convierta este paso en una verificación específica del expediente: empiece por la identidad de la operación: VIN o variante, mercado de origen, configuración técnica, destino y alcance comercial. Si alguno cambia después de la cotización, repita las verificaciones afectadas.</w:t>
      </w:r>
    </w:p>
    <w:p>
      <w:pPr>
        <w:pStyle w:val="Heading2"/>
      </w:pPr>
      <w:r>
        <w:t>Comprobar el país de destino por separado</w:t>
      </w:r>
    </w:p>
    <w:p>
      <w:pPr/>
      <w:r>
        <w:t>En «compra de monovolúmenes chinos en Sudeste Asiático», aplique este control a la transacción concreta: elegibilidad, registro, uso, servicio y garantía deben confirmarse para el destino real. Una especificación correcta del mercado de origen no es por sí sola una autorización de importación o registro en otro país.</w:t>
      </w:r>
    </w:p>
    <w:p>
      <w:pPr>
        <w:pStyle w:val="Heading2"/>
      </w:pPr>
      <w:r>
        <w:t>Convertir la ficha técnica en una decisión de compra</w:t>
      </w:r>
    </w:p>
    <w:p>
      <w:pPr/>
      <w:r>
        <w:t>Al revisar «compra de monovolúmenes chinos en Sudeste Asiático», convierta este paso en una verificación específica del expediente: un dato solo es útil si cambia registro, combustible/carga, carga útil/pasajeros, seguridad, repuestos, diagnóstico, software, garantía, mantenimiento o coste de inmovilización. Los puntos críticos sin prueba deben quedar expresamente sin verificar.</w:t>
      </w:r>
    </w:p>
    <w:p>
      <w:pPr>
        <w:pStyle w:val="Heading2"/>
      </w:pPr>
      <w:r>
        <w:t>Exigir una cotización trazable</w:t>
      </w:r>
    </w:p>
    <w:p>
      <w:pPr/>
      <w:r>
        <w:t>En «compra de monovolúmenes chinos en Sudeste Asiático», aplique este control a la transacción concreta: cotización, fotos, placas y documentos deben identificar la misma unidad. Escriba el lugar Incoterm, costos incluidos/excluidos, vigencia y hitos de pago. Dos precios solo son comparables cuando cubren el mismo vehículo y alcance.</w:t>
      </w:r>
    </w:p>
    <w:p>
      <w:pPr>
        <w:pStyle w:val="Heading2"/>
      </w:pPr>
      <w:r>
        <w:t>Regla de liberación antes del pago</w:t>
      </w:r>
    </w:p>
    <w:p>
      <w:pPr/>
      <w:r>
        <w:t>Al revisar «compra de monovolúmenes chinos en Sudeste Asiático», convierta este paso en una verificación específica del expediente: no libere fondos mientras falte una prueba que pueda impedir registro, uso seguro, carga/repostaje, mantenimiento o entrega. Solicite el documento o mantenga la incertidumbre visible en el expediente de la operación.</w:t>
      </w:r>
    </w:p>
    <w:p>
      <w:pPr>
        <w:pStyle w:val="Heading2"/>
      </w:pPr>
      <w:r>
        <w:t>Controles que deben quedar en el expediente</w:t>
      </w:r>
    </w:p>
    <w:p>
      <w:pPr>
        <w:pStyle w:val="ListBullet"/>
      </w:pPr>
      <w:r>
        <w:t>VIN/variante o identidad de la operación</w:t>
      </w:r>
    </w:p>
    <w:p>
      <w:pPr>
        <w:pStyle w:val="ListBullet"/>
      </w:pPr>
      <w:r>
        <w:t>mercado/ruta de origen y evidencia fechada</w:t>
      </w:r>
    </w:p>
    <w:p>
      <w:pPr>
        <w:pStyle w:val="ListBullet"/>
      </w:pPr>
      <w:r>
        <w:t>fotos y documentos coherentes</w:t>
      </w:r>
    </w:p>
    <w:p>
      <w:pPr>
        <w:pStyle w:val="ListBullet"/>
      </w:pPr>
      <w:r>
        <w:t>requisitos del país de destino</w:t>
      </w:r>
    </w:p>
    <w:p>
      <w:pPr>
        <w:pStyle w:val="ListBullet"/>
      </w:pPr>
      <w:r>
        <w:t>costos incluidos/excluidos y vigencia</w:t>
      </w:r>
    </w:p>
    <w:p>
      <w:pPr>
        <w:pStyle w:val="ListBullet"/>
      </w:pPr>
      <w:r>
        <w:t>servicio/garantía cuando corresponda</w:t>
      </w:r>
    </w:p>
    <w:p>
      <w:pPr>
        <w:pStyle w:val="Heading2"/>
      </w:pPr>
      <w:r>
        <w:t>Lecturas relacionadas</w:t>
      </w:r>
    </w:p>
    <w:p>
      <w:pPr>
        <w:pStyle w:val="ListBullet"/>
      </w:pPr>
      <w:r>
        <w:t>verificación de VIN y fotos en Sudeste Asiático: guía de verificación — https://es.autobridgeexport.com/guides/photo-vin-review-southeast-asia.html</w:t>
      </w:r>
    </w:p>
    <w:p>
      <w:pPr>
        <w:pStyle w:val="ListBullet"/>
      </w:pPr>
      <w:r>
        <w:t>RoRo o contenedor hacia el Sudeste Asiático: cómo elegir — https://es.autobridgeexport.com/guides/roro-container-shipping-southeast-asia.html</w:t>
      </w:r>
    </w:p>
    <w:p>
      <w:pPr/>
      <w:r>
        <w:t>ALT: Imagen de referencia de compra de monovolúmenes chinos en Sudeste Asiático para compradores internacionales de vehículos</w:t>
      </w:r>
    </w:p>
    <w:p>
      <w:pPr>
        <w:pStyle w:val="Heading1"/>
        <w:pageBreakBefore/>
      </w:pPr>
      <w:r>
        <w:t>PT — Português</w:t>
      </w:r>
    </w:p>
    <w:p>
      <w:pPr/>
      <w:r>
        <w:t>SEO Title: compra de MPVs chineses em Sudeste Asiático: guia de verificação</w:t>
      </w:r>
    </w:p>
    <w:p>
      <w:pPr/>
      <w:r>
        <w:t>Meta Description: Para compra de MPVs chineses em Sudeste Asiático, verifique veículo/cotação, evidências, requisitos do destino e riscos antes do pagamento.</w:t>
      </w:r>
    </w:p>
    <w:p>
      <w:pPr/>
      <w:r>
        <w:t>H1: compra de MPVs chineses em Sudeste Asiático: verificar a operação antes de pagar</w:t>
      </w:r>
    </w:p>
    <w:p>
      <w:pPr/>
      <w:r>
        <w:t>Este guia trata de compra de MPVs chineses para Sudeste Asiático. Uma regra nacional não é transformada em regra regional; a transação deve ser verificada para o país, porto, rota e veículo concretos.</w:t>
      </w:r>
    </w:p>
    <w:p>
      <w:pPr/>
      <w:r>
        <w:t>Use “compra de MPVs chineses em Sudeste Asiático” como limite desta decisão: para Sudeste Asiático, o rótulo regional apenas organiza as perguntas; nunca substitui a verificação do país, porto e rota reais.</w:t>
      </w:r>
    </w:p>
    <w:p>
      <w:pPr>
        <w:pStyle w:val="Heading2"/>
      </w:pPr>
      <w:r>
        <w:t>Ler cada evidência dentro do seu alcance</w:t>
      </w:r>
    </w:p>
    <w:p>
      <w:pPr/>
      <w:r>
        <w:t>Use “compra de MPVs chineses em Sudeste Asiático” como limite desta decisão: o fabricante comprova um mercado ou versão específica; uma entidade de segurança cobre o veículo testado; uma autoridade local define sua própria jurisdição. Não junte os melhores números de vários mercados para criar uma configuração global inexistente.</w:t>
      </w:r>
    </w:p>
    <w:p>
      <w:pPr>
        <w:pStyle w:val="Heading2"/>
      </w:pPr>
      <w:r>
        <w:t>Evidências que devem ser ligadas ao veículo ou à transação</w:t>
      </w:r>
    </w:p>
    <w:p>
      <w:pPr>
        <w:pStyle w:val="ListBullet"/>
      </w:pPr>
      <w:r>
        <w:t>VIN/variante exatos e referência de produção</w:t>
      </w:r>
    </w:p>
    <w:p>
      <w:pPr>
        <w:pStyle w:val="ListBullet"/>
      </w:pPr>
      <w:r>
        <w:t>mercado original de venda e fonte oficial das especificações</w:t>
      </w:r>
    </w:p>
    <w:p>
      <w:pPr>
        <w:pStyle w:val="ListBullet"/>
      </w:pPr>
      <w:r>
        <w:t>trem de força, transmissão, bateria/recarga ou combustível quando aplicável</w:t>
      </w:r>
    </w:p>
    <w:p>
      <w:pPr>
        <w:pStyle w:val="ListBullet"/>
      </w:pPr>
      <w:r>
        <w:t>fotos, etiquetas e documentos da mesma unidade</w:t>
      </w:r>
    </w:p>
    <w:p>
      <w:pPr>
        <w:pStyle w:val="Heading2"/>
      </w:pPr>
      <w:r>
        <w:t>Definir exatamente o que está sendo comprado</w:t>
      </w:r>
    </w:p>
    <w:p>
      <w:pPr/>
      <w:r>
        <w:t>Para “compra de MPVs chineses em Sudeste Asiático”, vincule esta verificação ao veículo, à rota ou ao destino reais: comece pela identidade da transação: VIN ou variante, mercado de origem, configuração técnica, destino e escopo comercial. Se algum item mudar após a cotação, repita as verificações afetadas.</w:t>
      </w:r>
    </w:p>
    <w:p>
      <w:pPr>
        <w:pStyle w:val="Heading2"/>
      </w:pPr>
      <w:r>
        <w:t>Verificar separadamente o país de destino</w:t>
      </w:r>
    </w:p>
    <w:p>
      <w:pPr/>
      <w:r>
        <w:t>Use “compra de MPVs chineses em Sudeste Asiático” como limite desta decisão: elegibilidade, registro, uso, serviço e garantia precisam ser confirmados para o destino real. Uma especificação correta do mercado de origem não constitui, por si só, autorização de importação ou registro em outro país.</w:t>
      </w:r>
    </w:p>
    <w:p>
      <w:pPr>
        <w:pStyle w:val="Heading2"/>
      </w:pPr>
      <w:r>
        <w:t>Transformar especificações em decisão de compra</w:t>
      </w:r>
    </w:p>
    <w:p>
      <w:pPr/>
      <w:r>
        <w:t>Para “compra de MPVs chineses em Sudeste Asiático”, vincule esta verificação ao veículo, à rota ou ao destino reais: um dado só é útil quando muda registro, combustível/recarga, carga/passageiros, segurança, peças, diagnóstico, software, garantia, manutenção ou custo de parada. Pontos críticos sem prova devem permanecer explicitamente não verificados.</w:t>
      </w:r>
    </w:p>
    <w:p>
      <w:pPr>
        <w:pStyle w:val="Heading2"/>
      </w:pPr>
      <w:r>
        <w:t>Exigir uma cotação rastreável</w:t>
      </w:r>
    </w:p>
    <w:p>
      <w:pPr/>
      <w:r>
        <w:t>Use “compra de MPVs chineses em Sudeste Asiático” como limite desta decisão: cotação, fotos, etiquetas e documentos devem identificar a mesma unidade. Registre local Incoterm, custos incluídos/excluídos, validade e etapas de pagamento. Dois preços só são comparáveis quando descrevem o mesmo veículo e o mesmo escopo.</w:t>
      </w:r>
    </w:p>
    <w:p>
      <w:pPr>
        <w:pStyle w:val="Heading2"/>
      </w:pPr>
      <w:r>
        <w:t>Regra de liberação antes do pagamento</w:t>
      </w:r>
    </w:p>
    <w:p>
      <w:pPr/>
      <w:r>
        <w:t>Para “compra de MPVs chineses em Sudeste Asiático”, vincule esta verificação ao veículo, à rota ou ao destino reais: não libere fundos enquanto faltar prova de um ponto capaz de impedir registro, uso seguro, recarga/abastecimento, manutenção ou entrega. Solicite o documento ou mantenha a incerteza visível no dossiê da transação.</w:t>
      </w:r>
    </w:p>
    <w:p>
      <w:pPr>
        <w:pStyle w:val="Heading2"/>
      </w:pPr>
      <w:r>
        <w:t>Controles que devem permanecer no dossiê</w:t>
      </w:r>
    </w:p>
    <w:p>
      <w:pPr>
        <w:pStyle w:val="ListBullet"/>
      </w:pPr>
      <w:r>
        <w:t>VIN/variante ou identidade da transação</w:t>
      </w:r>
    </w:p>
    <w:p>
      <w:pPr>
        <w:pStyle w:val="ListBullet"/>
      </w:pPr>
      <w:r>
        <w:t>mercado/rota de origem e evidência datada</w:t>
      </w:r>
    </w:p>
    <w:p>
      <w:pPr>
        <w:pStyle w:val="ListBullet"/>
      </w:pPr>
      <w:r>
        <w:t>fotos e documentos coerentes</w:t>
      </w:r>
    </w:p>
    <w:p>
      <w:pPr>
        <w:pStyle w:val="ListBullet"/>
      </w:pPr>
      <w:r>
        <w:t>requisitos do país de destino</w:t>
      </w:r>
    </w:p>
    <w:p>
      <w:pPr>
        <w:pStyle w:val="ListBullet"/>
      </w:pPr>
      <w:r>
        <w:t>custos incluídos/excluídos e validade</w:t>
      </w:r>
    </w:p>
    <w:p>
      <w:pPr>
        <w:pStyle w:val="ListBullet"/>
      </w:pPr>
      <w:r>
        <w:t>serviço/garantia quando aplicável</w:t>
      </w:r>
    </w:p>
    <w:p>
      <w:pPr>
        <w:pStyle w:val="Heading2"/>
      </w:pPr>
      <w:r>
        <w:t>Leituras relacionadas</w:t>
      </w:r>
    </w:p>
    <w:p>
      <w:pPr>
        <w:pStyle w:val="ListBullet"/>
      </w:pPr>
      <w:r>
        <w:t>verificação de VIN e fotos em Sudeste Asiático: guia de verificação — https://pt.autobridgeexport.com/guides/photo-vin-review-southeast-asia.html</w:t>
      </w:r>
    </w:p>
    <w:p>
      <w:pPr>
        <w:pStyle w:val="ListBullet"/>
      </w:pPr>
      <w:r>
        <w:t>RoRo ou contêiner para o Sudeste Asiático: como escolher — https://pt.autobridgeexport.com/guides/roro-container-shipping-southeast-asia.html</w:t>
      </w:r>
    </w:p>
    <w:p>
      <w:pPr/>
      <w:r>
        <w:t>ALT: Imagem de referência de compra de MPVs chineses em Sudeste Asiático para compradores internacionais de veículos</w:t>
      </w:r>
    </w:p>
    <w:p>
      <w:pPr>
        <w:pStyle w:val="Heading1"/>
        <w:pageBreakBefore/>
      </w:pPr>
      <w:r>
        <w:t>JA — 日本語</w:t>
      </w:r>
    </w:p>
    <w:p>
      <w:pPr/>
      <w:r>
        <w:t>SEO Title: 東南アジア向け中国MPVの調達：購入前確認ガイド</w:t>
      </w:r>
    </w:p>
    <w:p>
      <w:pPr/>
      <w:r>
        <w:t>Meta Description: 東南アジアでの中国MPVの調達では、車両/見積、根拠資料、仕向け国要件、支払い前リスクを分けて確認します。</w:t>
      </w:r>
    </w:p>
    <w:p>
      <w:pPr/>
      <w:r>
        <w:t>H1: 東南アジア向け中国MPVの調達：支払い前に取引を確認する方法</w:t>
      </w:r>
    </w:p>
    <w:p>
      <w:pPr/>
      <w:r>
        <w:t>このガイドは東南アジア向けの中国MPV調達を扱います。ある国の規則を地域全体の規則として扱わず、実際の国・港・ルート・車両ごとに確認します。</w:t>
      </w:r>
    </w:p>
    <w:p>
      <w:pPr/>
      <w:r>
        <w:t>東南アジアという地域名は確認項目を整理するためのものです。実際の国、港、ルートの確認を置き換えるものではありません。</w:t>
      </w:r>
    </w:p>
    <w:p>
      <w:pPr>
        <w:pStyle w:val="Heading2"/>
      </w:pPr>
      <w:r>
        <w:t>資料の適用範囲を混同しない</w:t>
      </w:r>
    </w:p>
    <w:p>
      <w:pPr/>
      <w:r>
        <w:t>メーカー資料は特定市場・仕様を、評価機関は試験対象を、当局は自国の要件を示します。複数市場の有利な数字だけを組み合わせて、存在しない「世界共通仕様」を作らないことが重要です。</w:t>
      </w:r>
    </w:p>
    <w:p>
      <w:pPr>
        <w:pStyle w:val="Heading2"/>
      </w:pPr>
      <w:r>
        <w:t>車両・取引に紐付ける確認事項</w:t>
      </w:r>
    </w:p>
    <w:p>
      <w:pPr>
        <w:pStyle w:val="ListBullet"/>
      </w:pPr>
      <w:r>
        <w:t>正確なVIN・仕様・生産参照情報</w:t>
      </w:r>
    </w:p>
    <w:p>
      <w:pPr>
        <w:pStyle w:val="ListBullet"/>
      </w:pPr>
      <w:r>
        <w:t>元の販売市場と仕様の公式情報源</w:t>
      </w:r>
    </w:p>
    <w:p>
      <w:pPr>
        <w:pStyle w:val="ListBullet"/>
      </w:pPr>
      <w:r>
        <w:t>パワートレイン、駆動方式、バッテリー・充電または燃料情報</w:t>
      </w:r>
    </w:p>
    <w:p>
      <w:pPr>
        <w:pStyle w:val="ListBullet"/>
      </w:pPr>
      <w:r>
        <w:t>同一車両を示す写真・ラベル・書類</w:t>
      </w:r>
    </w:p>
    <w:p>
      <w:pPr>
        <w:pStyle w:val="Heading2"/>
      </w:pPr>
      <w:r>
        <w:t>購入対象を先に固定する</w:t>
      </w:r>
    </w:p>
    <w:p>
      <w:pPr/>
      <w:r>
        <w:t>VINまたは正確な仕様、販売元市場、技術構成、仕向け国、商取引の範囲を最初に記録します。見積後に車両や条件が変わった場合は、関係する確認をやり直します。</w:t>
      </w:r>
    </w:p>
    <w:p>
      <w:pPr>
        <w:pStyle w:val="Heading2"/>
      </w:pPr>
      <w:r>
        <w:t>仕向け国の要件は別に確認する</w:t>
      </w:r>
    </w:p>
    <w:p>
      <w:pPr/>
      <w:r>
        <w:t>輸入可否、登録、使用条件、整備、保証は実際の仕向け国で確認します。販売元市場の正しい仕様書があっても、別の国で自動的に登録できることを意味しません。</w:t>
      </w:r>
    </w:p>
    <w:p>
      <w:pPr>
        <w:pStyle w:val="Heading2"/>
      </w:pPr>
      <w:r>
        <w:t>数値を実際の購入判断に変換する</w:t>
      </w:r>
    </w:p>
    <w:p>
      <w:pPr/>
      <w:r>
        <w:t>登録、燃料・充電、積載・乗員、安全、部品、診断、ソフトウェア、保証、整備、停止時間に影響する情報を優先します。重要な不明点は、推測で埋めず「未確認」として残します。</w:t>
      </w:r>
    </w:p>
    <w:p>
      <w:pPr>
        <w:pStyle w:val="Heading2"/>
      </w:pPr>
      <w:r>
        <w:t>見積書と実車を一致させる</w:t>
      </w:r>
    </w:p>
    <w:p>
      <w:pPr/>
      <w:r>
        <w:t>見積書、写真、銘板、車両書類は同じ一台を示す必要があります。Incotermの場所、含む費用・含まない費用、有効期限、支払段階も書面化します。比較は同じ車両・同じ商取引範囲で行います。</w:t>
      </w:r>
    </w:p>
    <w:p>
      <w:pPr>
        <w:pStyle w:val="Heading2"/>
      </w:pPr>
      <w:r>
        <w:t>支払前の最終停止条件</w:t>
      </w:r>
    </w:p>
    <w:p>
      <w:pPr/>
      <w:r>
        <w:t>登録、安全使用、充電・給油、整備、納車を妨げる可能性がある重要項目に根拠がない間は資金を放出しません。不足資料を求めるか、未確認事項を取引書類に明記します。</w:t>
      </w:r>
    </w:p>
    <w:p>
      <w:pPr>
        <w:pStyle w:val="Heading2"/>
      </w:pPr>
      <w:r>
        <w:t>取引ファイルに残すチェック</w:t>
      </w:r>
    </w:p>
    <w:p>
      <w:pPr>
        <w:pStyle w:val="ListBullet"/>
      </w:pPr>
      <w:r>
        <w:t>VIN・正確な仕様または取引ID</w:t>
      </w:r>
    </w:p>
    <w:p>
      <w:pPr>
        <w:pStyle w:val="ListBullet"/>
      </w:pPr>
      <w:r>
        <w:t>販売元市場・ルートと日付付き根拠</w:t>
      </w:r>
    </w:p>
    <w:p>
      <w:pPr>
        <w:pStyle w:val="ListBullet"/>
      </w:pPr>
      <w:r>
        <w:t>一致する写真と書類</w:t>
      </w:r>
    </w:p>
    <w:p>
      <w:pPr>
        <w:pStyle w:val="ListBullet"/>
      </w:pPr>
      <w:r>
        <w:t>仕向け国要件</w:t>
      </w:r>
    </w:p>
    <w:p>
      <w:pPr>
        <w:pStyle w:val="ListBullet"/>
      </w:pPr>
      <w:r>
        <w:t>含む費用・含まない費用・有効期限</w:t>
      </w:r>
    </w:p>
    <w:p>
      <w:pPr>
        <w:pStyle w:val="ListBullet"/>
      </w:pPr>
      <w:r>
        <w:t>必要な整備・保証経路</w:t>
      </w:r>
    </w:p>
    <w:p>
      <w:pPr>
        <w:pStyle w:val="Heading2"/>
      </w:pPr>
      <w:r>
        <w:t>この案件固有の判断順序</w:t>
      </w:r>
    </w:p>
    <w:p>
      <w:pPr/>
      <w:r>
        <w:t>東南アジア向け中国 MPV の調達では、座席配置、満員時の荷室、登録区分、動力、タイヤ、気候条件、整備を一度に比べず、まず購入対象と適用市場を固定する。次に、各項目を同じ車両・同じ取引の VIN、仕様書、写真、見積書、または仕向け地側の確認に結び付ける。資料の日付と適用範囲を残し、別市場や別グレードの情報は参考資料として分ける。こうすれば、数字を増やさずに、どの結論が確認済みで、どの結論が取引条件に依存するかを説明できる。</w:t>
      </w:r>
    </w:p>
    <w:p>
      <w:pPr>
        <w:pStyle w:val="Heading2"/>
      </w:pPr>
      <w:r>
        <w:t>未確認事項を支払条件に変える</w:t>
      </w:r>
    </w:p>
    <w:p>
      <w:pPr/>
      <w:r>
        <w:t>最大の停止要因は、地域名だけで各国の登録・運用条件を同一視することである。これを否定できる証拠が揃わない場合は、推測で埋めず「未確認」と記録し、担当者と提出期限を定める。価格、在庫、運賃、税金、納期、認証結果、保証対応は永続的な車両仕様と分け、実際の取引ごとに日付付きで再確認する。支払い後に第三者が同じ判断を再現できない案件は、公開または発注に進めない。</w:t>
      </w:r>
    </w:p>
    <w:p>
      <w:pPr>
        <w:pStyle w:val="Heading2"/>
      </w:pPr>
      <w:r>
        <w:t>関連ガイド</w:t>
      </w:r>
    </w:p>
    <w:p>
      <w:pPr>
        <w:pStyle w:val="ListBullet"/>
      </w:pPr>
      <w:r>
        <w:t>東南アジア向けVINと実車写真の確認：購入前確認ガイド — https://ja.autobridgeexport.com/guides/photo-vin-review-southeast-asia.html</w:t>
      </w:r>
    </w:p>
    <w:p>
      <w:pPr>
        <w:pStyle w:val="ListBullet"/>
      </w:pPr>
      <w:r>
        <w:t>東南アジア向け車両輸送:RoRoとコンテナの選び方 — https://ja.autobridgeexport.com/guides/roro-container-shipping-southeast-asia.html</w:t>
      </w:r>
    </w:p>
    <w:p>
      <w:pPr/>
      <w:r>
        <w:t>ALT: 海外車両購入者向けの東南アジア向け中国MPVの調達参考画像</w:t>
      </w:r>
    </w:p>
    <w:p>
      <w:pPr>
        <w:pStyle w:val="Heading1"/>
        <w:pageBreakBefore/>
      </w:pPr>
      <w:r>
        <w:t>KO — 한국어</w:t>
      </w:r>
    </w:p>
    <w:p>
      <w:pPr/>
      <w:r>
        <w:t>SEO Title: 동남아시아 중국 MPV 조달: 구매 전 검증 가이드</w:t>
      </w:r>
    </w:p>
    <w:p>
      <w:pPr/>
      <w:r>
        <w:t>Meta Description: 동남아시아의 중국 MPV 조달에서는 차량/견적, 근거, 목적국 요구사항, 결제 전 위험을 나누어 확인합니다.</w:t>
      </w:r>
    </w:p>
    <w:p>
      <w:pPr/>
      <w:r>
        <w:t>H1: 동남아시아 중국 MPV 조달: 결제 전 거래 검증 방법</w:t>
      </w:r>
    </w:p>
    <w:p>
      <w:pPr/>
      <w:r>
        <w:t>이 가이드는 동남아시아의 중국 MPV 조달를 다룹니다. 한 국가의 규정을 지역 전체 규정으로 확대하지 않고 실제 목적국·항만·경로·차량을 기준으로 확인합니다.</w:t>
      </w:r>
    </w:p>
    <w:p>
      <w:pPr/>
      <w:r>
        <w:t>동남아시아라는 지역명은 확인 항목을 정리하기 위한 것이며 실제 국가·항만·경로 검증을 대신하지 않습니다.</w:t>
      </w:r>
    </w:p>
    <w:p>
      <w:pPr>
        <w:pStyle w:val="Heading2"/>
      </w:pPr>
      <w:r>
        <w:t>근거의 적용 범위를 섞지 않기</w:t>
      </w:r>
    </w:p>
    <w:p>
      <w:pPr/>
      <w:r>
        <w:t>제조사 자료는 특정 시장/버전을, 안전기관은 시험한 범위를, 당국은 자신의 관할 요건을 증명합니다. 여러 시장의 유리한 숫자를 합쳐 존재하지 않는 글로벌 사양을 만들지 마십시오.</w:t>
      </w:r>
    </w:p>
    <w:p>
      <w:pPr>
        <w:pStyle w:val="Heading2"/>
      </w:pPr>
      <w:r>
        <w:t>차량/거래에 연결해야 할 근거</w:t>
      </w:r>
    </w:p>
    <w:p>
      <w:pPr>
        <w:pStyle w:val="ListBullet"/>
      </w:pPr>
      <w:r>
        <w:t>정확한 VIN·파생형·생산 기준</w:t>
      </w:r>
    </w:p>
    <w:p>
      <w:pPr>
        <w:pStyle w:val="ListBullet"/>
      </w:pPr>
      <w:r>
        <w:t>원 판매시장과 공식 사양 출처</w:t>
      </w:r>
    </w:p>
    <w:p>
      <w:pPr>
        <w:pStyle w:val="ListBullet"/>
      </w:pPr>
      <w:r>
        <w:t>파워트레인·구동계·배터리/충전 또는 연료 정보</w:t>
      </w:r>
    </w:p>
    <w:p>
      <w:pPr>
        <w:pStyle w:val="ListBullet"/>
      </w:pPr>
      <w:r>
        <w:t>동일 차량을 가리키는 사진·라벨·서류</w:t>
      </w:r>
    </w:p>
    <w:p>
      <w:pPr>
        <w:pStyle w:val="Heading2"/>
      </w:pPr>
      <w:r>
        <w:t>구매 대상을 먼저 고정하기</w:t>
      </w:r>
    </w:p>
    <w:p>
      <w:pPr/>
      <w:r>
        <w:t>VIN 또는 정확한 파생형, 원 판매시장, 기술 구성, 목적국과 상업 조건을 먼저 기록합니다. 견적 뒤 차량이나 조건이 바뀌면 관련 검증을 다시 수행해야 합니다.</w:t>
      </w:r>
    </w:p>
    <w:p>
      <w:pPr>
        <w:pStyle w:val="Heading2"/>
      </w:pPr>
      <w:r>
        <w:t>목적국 요건은 별도로 확인하기</w:t>
      </w:r>
    </w:p>
    <w:p>
      <w:pPr/>
      <w:r>
        <w:t>수입 가능성, 등록, 실제 운용, 서비스와 보증은 실제 목적국에서 확인해야 합니다. 원 판매시장의 정확한 사양서가 다른 나라의 자동 등록을 의미하지는 않습니다.</w:t>
      </w:r>
    </w:p>
    <w:p>
      <w:pPr>
        <w:pStyle w:val="Heading2"/>
      </w:pPr>
      <w:r>
        <w:t>사양을 실제 구매 판단으로 바꾸기</w:t>
      </w:r>
    </w:p>
    <w:p>
      <w:pPr/>
      <w:r>
        <w:t>등록, 연료/충전, 적재/승객, 안전, 부품, 진단, 소프트웨어, 보증, 정비, 운휴비용에 영향을 주는 정보가 중요합니다. 중대한 미확인 항목은 추정으로 채우지 말고 그대로 표시합니다.</w:t>
      </w:r>
    </w:p>
    <w:p>
      <w:pPr>
        <w:pStyle w:val="Heading2"/>
      </w:pPr>
      <w:r>
        <w:t>견적과 실차를 동일하게 만들기</w:t>
      </w:r>
    </w:p>
    <w:p>
      <w:pPr/>
      <w:r>
        <w:t>견적서, 사진, 명판과 차량 서류는 같은 차량을 가리켜야 합니다. Incoterm 장소, 포함/제외 비용, 유효기간, 지급 단계도 서면으로 남깁니다. 같은 차량과 같은 범위가 되어야 가격 비교가 가능합니다.</w:t>
      </w:r>
    </w:p>
    <w:p>
      <w:pPr>
        <w:pStyle w:val="Heading2"/>
      </w:pPr>
      <w:r>
        <w:t>결제 전 최종 중단 기준</w:t>
      </w:r>
    </w:p>
    <w:p>
      <w:pPr/>
      <w:r>
        <w:t>등록, 안전 운행, 충전/주유, 정비 또는 인도를 막을 수 있는 중요 항목에 근거가 없으면 자금을 지급하지 마십시오. 누락 자료를 요구하거나 불확실성을 거래 파일에 명확히 남깁니다.</w:t>
      </w:r>
    </w:p>
    <w:p>
      <w:pPr>
        <w:pStyle w:val="Heading2"/>
      </w:pPr>
      <w:r>
        <w:t>거래 파일에 남길 확인 항목</w:t>
      </w:r>
    </w:p>
    <w:p>
      <w:pPr>
        <w:pStyle w:val="ListBullet"/>
      </w:pPr>
      <w:r>
        <w:t>VIN/정확한 파생형 또는 거래 식별</w:t>
      </w:r>
    </w:p>
    <w:p>
      <w:pPr>
        <w:pStyle w:val="ListBullet"/>
      </w:pPr>
      <w:r>
        <w:t>원 판매시장/경로와 날짜가 있는 근거</w:t>
      </w:r>
    </w:p>
    <w:p>
      <w:pPr>
        <w:pStyle w:val="ListBullet"/>
      </w:pPr>
      <w:r>
        <w:t>일치하는 사진과 서류</w:t>
      </w:r>
    </w:p>
    <w:p>
      <w:pPr>
        <w:pStyle w:val="ListBullet"/>
      </w:pPr>
      <w:r>
        <w:t>목적국 요건</w:t>
      </w:r>
    </w:p>
    <w:p>
      <w:pPr>
        <w:pStyle w:val="ListBullet"/>
      </w:pPr>
      <w:r>
        <w:t>포함/제외 비용과 유효기간</w:t>
      </w:r>
    </w:p>
    <w:p>
      <w:pPr>
        <w:pStyle w:val="ListBullet"/>
      </w:pPr>
      <w:r>
        <w:t>필요한 서비스/보증 경로</w:t>
      </w:r>
    </w:p>
    <w:p>
      <w:pPr>
        <w:pStyle w:val="Heading2"/>
      </w:pPr>
      <w:r>
        <w:t>이 거래에 맞는 판단 순서</w:t>
      </w:r>
    </w:p>
    <w:p>
      <w:pPr/>
      <w:r>
        <w:t>동남아시아용 중국 MPV 조달에서는 좌석 배치, 만석 시 적재 공간, 등록 분류, 파워트레인, 타이어, 기후 조건, 정비을 한꺼번에 비교하지 말고, 먼저 구매 대상과 적용 시장을 확정해야 한다. 그다음 각 항목을 같은 차량·같은 거래의 VIN, 사양서, 사진, 견적서 또는 목적지 확인 자료에 연결한다. 자료의 날짜와 적용 범위를 남기고 다른 시장이나 다른 트림의 정보는 참고 자료로 분리한다. 이렇게 해야 새로운 수치를 보태지 않고도 확인된 결론과 거래별 확인이 필요한 결론을 구분할 수 있다.</w:t>
      </w:r>
    </w:p>
    <w:p>
      <w:pPr>
        <w:pStyle w:val="Heading2"/>
      </w:pPr>
      <w:r>
        <w:t>미확인 항목을 결제 중단 조건으로 관리하기</w:t>
      </w:r>
    </w:p>
    <w:p>
      <w:pPr/>
      <w:r>
        <w:t>가장 중요한 중단 위험은 지역명만으로 각국의 등록·운행 조건을 동일하게 보는 것이다. 이를 배제할 증거가 없으면 추정으로 채우지 말고 ‘미확인’으로 기록한 뒤 담당자와 제출 기한을 정한다. 가격, 재고, 운임, 세금, 납기, 인증 결과와 보증 대응은 영구 사양과 분리해 실제 거래마다 날짜가 있는 자료로 다시 확인한다. 결제 후 제3자가 같은 판단을 재현할 수 없는 거래는 게시나 발주 단계로 넘기지 않는다.</w:t>
      </w:r>
    </w:p>
    <w:p>
      <w:pPr>
        <w:pStyle w:val="Heading2"/>
      </w:pPr>
      <w:r>
        <w:t>관련 가이드</w:t>
      </w:r>
    </w:p>
    <w:p>
      <w:pPr>
        <w:pStyle w:val="ListBullet"/>
      </w:pPr>
      <w:r>
        <w:t>동남아시아 VIN 및 차량 사진 검증: 구매 전 검증 가이드 — https://ko.autobridgeexport.com/guides/photo-vin-review-southeast-asia.html</w:t>
      </w:r>
    </w:p>
    <w:p>
      <w:pPr>
        <w:pStyle w:val="ListBullet"/>
      </w:pPr>
      <w:r>
        <w:t>동남아시아 차량 운송: RoRo와 컨테이너 선택 방법 — https://ko.autobridgeexport.com/guides/roro-container-shipping-southeast-asia.html</w:t>
      </w:r>
    </w:p>
    <w:p>
      <w:pPr/>
      <w:r>
        <w:t>ALT: 해외 차량 구매자를 위한 동남아시아 중국 MPV 조달 참고 이미지</w:t>
      </w:r>
    </w:p>
    <w:p>
      <w:pPr>
        <w:pStyle w:val="Heading1"/>
        <w:pageBreakBefore/>
      </w:pPr>
      <w:r>
        <w:t>VI — Tiếng Việt</w:t>
      </w:r>
    </w:p>
    <w:p>
      <w:pPr/>
      <w:r>
        <w:t>SEO Title: mua MPV Trung Quốc tại Đông Nam Á: hướng dẫn xác minh</w:t>
      </w:r>
    </w:p>
    <w:p>
      <w:pPr/>
      <w:r>
        <w:t>Meta Description: Với mua MPV Trung Quốc tại Đông Nam Á, hãy tách riêng xe/báo giá, bằng chứng, yêu cầu điểm đến và rủi ro trước thanh toán.</w:t>
      </w:r>
    </w:p>
    <w:p>
      <w:pPr/>
      <w:r>
        <w:t>H1: mua MPV Trung Quốc tại Đông Nam Á: xác minh giao dịch trước khi trả tiền</w:t>
      </w:r>
    </w:p>
    <w:p>
      <w:pPr/>
      <w:r>
        <w:t>Hướng dẫn này nói về mua MPV Trung Quốc cho Đông Nam Á. Không coi quy định của một quốc gia là quy định chung của cả khu vực; phải kiểm tra theo quốc gia, cảng, tuyến và xe thực tế.</w:t>
      </w:r>
    </w:p>
    <w:p>
      <w:pPr/>
      <w:r>
        <w:t>Với Đông Nam Á, tên khu vực chỉ giúp tổ chức câu hỏi; không thay thế việc kiểm tra quốc gia, cảng và tuyến thực tế.</w:t>
      </w:r>
    </w:p>
    <w:p>
      <w:pPr>
        <w:pStyle w:val="Heading2"/>
      </w:pPr>
      <w:r>
        <w:t>Tách phạm vi của từng nguồn bằng chứng</w:t>
      </w:r>
    </w:p>
    <w:p>
      <w:pPr/>
      <w:r>
        <w:t>Với “mua MPV Trung Quốc tại Đông Nam Á”, hãy gắn bước kiểm tra này với giao dịch thực tế: tài liệu hãng chỉ chứng minh thị trường/phiên bản được nêu; tổ chức an toàn chỉ chứng minh phạm vi xe thử; cơ quan nhà nước chỉ quy định trong thẩm quyền của mình. Không ghép các con số hấp dẫn từ nhiều thị trường thành một cấu hình 'toàn cầu'.</w:t>
      </w:r>
    </w:p>
    <w:p>
      <w:pPr>
        <w:pStyle w:val="Heading2"/>
      </w:pPr>
      <w:r>
        <w:t>Bằng chứng cần gắn với xe hoặc giao dịch</w:t>
      </w:r>
    </w:p>
    <w:p>
      <w:pPr>
        <w:pStyle w:val="ListBullet"/>
      </w:pPr>
      <w:r>
        <w:t>VIN/phiên bản chính xác và mốc sản xuất</w:t>
      </w:r>
    </w:p>
    <w:p>
      <w:pPr>
        <w:pStyle w:val="ListBullet"/>
      </w:pPr>
      <w:r>
        <w:t>thị trường bán ban đầu và nguồn thông số chính thức</w:t>
      </w:r>
    </w:p>
    <w:p>
      <w:pPr>
        <w:pStyle w:val="ListBullet"/>
      </w:pPr>
      <w:r>
        <w:t>hệ truyền động, hộp số, pin/sạc hoặc nhiên liệu khi phù hợp</w:t>
      </w:r>
    </w:p>
    <w:p>
      <w:pPr>
        <w:pStyle w:val="ListBullet"/>
      </w:pPr>
      <w:r>
        <w:t>ảnh, nhãn và giấy tờ cùng nhận diện một chiếc xe</w:t>
      </w:r>
    </w:p>
    <w:p>
      <w:pPr>
        <w:pStyle w:val="Heading2"/>
      </w:pPr>
      <w:r>
        <w:t>Xác định chính xác đối tượng mua</w:t>
      </w:r>
    </w:p>
    <w:p>
      <w:pPr/>
      <w:r>
        <w:t>Trong hồ sơ “mua MPV Trung Quốc tại Đông Nam Á”, bước này phải trở thành kiểm tra riêng cho giao dịch: ghi lại VIN hoặc phiên bản, thị trường nguồn, cấu hình kỹ thuật, quốc gia đích và phạm vi thương mại trước. Nếu xe hoặc điều kiện thay đổi sau báo giá, phải lặp lại các bước xác minh liên quan.</w:t>
      </w:r>
    </w:p>
    <w:p>
      <w:pPr>
        <w:pStyle w:val="Heading2"/>
      </w:pPr>
      <w:r>
        <w:t>Kiểm tra riêng quốc gia đích</w:t>
      </w:r>
    </w:p>
    <w:p>
      <w:pPr/>
      <w:r>
        <w:t>Với “mua MPV Trung Quốc tại Đông Nam Á”, hãy gắn bước kiểm tra này với giao dịch thực tế: điều kiện nhập khẩu, đăng ký, vận hành, dịch vụ và bảo hành phải được xác nhận cho quốc gia đích thực tế. Thông số đúng ở thị trường nguồn không tự động trở thành giấy phép đăng ký ở nơi khác.</w:t>
      </w:r>
    </w:p>
    <w:p>
      <w:pPr>
        <w:pStyle w:val="Heading2"/>
      </w:pPr>
      <w:r>
        <w:t>Biến thông số thành quyết định mua</w:t>
      </w:r>
    </w:p>
    <w:p>
      <w:pPr/>
      <w:r>
        <w:t>Trong hồ sơ “mua MPV Trung Quốc tại Đông Nam Á”, bước này phải trở thành kiểm tra riêng cho giao dịch: ưu tiên dữ liệu ảnh hưởng đến đăng ký, nhiên liệu/sạc, tải trọng/hành khách, an toàn, phụ tùng, chẩn đoán, phần mềm, bảo hành, bảo dưỡng hoặc thời gian xe ngừng hoạt động. Điểm quan trọng chưa có bằng chứng phải giữ trạng thái chưa xác minh.</w:t>
      </w:r>
    </w:p>
    <w:p>
      <w:pPr>
        <w:pStyle w:val="Heading2"/>
      </w:pPr>
      <w:r>
        <w:t>Yêu cầu báo giá có thể truy vết</w:t>
      </w:r>
    </w:p>
    <w:p>
      <w:pPr/>
      <w:r>
        <w:t>Với “mua MPV Trung Quốc tại Đông Nam Á”, hãy gắn bước kiểm tra này với giao dịch thực tế: báo giá, ảnh, nhãn và giấy tờ phải chỉ cùng một xe. Ghi rõ địa điểm Incoterm, chi phí bao gồm/không bao gồm, thời hạn hiệu lực và mốc thanh toán. Chỉ so sánh giá khi cùng xe và cùng phạm vi thương mại.</w:t>
      </w:r>
    </w:p>
    <w:p>
      <w:pPr>
        <w:pStyle w:val="Heading2"/>
      </w:pPr>
      <w:r>
        <w:t>Nguyên tắc dừng trước khi thanh toán</w:t>
      </w:r>
    </w:p>
    <w:p>
      <w:pPr/>
      <w:r>
        <w:t>Trong hồ sơ “mua MPV Trung Quốc tại Đông Nam Á”, bước này phải trở thành kiểm tra riêng cho giao dịch: không giải ngân nếu còn thiếu bằng chứng cho một điểm có thể khiến xe không đăng ký, không vận hành an toàn, không sạc/đổ nhiên liệu, không bảo dưỡng hoặc không giao được. Yêu cầu tài liệu còn thiếu hoặc ghi rõ sự không chắc chắn trong hồ sơ.</w:t>
      </w:r>
    </w:p>
    <w:p>
      <w:pPr>
        <w:pStyle w:val="Heading2"/>
      </w:pPr>
      <w:r>
        <w:t>Các mục phải giữ trong hồ sơ giao dịch</w:t>
      </w:r>
    </w:p>
    <w:p>
      <w:pPr>
        <w:pStyle w:val="ListBullet"/>
      </w:pPr>
      <w:r>
        <w:t>VIN/phiên bản hoặc nhận dạng giao dịch</w:t>
      </w:r>
    </w:p>
    <w:p>
      <w:pPr>
        <w:pStyle w:val="ListBullet"/>
      </w:pPr>
      <w:r>
        <w:t>thị trường/tuyến nguồn và bằng chứng có ngày</w:t>
      </w:r>
    </w:p>
    <w:p>
      <w:pPr>
        <w:pStyle w:val="ListBullet"/>
      </w:pPr>
      <w:r>
        <w:t>ảnh và giấy tờ thống nhất</w:t>
      </w:r>
    </w:p>
    <w:p>
      <w:pPr>
        <w:pStyle w:val="ListBullet"/>
      </w:pPr>
      <w:r>
        <w:t>yêu cầu quốc gia đích</w:t>
      </w:r>
    </w:p>
    <w:p>
      <w:pPr>
        <w:pStyle w:val="ListBullet"/>
      </w:pPr>
      <w:r>
        <w:t>chi phí gồm/không gồm và thời hạn</w:t>
      </w:r>
    </w:p>
    <w:p>
      <w:pPr>
        <w:pStyle w:val="ListBullet"/>
      </w:pPr>
      <w:r>
        <w:t>dịch vụ/bảo hành khi áp dụng</w:t>
      </w:r>
    </w:p>
    <w:p>
      <w:pPr>
        <w:pStyle w:val="Heading2"/>
      </w:pPr>
      <w:r>
        <w:t>Bài viết liên quan</w:t>
      </w:r>
    </w:p>
    <w:p>
      <w:pPr>
        <w:pStyle w:val="ListBullet"/>
      </w:pPr>
      <w:r>
        <w:t>xác minh VIN và ảnh xe tại Đông Nam Á: hướng dẫn xác minh — https://vi.autobridgeexport.com/guides/photo-vin-review-southeast-asia.html</w:t>
      </w:r>
    </w:p>
    <w:p>
      <w:pPr>
        <w:pStyle w:val="ListBullet"/>
      </w:pPr>
      <w:r>
        <w:t>Vận chuyển xe đến Đông Nam Á: chọn RoRo hay container — https://vi.autobridgeexport.com/guides/roro-container-shipping-southeast-asia.html</w:t>
      </w:r>
    </w:p>
    <w:p>
      <w:pPr/>
      <w:r>
        <w:t>ALT: Hình ảnh tham khảo về mua MPV Trung Quốc tại Đông Nam Á dành cho người mua xe quốc tế</w:t>
      </w:r>
    </w:p>
    <w:p>
      <w:pPr>
        <w:pStyle w:val="Heading1"/>
        <w:pageBreakBefore/>
      </w:pPr>
      <w:r>
        <w:t>TH — ภาษาไทย</w:t>
      </w:r>
    </w:p>
    <w:p>
      <w:pPr/>
      <w:r>
        <w:t>SEO Title: การจัดซื้อ MPV จีน ในเอเชียตะวันออกเฉียงใต้: คู่มือตรวจสอบก่อนซื้อ</w:t>
      </w:r>
    </w:p>
    <w:p>
      <w:pPr/>
      <w:r>
        <w:t>Meta Description: สำหรับการจัดซื้อ MPV จีน ในเอเชียตะวันออกเฉียงใต้ ให้แยกรถ/ใบเสนอราคา หลักฐาน ข้อกำหนดปลายทาง และความเสี่ยงก่อนชำระเงิน</w:t>
      </w:r>
    </w:p>
    <w:p>
      <w:pPr/>
      <w:r>
        <w:t>H1: การจัดซื้อ MPV จีน ในเอเชียตะวันออกเฉียงใต้: ตรวจธุรกรรมก่อนชำระเงิน</w:t>
      </w:r>
    </w:p>
    <w:p>
      <w:pPr/>
      <w:r>
        <w:t>คู่มือนี้กล่าวถึง การจัดซื้อ MPV จีน สำหรับ เอเชียตะวันออกเฉียงใต้ โดยไม่ถือว่ากฎของประเทศหนึ่งเป็นกฎของทั้งภูมิภาค ต้องตรวจตามประเทศ ท่าเรือ เส้นทาง และรถคันจริง</w:t>
      </w:r>
    </w:p>
    <w:p>
      <w:pPr/>
      <w:r>
        <w:t>ใช้ “การจัดซื้อ MPV จีน ในเอเชียตะวันออกเฉียงใต้” เป็นขอบเขตของการตัดสินใจนี้: สำหรับ เอเชียตะวันออกเฉียงใต้ ชื่อภูมิภาคมีไว้เพื่อจัดหมวดคำถามเท่านั้น ไม่สามารถแทนการตรวจประเทศ ท่าเรือ และเส้นทางจริงได้</w:t>
      </w:r>
    </w:p>
    <w:p>
      <w:pPr>
        <w:pStyle w:val="Heading2"/>
      </w:pPr>
      <w:r>
        <w:t>แยกขอบเขตของหลักฐานแต่ละแหล่ง</w:t>
      </w:r>
    </w:p>
    <w:p>
      <w:pPr/>
      <w:r>
        <w:t>ใช้ “การจัดซื้อ MPV จีน ในเอเชียตะวันออกเฉียงใต้” เป็นขอบเขตของการตัดสินใจนี้: เอกสารผู้ผลิตยืนยันได้เฉพาะตลาดหรือรุ่นที่ระบุ หน่วยงานความปลอดภัยยืนยันเฉพาะรถที่ทดสอบ และหน่วยงานรัฐกำหนดเฉพาะเขตอำนาจของตน อย่านำตัวเลขที่ดีที่สุดจากหลายตลาดมารวมเป็นสเปกโลกที่ไม่มีอยู่จริง</w:t>
      </w:r>
    </w:p>
    <w:p>
      <w:pPr>
        <w:pStyle w:val="Heading2"/>
      </w:pPr>
      <w:r>
        <w:t>หลักฐานที่ต้องผูกกับรถหรือธุรกรรม</w:t>
      </w:r>
    </w:p>
    <w:p>
      <w:pPr>
        <w:pStyle w:val="ListBullet"/>
      </w:pPr>
      <w:r>
        <w:t>VIN/รุ่นย่อยและข้อมูลการผลิตที่แน่นอน</w:t>
      </w:r>
    </w:p>
    <w:p>
      <w:pPr>
        <w:pStyle w:val="ListBullet"/>
      </w:pPr>
      <w:r>
        <w:t>ตลาดที่จำหน่ายเดิมและแหล่งสเปกทางการ</w:t>
      </w:r>
    </w:p>
    <w:p>
      <w:pPr>
        <w:pStyle w:val="ListBullet"/>
      </w:pPr>
      <w:r>
        <w:t>ระบบขับเคลื่อน ระบบส่งกำลัง แบตเตอรี่/การชาร์จหรือเชื้อเพลิงที่เกี่ยวข้อง</w:t>
      </w:r>
    </w:p>
    <w:p>
      <w:pPr>
        <w:pStyle w:val="ListBullet"/>
      </w:pPr>
      <w:r>
        <w:t>ภาพ ป้าย และเอกสารที่ระบุรถคันเดียวกัน</w:t>
      </w:r>
    </w:p>
    <w:p>
      <w:pPr>
        <w:pStyle w:val="Heading2"/>
      </w:pPr>
      <w:r>
        <w:t>กำหนดสิ่งที่จะซื้อให้ชัดก่อน</w:t>
      </w:r>
    </w:p>
    <w:p>
      <w:pPr/>
      <w:r>
        <w:t>เมื่อพิจารณา “การจัดซื้อ MPV จีน ในเอเชียตะวันออกเฉียงใต้” ต้องตรวจสอบโดยอิงรถ เส้นทาง หรือปลายทางจริง: บันทึก VIN หรือรุ่นย่อย ตลาดต้นทาง การกำหนดค่าทางเทคนิค ประเทศปลายทาง และขอบเขตทางการค้า หากรถหรือเงื่อนไขเปลี่ยนหลังออกใบเสนอราคา ให้ตรวจซ้ำในหัวข้อที่เกี่ยวข้อง</w:t>
      </w:r>
    </w:p>
    <w:p>
      <w:pPr>
        <w:pStyle w:val="Heading2"/>
      </w:pPr>
      <w:r>
        <w:t>ตรวจประเทศปลายทางแยกต่างหาก</w:t>
      </w:r>
    </w:p>
    <w:p>
      <w:pPr/>
      <w:r>
        <w:t>ใช้ “การจัดซื้อ MPV จีน ในเอเชียตะวันออกเฉียงใต้” เป็นขอบเขตของการตัดสินใจนี้: สิทธิในการนำเข้า การจดทะเบียน การใช้งาน การบริการ และการรับประกันต้องตรวจสำหรับประเทศปลายทางจริง สเปกที่ถูกต้องในตลาดต้นทางไม่ได้หมายความว่าจะจดทะเบียนในประเทศอื่นได้โดยอัตโนมัติ</w:t>
      </w:r>
    </w:p>
    <w:p>
      <w:pPr>
        <w:pStyle w:val="Heading2"/>
      </w:pPr>
      <w:r>
        <w:t>เปลี่ยนสเปกให้เป็นการตัดสินใจซื้อ</w:t>
      </w:r>
    </w:p>
    <w:p>
      <w:pPr/>
      <w:r>
        <w:t>เมื่อพิจารณา “การจัดซื้อ MPV จีน ในเอเชียตะวันออกเฉียงใต้” ต้องตรวจสอบโดยอิงรถ เส้นทาง หรือปลายทางจริง: ให้ความสำคัญกับข้อมูลที่กระทบการจดทะเบียน เชื้อเพลิง/การชาร์จ น้ำหนักบรรทุก/ผู้โดยสาร ความปลอดภัย อะไหล่ การวินิจฉัย ซอฟต์แวร์ การรับประกัน การซ่อมบำรุง หรือเวลาหยุดใช้งาน ประเด็นสำคัญที่ไม่มีหลักฐานให้คงสถานะยังไม่ยืนยัน</w:t>
      </w:r>
    </w:p>
    <w:p>
      <w:pPr>
        <w:pStyle w:val="Heading2"/>
      </w:pPr>
      <w:r>
        <w:t>ขอใบเสนอราคาที่ตรวจย้อนกลับได้</w:t>
      </w:r>
    </w:p>
    <w:p>
      <w:pPr/>
      <w:r>
        <w:t>ใช้ “การจัดซื้อ MPV จีน ในเอเชียตะวันออกเฉียงใต้” เป็นขอบเขตของการตัดสินใจนี้: ใบเสนอราคา ภาพ ป้าย และเอกสารรถต้องชี้ไปที่รถคันเดียวกัน ระบุสถานที่ Incoterm ค่าใช้จ่ายที่รวม/ไม่รวม อายุใบเสนอราคา และช่วงการชำระเงิน เปรียบเทียบราคาเมื่อเป็นรถและขอบเขตเดียวกันเท่านั้น</w:t>
      </w:r>
    </w:p>
    <w:p>
      <w:pPr>
        <w:pStyle w:val="Heading2"/>
      </w:pPr>
      <w:r>
        <w:t>เกณฑ์หยุดก่อนชำระเงิน</w:t>
      </w:r>
    </w:p>
    <w:p>
      <w:pPr/>
      <w:r>
        <w:t>เมื่อพิจารณา “การจัดซื้อ MPV จีน ในเอเชียตะวันออกเฉียงใต้” ต้องตรวจสอบโดยอิงรถ เส้นทาง หรือปลายทางจริง: อย่าปล่อยเงินหากยังขาดหลักฐานในประเด็นที่อาจทำให้จดทะเบียนไม่ได้ ใช้งานไม่ปลอดภัย ชาร์จ/เติมเชื้อเพลิงไม่ได้ ซ่อมบำรุงไม่ได้ หรือส่งมอบไม่ได้ ให้ขอเอกสารหรือบันทึกความไม่แน่นอนไว้ในแฟ้มธุรกรรม</w:t>
      </w:r>
    </w:p>
    <w:p>
      <w:pPr>
        <w:pStyle w:val="Heading2"/>
      </w:pPr>
      <w:r>
        <w:t>รายการที่ต้องเก็บในแฟ้มธุรกรรม</w:t>
      </w:r>
    </w:p>
    <w:p>
      <w:pPr>
        <w:pStyle w:val="ListBullet"/>
      </w:pPr>
      <w:r>
        <w:t>VIN/รุ่นย่อยหรือข้อมูลระบุธุรกรรม</w:t>
      </w:r>
    </w:p>
    <w:p>
      <w:pPr>
        <w:pStyle w:val="ListBullet"/>
      </w:pPr>
      <w:r>
        <w:t>ตลาด/เส้นทางต้นทางและหลักฐานมีวันที่</w:t>
      </w:r>
    </w:p>
    <w:p>
      <w:pPr>
        <w:pStyle w:val="ListBullet"/>
      </w:pPr>
      <w:r>
        <w:t>ภาพและเอกสารที่ตรงกัน</w:t>
      </w:r>
    </w:p>
    <w:p>
      <w:pPr>
        <w:pStyle w:val="ListBullet"/>
      </w:pPr>
      <w:r>
        <w:t>ข้อกำหนดประเทศปลายทาง</w:t>
      </w:r>
    </w:p>
    <w:p>
      <w:pPr>
        <w:pStyle w:val="ListBullet"/>
      </w:pPr>
      <w:r>
        <w:t>ค่าใช้จ่ายรวม/ไม่รวมและอายุใบเสนอราคา</w:t>
      </w:r>
    </w:p>
    <w:p>
      <w:pPr>
        <w:pStyle w:val="ListBullet"/>
      </w:pPr>
      <w:r>
        <w:t>เส้นทางบริการ/การรับประกันเมื่อเกี่ยวข้อง</w:t>
      </w:r>
    </w:p>
    <w:p>
      <w:pPr>
        <w:pStyle w:val="Heading2"/>
      </w:pPr>
      <w:r>
        <w:t>บทความที่เกี่ยวข้อง</w:t>
      </w:r>
    </w:p>
    <w:p>
      <w:pPr>
        <w:pStyle w:val="ListBullet"/>
      </w:pPr>
      <w:r>
        <w:t>การตรวจ VIN และภาพรถจริง ในเอเชียตะวันออกเฉียงใต้: คู่มือตรวจสอบก่อนซื้อ — https://th.autobridgeexport.com/guides/photo-vin-review-southeast-asia.html</w:t>
      </w:r>
    </w:p>
    <w:p>
      <w:pPr>
        <w:pStyle w:val="ListBullet"/>
      </w:pPr>
      <w:r>
        <w:t>ขนส่งรถไปเอเชียตะวันออกเฉียงใต้: เลือก RoRo หรือคอนเทนเนอร์ — https://th.autobridgeexport.com/guides/roro-container-shipping-southeast-asia.html</w:t>
      </w:r>
    </w:p>
    <w:p>
      <w:pPr/>
      <w:r>
        <w:t>ALT: ภาพอ้างอิงสำหรับการจัดซื้อ MPV จีน ในเอเชียตะวันออกเฉียงใต้สำหรับผู้ซื้อรถระหว่างประเทศ</w:t>
      </w:r>
    </w:p>
    <w:p>
      <w:pPr>
        <w:pStyle w:val="Heading1"/>
        <w:pageBreakBefore/>
      </w:pPr>
      <w:r>
        <w:t>ID — Bahasa Indonesia</w:t>
      </w:r>
    </w:p>
    <w:p>
      <w:pPr/>
      <w:r>
        <w:t>SEO Title: pengadaan MPV Tiongkok di Asia Tenggara: panduan verifikasi</w:t>
      </w:r>
    </w:p>
    <w:p>
      <w:pPr/>
      <w:r>
        <w:t>Meta Description: Untuk pengadaan MPV Tiongkok di Asia Tenggara, pisahkan kendaraan/penawaran, bukti, persyaratan tujuan dan risiko sebelum pembayaran.</w:t>
      </w:r>
    </w:p>
    <w:p>
      <w:pPr/>
      <w:r>
        <w:t>H1: pengadaan MPV Tiongkok di Asia Tenggara: verifikasi transaksi sebelum membayar</w:t>
      </w:r>
    </w:p>
    <w:p>
      <w:pPr/>
      <w:r>
        <w:t>Panduan ini membahas pengadaan MPV Tiongkok untuk Asia Tenggara. Aturan satu negara tidak dianggap sebagai aturan seluruh kawasan; pemeriksaan harus mengikuti negara, pelabuhan, rute dan kendaraan yang sebenarnya.</w:t>
      </w:r>
    </w:p>
    <w:p>
      <w:pPr/>
      <w:r>
        <w:t>Dalam berkas “pengadaan MPV Tiongkok di Asia Tenggara”, jadikan langkah ini pemeriksaan khusus transaksi: untuk Asia Tenggara, label kawasan hanya membantu menyusun pertanyaan; label itu tidak menggantikan pemeriksaan negara, pelabuhan dan rute yang sebenarnya.</w:t>
      </w:r>
    </w:p>
    <w:p>
      <w:pPr>
        <w:pStyle w:val="Heading2"/>
      </w:pPr>
      <w:r>
        <w:t>Pisahkan cakupan setiap bukti</w:t>
      </w:r>
    </w:p>
    <w:p>
      <w:pPr/>
      <w:r>
        <w:t>Dalam berkas “pengadaan MPV Tiongkok di Asia Tenggara”, jadikan langkah ini pemeriksaan khusus transaksi: dokumen produsen membuktikan pasar/varian tertentu; badan keselamatan hanya mencakup kendaraan yang diuji; regulator mengatur yurisdiksinya sendiri. Jangan menggabungkan angka terbaik dari beberapa pasar menjadi spesifikasi global yang sebenarnya tidak ada.</w:t>
      </w:r>
    </w:p>
    <w:p>
      <w:pPr>
        <w:pStyle w:val="Heading2"/>
      </w:pPr>
      <w:r>
        <w:t>Bukti yang harus dikaitkan dengan kendaraan atau transaksi</w:t>
      </w:r>
    </w:p>
    <w:p>
      <w:pPr>
        <w:pStyle w:val="ListBullet"/>
      </w:pPr>
      <w:r>
        <w:t>VIN/varian dan referensi produksi yang tepat</w:t>
      </w:r>
    </w:p>
    <w:p>
      <w:pPr>
        <w:pStyle w:val="ListBullet"/>
      </w:pPr>
      <w:r>
        <w:t>pasar penjualan asal dan sumber spesifikasi resmi</w:t>
      </w:r>
    </w:p>
    <w:p>
      <w:pPr>
        <w:pStyle w:val="ListBullet"/>
      </w:pPr>
      <w:r>
        <w:t>powertrain, drivetrain, baterai/pengisian atau bahan bakar yang relevan</w:t>
      </w:r>
    </w:p>
    <w:p>
      <w:pPr>
        <w:pStyle w:val="ListBullet"/>
      </w:pPr>
      <w:r>
        <w:t>foto, label dan dokumen yang mengidentifikasi unit yang sama</w:t>
      </w:r>
    </w:p>
    <w:p>
      <w:pPr>
        <w:pStyle w:val="Heading2"/>
      </w:pPr>
      <w:r>
        <w:t>Tetapkan tepat apa yang dibeli</w:t>
      </w:r>
    </w:p>
    <w:p>
      <w:pPr/>
      <w:r>
        <w:t>Untuk “pengadaan MPV Tiongkok di Asia Tenggara”, terapkan pemeriksaan ini pada transaksi yang sebenarnya: catat VIN atau varian, pasar asal, konfigurasi teknis, negara tujuan dan lingkup komersial terlebih dahulu. Jika kendaraan atau syarat berubah setelah penawaran, ulangi verifikasi yang terkait.</w:t>
      </w:r>
    </w:p>
    <w:p>
      <w:pPr>
        <w:pStyle w:val="Heading2"/>
      </w:pPr>
      <w:r>
        <w:t>Periksa negara tujuan secara terpisah</w:t>
      </w:r>
    </w:p>
    <w:p>
      <w:pPr/>
      <w:r>
        <w:t>Dalam berkas “pengadaan MPV Tiongkok di Asia Tenggara”, jadikan langkah ini pemeriksaan khusus transaksi: kelayakan impor, registrasi, penggunaan, layanan dan garansi harus dikonfirmasi untuk negara tujuan sebenarnya. Spesifikasi yang benar di pasar asal tidak otomatis menjadi izin registrasi di negara lain.</w:t>
      </w:r>
    </w:p>
    <w:p>
      <w:pPr>
        <w:pStyle w:val="Heading2"/>
      </w:pPr>
      <w:r>
        <w:t>Ubah spesifikasi menjadi keputusan pembelian</w:t>
      </w:r>
    </w:p>
    <w:p>
      <w:pPr/>
      <w:r>
        <w:t>Untuk “pengadaan MPV Tiongkok di Asia Tenggara”, terapkan pemeriksaan ini pada transaksi yang sebenarnya: prioritaskan data yang memengaruhi registrasi, bahan bakar/pengisian, muatan/penumpang, keselamatan, suku cadang, diagnostik, perangkat lunak, garansi, perawatan atau biaya downtime. Hal penting tanpa bukti harus tetap ditandai belum terverifikasi.</w:t>
      </w:r>
    </w:p>
    <w:p>
      <w:pPr>
        <w:pStyle w:val="Heading2"/>
      </w:pPr>
      <w:r>
        <w:t>Minta penawaran yang dapat diaudit</w:t>
      </w:r>
    </w:p>
    <w:p>
      <w:pPr/>
      <w:r>
        <w:t>Dalam berkas “pengadaan MPV Tiongkok di Asia Tenggara”, jadikan langkah ini pemeriksaan khusus transaksi: penawaran, foto, label dan dokumen harus menunjukkan unit yang sama. Catat tempat Incoterm, biaya termasuk/tidak termasuk, masa berlaku dan tahap pembayaran. Harga baru dapat dibandingkan jika kendaraan dan lingkupnya sama.</w:t>
      </w:r>
    </w:p>
    <w:p>
      <w:pPr>
        <w:pStyle w:val="Heading2"/>
      </w:pPr>
      <w:r>
        <w:t>Aturan berhenti sebelum pembayaran</w:t>
      </w:r>
    </w:p>
    <w:p>
      <w:pPr/>
      <w:r>
        <w:t>Untuk “pengadaan MPV Tiongkok di Asia Tenggara”, terapkan pemeriksaan ini pada transaksi yang sebenarnya: jangan membayar jika masih ada hal penting tanpa bukti yang dapat menghambat registrasi, penggunaan aman, pengisian/bahan bakar, perawatan atau pengiriman. Minta dokumen atau pertahankan ketidakpastian secara tertulis dalam berkas transaksi.</w:t>
      </w:r>
    </w:p>
    <w:p>
      <w:pPr>
        <w:pStyle w:val="Heading2"/>
      </w:pPr>
      <w:r>
        <w:t>Pemeriksaan yang harus disimpan dalam berkas</w:t>
      </w:r>
    </w:p>
    <w:p>
      <w:pPr>
        <w:pStyle w:val="ListBullet"/>
      </w:pPr>
      <w:r>
        <w:t>VIN/varian atau identitas transaksi</w:t>
      </w:r>
    </w:p>
    <w:p>
      <w:pPr>
        <w:pStyle w:val="ListBullet"/>
      </w:pPr>
      <w:r>
        <w:t>pasar/rute asal dan bukti bertanggal</w:t>
      </w:r>
    </w:p>
    <w:p>
      <w:pPr>
        <w:pStyle w:val="ListBullet"/>
      </w:pPr>
      <w:r>
        <w:t>foto serta dokumen yang konsisten</w:t>
      </w:r>
    </w:p>
    <w:p>
      <w:pPr>
        <w:pStyle w:val="ListBullet"/>
      </w:pPr>
      <w:r>
        <w:t>persyaratan negara tujuan</w:t>
      </w:r>
    </w:p>
    <w:p>
      <w:pPr>
        <w:pStyle w:val="ListBullet"/>
      </w:pPr>
      <w:r>
        <w:t>biaya termasuk/tidak termasuk dan masa berlaku</w:t>
      </w:r>
    </w:p>
    <w:p>
      <w:pPr>
        <w:pStyle w:val="ListBullet"/>
      </w:pPr>
      <w:r>
        <w:t>jalur layanan/garansi bila relevan</w:t>
      </w:r>
    </w:p>
    <w:p>
      <w:pPr>
        <w:pStyle w:val="Heading2"/>
      </w:pPr>
      <w:r>
        <w:t>Bacaan terkait</w:t>
      </w:r>
    </w:p>
    <w:p>
      <w:pPr>
        <w:pStyle w:val="ListBullet"/>
      </w:pPr>
      <w:r>
        <w:t>verifikasi VIN dan foto kendaraan di Asia Tenggara: panduan verifikasi — https://id.autobridgeexport.com/guides/photo-vin-review-southeast-asia.html</w:t>
      </w:r>
    </w:p>
    <w:p>
      <w:pPr>
        <w:pStyle w:val="ListBullet"/>
      </w:pPr>
      <w:r>
        <w:t>Pengiriman kendaraan ke Asia Tenggara: memilih RoRo atau kontainer — https://id.autobridgeexport.com/guides/roro-container-shipping-southeast-asia.html</w:t>
      </w:r>
    </w:p>
    <w:p>
      <w:pPr/>
      <w:r>
        <w:t>ALT: Gambar referensi pengadaan MPV Tiongkok di Asia Tenggara untuk pembeli kendaraan internasional</w:t>
      </w:r>
    </w:p>
    <w:p>
      <w:pPr>
        <w:pStyle w:val="Heading1"/>
        <w:pageBreakBefore/>
        <w:bidi/>
        <w:jc w:val="right"/>
      </w:pPr>
      <w:r>
        <w:rPr>
          <w:rtl/>
        </w:rPr>
        <w:t>AR — العربية</w:t>
      </w:r>
    </w:p>
    <w:p>
      <w:pPr>
        <w:bidi/>
        <w:jc w:val="right"/>
      </w:pPr>
      <w:r>
        <w:rPr>
          <w:rtl/>
        </w:rPr>
        <w:t>SEO Title: شراء مركبات MPV صينية في جنوب شرق آسيا: دليل التحقق</w:t>
      </w:r>
    </w:p>
    <w:p>
      <w:pPr>
        <w:bidi/>
        <w:jc w:val="right"/>
      </w:pPr>
      <w:r>
        <w:rPr>
          <w:rtl/>
        </w:rPr>
        <w:t>Meta Description: في شراء مركبات MPV صينية في جنوب شرق آسيا تحقق بشكل منفصل من المركبة/العرض والأدلة ومتطلبات الوجهة والمخاطر قبل الدفع.</w:t>
      </w:r>
    </w:p>
    <w:p>
      <w:pPr>
        <w:bidi/>
        <w:jc w:val="right"/>
      </w:pPr>
      <w:r>
        <w:rPr>
          <w:rtl/>
        </w:rPr>
        <w:t>H1: شراء مركبات MPV صينية في جنوب شرق آسيا: التحقق من الصفقة قبل الدفع</w:t>
      </w:r>
    </w:p>
    <w:p>
      <w:pPr>
        <w:bidi/>
        <w:jc w:val="right"/>
      </w:pPr>
      <w:r>
        <w:rPr>
          <w:rtl/>
        </w:rPr>
        <w:t>يتناول هذا الدليل شراء مركبات MPV صينية في جنوب شرق آسيا. لا يحول قاعدة وطنية إلى قاعدة إقليمية؛ بل يجب التحقق من بلد الوجهة والميناء والمسار والمركبة الفعلية.</w:t>
      </w:r>
    </w:p>
    <w:p>
      <w:pPr>
        <w:bidi/>
        <w:jc w:val="right"/>
      </w:pPr>
      <w:r>
        <w:rPr>
          <w:rtl/>
        </w:rPr>
        <w:t>في جنوب شرق آسيا يُستخدم اسم المنطقة لتنظيم الأسئلة فقط، ولا يحل محل التحقق من البلد والميناء والمسار الفعلي.</w:t>
      </w:r>
    </w:p>
    <w:p>
      <w:pPr>
        <w:pStyle w:val="Heading2"/>
        <w:bidi/>
        <w:jc w:val="right"/>
      </w:pPr>
      <w:r>
        <w:rPr>
          <w:rtl/>
        </w:rPr>
        <w:t>فصل نطاق كل دليل</w:t>
      </w:r>
    </w:p>
    <w:p>
      <w:pPr>
        <w:bidi/>
        <w:jc w:val="right"/>
      </w:pPr>
      <w:r>
        <w:t>عند مراجعة «شراء مركبات MPV صينية في جنوب شرق آسيا» اربط هذا البند بالمركبة أو المسار أو الوجهة الفعلية: وثائق الشركة المصنعة تثبت سوقاً أو نسخة محددة، وهيئة السلامة تغطي المركبة التي اختبرتها، والجهة التنظيمية تحدد متطلبات نطاقها. لا تجمع أفضل الأرقام من أسواق مختلفة لتكوين مواصفة عالمية غير موجودة.</w:t>
      </w:r>
    </w:p>
    <w:p>
      <w:pPr>
        <w:pStyle w:val="Heading2"/>
        <w:bidi/>
        <w:jc w:val="right"/>
      </w:pPr>
      <w:r>
        <w:rPr>
          <w:rtl/>
        </w:rPr>
        <w:t>الأدلة التي يجب ربطها بالمركبة أو الصفقة</w:t>
      </w:r>
    </w:p>
    <w:p>
      <w:pPr>
        <w:pStyle w:val="ListBullet"/>
        <w:bidi/>
        <w:jc w:val="right"/>
      </w:pPr>
      <w:r>
        <w:rPr>
          <w:rtl/>
        </w:rPr>
        <w:t>رقم VIN/النسخة ومرجع الإنتاج بدقة</w:t>
      </w:r>
    </w:p>
    <w:p>
      <w:pPr>
        <w:pStyle w:val="ListBullet"/>
        <w:bidi/>
        <w:jc w:val="right"/>
      </w:pPr>
      <w:r>
        <w:rPr>
          <w:rtl/>
        </w:rPr>
        <w:t>سوق البيع الأصلي والمصدر الرسمي للمواصفات</w:t>
      </w:r>
    </w:p>
    <w:p>
      <w:pPr>
        <w:pStyle w:val="ListBullet"/>
        <w:bidi/>
        <w:jc w:val="right"/>
      </w:pPr>
      <w:r>
        <w:rPr>
          <w:rtl/>
        </w:rPr>
        <w:t>نظام الدفع وناقل الحركة والبطارية/الشحن أو الوقود عند الحاجة</w:t>
      </w:r>
    </w:p>
    <w:p>
      <w:pPr>
        <w:pStyle w:val="ListBullet"/>
        <w:bidi/>
        <w:jc w:val="right"/>
      </w:pPr>
      <w:r>
        <w:rPr>
          <w:rtl/>
        </w:rPr>
        <w:t>صور وملصقات ووثائق تشير إلى نفس المركبة</w:t>
      </w:r>
    </w:p>
    <w:p>
      <w:pPr>
        <w:pStyle w:val="Heading2"/>
        <w:bidi/>
        <w:jc w:val="right"/>
      </w:pPr>
      <w:r>
        <w:rPr>
          <w:rtl/>
        </w:rPr>
        <w:t>تحديد ما يتم شراؤه بدقة</w:t>
      </w:r>
    </w:p>
    <w:p>
      <w:pPr>
        <w:bidi/>
        <w:jc w:val="right"/>
      </w:pPr>
      <w:r>
        <w:t>استخدم «شراء مركبات MPV صينية في جنوب شرق آسيا» كنطاق واضح لهذا القرار: ابدأ برقم VIN أو النسخة الدقيقة وسوق المصدر والتكوين الفني وبلد الوجهة والنطاق التجاري. إذا تغيرت المركبة أو الشروط بعد عرض السعر، فأعد التحقق من البنود المتأثرة.</w:t>
      </w:r>
    </w:p>
    <w:p>
      <w:pPr>
        <w:pStyle w:val="Heading2"/>
        <w:bidi/>
        <w:jc w:val="right"/>
      </w:pPr>
      <w:r>
        <w:rPr>
          <w:rtl/>
        </w:rPr>
        <w:t>التحقق من بلد الوجهة بشكل منفصل</w:t>
      </w:r>
    </w:p>
    <w:p>
      <w:pPr>
        <w:bidi/>
        <w:jc w:val="right"/>
      </w:pPr>
      <w:r>
        <w:t>عند مراجعة «شراء مركبات MPV صينية في جنوب شرق آسيا» اربط هذا البند بالمركبة أو المسار أو الوجهة الفعلية: يجب تأكيد أهلية الاستيراد والتسجيل والاستخدام ومسار الخدمة والضمان في بلد الوجهة الفعلي. صحة مواصفات سوق المصدر لا تعني تلقائياً السماح بالتسجيل في بلد آخر.</w:t>
      </w:r>
    </w:p>
    <w:p>
      <w:pPr>
        <w:pStyle w:val="Heading2"/>
        <w:bidi/>
        <w:jc w:val="right"/>
      </w:pPr>
      <w:r>
        <w:rPr>
          <w:rtl/>
        </w:rPr>
        <w:t>تحويل المواصفات إلى قرار شراء</w:t>
      </w:r>
    </w:p>
    <w:p>
      <w:pPr>
        <w:bidi/>
        <w:jc w:val="right"/>
      </w:pPr>
      <w:r>
        <w:t>استخدم «شراء مركبات MPV صينية في جنوب شرق آسيا» كنطاق واضح لهذا القرار: ركز على المعلومات التي تؤثر في التسجيل والوقود/الشحن والحمولة/الركاب والسلامة وقطع الغيار والتشخيص والبرمجيات والضمان والصيانة وتكلفة توقف المركبة. أي نقطة جوهرية بلا دليل تبقى غير متحققة.</w:t>
      </w:r>
    </w:p>
    <w:p>
      <w:pPr>
        <w:pStyle w:val="Heading2"/>
        <w:bidi/>
        <w:jc w:val="right"/>
      </w:pPr>
      <w:r>
        <w:rPr>
          <w:rtl/>
        </w:rPr>
        <w:t>طلب عرض سعر قابل للتدقيق</w:t>
      </w:r>
    </w:p>
    <w:p>
      <w:pPr>
        <w:bidi/>
        <w:jc w:val="right"/>
      </w:pPr>
      <w:r>
        <w:t>عند مراجعة «شراء مركبات MPV صينية في جنوب شرق آسيا» اربط هذا البند بالمركبة أو المسار أو الوجهة الفعلية: يجب أن يشير عرض السعر والصور واللوحات والوثائق إلى المركبة نفسها. دوّن مكان Incoterm والتكاليف المشمولة وغير المشمولة ومدة صلاحية العرض ومراحل الدفع. لا تقارن الأسعار إلا بعد توحيد المركبة والنطاق التجاري.</w:t>
      </w:r>
    </w:p>
    <w:p>
      <w:pPr>
        <w:pStyle w:val="Heading2"/>
        <w:bidi/>
        <w:jc w:val="right"/>
      </w:pPr>
      <w:r>
        <w:rPr>
          <w:rtl/>
        </w:rPr>
        <w:t>قاعدة التوقف قبل الدفع</w:t>
      </w:r>
    </w:p>
    <w:p>
      <w:pPr>
        <w:bidi/>
        <w:jc w:val="right"/>
      </w:pPr>
      <w:r>
        <w:t>استخدم «شراء مركبات MPV صينية في جنوب شرق آسيا» كنطاق واضح لهذا القرار: لا تُفرج عن الأموال إذا بقيت نقطة بلا دليل قد تمنع التسجيل أو الاستخدام الآمن أو الشحن/التزود بالوقود أو الصيانة أو التسليم. اطلب الوثيقة الناقصة أو أبقِ عدم اليقين واضحاً في ملف الصفقة.</w:t>
      </w:r>
    </w:p>
    <w:p>
      <w:pPr>
        <w:pStyle w:val="Heading2"/>
        <w:bidi/>
        <w:jc w:val="right"/>
      </w:pPr>
      <w:r>
        <w:rPr>
          <w:rtl/>
        </w:rPr>
        <w:t>الفحوص التي يجب حفظها في ملف الصفقة</w:t>
      </w:r>
    </w:p>
    <w:p>
      <w:pPr>
        <w:pStyle w:val="ListBullet"/>
        <w:bidi/>
        <w:jc w:val="right"/>
      </w:pPr>
      <w:r>
        <w:rPr>
          <w:rtl/>
        </w:rPr>
        <w:t>رقم VIN أو النسخة/هوية الصفقة</w:t>
      </w:r>
    </w:p>
    <w:p>
      <w:pPr>
        <w:pStyle w:val="ListBullet"/>
        <w:bidi/>
        <w:jc w:val="right"/>
      </w:pPr>
      <w:r>
        <w:rPr>
          <w:rtl/>
        </w:rPr>
        <w:t>سوق/مسار المصدر ودليل مؤرخ</w:t>
      </w:r>
    </w:p>
    <w:p>
      <w:pPr>
        <w:pStyle w:val="ListBullet"/>
        <w:bidi/>
        <w:jc w:val="right"/>
      </w:pPr>
      <w:r>
        <w:rPr>
          <w:rtl/>
        </w:rPr>
        <w:t>صور ووثائق متطابقة</w:t>
      </w:r>
    </w:p>
    <w:p>
      <w:pPr>
        <w:pStyle w:val="ListBullet"/>
        <w:bidi/>
        <w:jc w:val="right"/>
      </w:pPr>
      <w:r>
        <w:rPr>
          <w:rtl/>
        </w:rPr>
        <w:t>متطلبات بلد الوجهة</w:t>
      </w:r>
    </w:p>
    <w:p>
      <w:pPr>
        <w:pStyle w:val="ListBullet"/>
        <w:bidi/>
        <w:jc w:val="right"/>
      </w:pPr>
      <w:r>
        <w:rPr>
          <w:rtl/>
        </w:rPr>
        <w:t>التكاليف المشمولة وغير المشمولة والصلاحية</w:t>
      </w:r>
    </w:p>
    <w:p>
      <w:pPr>
        <w:pStyle w:val="ListBullet"/>
        <w:bidi/>
        <w:jc w:val="right"/>
      </w:pPr>
      <w:r>
        <w:rPr>
          <w:rtl/>
        </w:rPr>
        <w:t>مسار الخدمة/الضمان عند الحاجة</w:t>
      </w:r>
    </w:p>
    <w:p>
      <w:pPr>
        <w:pStyle w:val="Heading2"/>
      </w:pPr>
      <w:r>
        <w:t>أدلة ذات صلة</w:t>
      </w:r>
    </w:p>
    <w:p>
      <w:pPr>
        <w:pStyle w:val="ListBullet"/>
      </w:pPr>
      <w:r>
        <w:t>التحقق من VIN وصور المركبة في جنوب شرق آسيا: دليل التحقق — https://ar.autobridgeexport.com/guides/photo-vin-review-southeast-asia.html</w:t>
      </w:r>
    </w:p>
    <w:p>
      <w:pPr>
        <w:pStyle w:val="ListBullet"/>
      </w:pPr>
      <w:r>
        <w:t>شحن المركبات إلى جنوب شرق آسيا: الاختيار بين الرورو والحاوية — https://ar.autobridgeexport.com/guides/roro-container-shipping-southeast-asia.html</w:t>
      </w:r>
    </w:p>
    <w:p>
      <w:pPr>
        <w:bidi/>
        <w:jc w:val="right"/>
      </w:pPr>
      <w:r>
        <w:t>ALT: صورة مرجعية حول شراء مركبات MPV صينية في جنوب شرق آسيا للمشترين الدوليين للمركبات</w:t>
      </w:r>
    </w:p>
    <w:p>
      <w:pPr>
        <w:pStyle w:val="Heading1"/>
        <w:pageBreakBefore/>
      </w:pPr>
      <w:r>
        <w:t>ZH — 中文</w:t>
      </w:r>
    </w:p>
    <w:p>
      <w:pPr/>
      <w:r>
        <w:t>SEO Title: 东南亚中国MPV采购：跨境买家交易核验指南</w:t>
      </w:r>
    </w:p>
    <w:p>
      <w:pPr/>
      <w:r>
        <w:t>Meta Description: 针对东南亚中国MPV采购，把交易对象、来源证据、目的国要求和商业边界分开核对，重大未知项关闭以后再付款。</w:t>
      </w:r>
    </w:p>
    <w:p>
      <w:pPr/>
      <w:r>
        <w:t>H1: 东南亚中国MPV采购：先建立交易证据，再比较价格或方案</w:t>
      </w:r>
    </w:p>
    <w:p>
      <w:pPr/>
      <w:r>
        <w:t>在东南亚做中国MPV采购，只有把问题落到具体国家、港口/路线或车辆，采购判断才有实际价值。东南亚MPV采购应先确认目的国的转向位置、车辆类别以及真实乘员/行李场景，再比较动力、道路/停车尺寸、维修和零件，而不是套用一个区域化的“MPV模板”。 东南亚尤其需要逐国核对转向位置、注册、排放/税制、港口路线、充电/燃油基础条件以及售后覆盖。区域层面的判断应告诉买家到具体国家还要查什么，而不是编造一套“东南亚统一规则”。</w:t>
      </w:r>
    </w:p>
    <w:p>
      <w:pPr>
        <w:pStyle w:val="Heading2"/>
      </w:pPr>
      <w:r>
        <w:t>满员和行李一起测试</w:t>
      </w:r>
    </w:p>
    <w:p>
      <w:pPr/>
      <w:r>
        <w:t>把车辆证据、物流证据、目的国监管和商业报价分成四层，避免让一份文件承担它不能证明的事情。任何国家级来源如果被用作东南亚示例，都必须保留国家标签；真实交易仍要替换成目的地当前来源。</w:t>
      </w:r>
    </w:p>
    <w:p>
      <w:pPr>
        <w:pStyle w:val="Heading2"/>
      </w:pPr>
      <w:r>
        <w:t>先区分家庭与商业载客</w:t>
      </w:r>
    </w:p>
    <w:p>
      <w:pPr/>
      <w:r>
        <w:t>在文件顶部先写目的地和商业边界，然后再核对座位布局、满员行李空间、注册类别、动力、气候、轮胎、维修与商业停工风险。顺序很重要：供应商可能给出一个完全正确的答案，但这个答案属于另一国家、另一港口或另一辆车，对当前交易仍然没有用。</w:t>
      </w:r>
    </w:p>
    <w:p>
      <w:pPr>
        <w:pStyle w:val="Heading2"/>
      </w:pPr>
      <w:r>
        <w:t>动力必须匹配路线与气候</w:t>
      </w:r>
    </w:p>
    <w:p>
      <w:pPr/>
      <w:r>
        <w:t>所谓“更便宜”有时只是报价边界更小。比较中国MPV采购时必须同车辆/运输对象、同目的地、同责任和同日期假设；无法统一的项目就单独计入不确定性。</w:t>
      </w:r>
    </w:p>
    <w:p>
      <w:pPr>
        <w:pStyle w:val="Heading2"/>
      </w:pPr>
      <w:r>
        <w:t>约束系统与注册证据分开</w:t>
      </w:r>
    </w:p>
    <w:p>
      <w:pPr/>
      <w:r>
        <w:t>时间也要进入证据。报价有效期、订舱、验车、文件准备、港口停留/仓储和内陆交接都会改变可行性。所有金额和条件旁边写日期。本文不编造统一运费、税费或车价，因为这些数字只属于具体交易。</w:t>
      </w:r>
    </w:p>
    <w:p>
      <w:pPr>
        <w:pStyle w:val="Heading2"/>
      </w:pPr>
      <w:r>
        <w:t>维修覆盖也是容量的一部分</w:t>
      </w:r>
    </w:p>
    <w:p>
      <w:pPr/>
      <w:r>
        <w:t>好的采购文件不应该依赖原销售人员的记忆。另一个人应能从书面资料复原车辆/运输身份、目的地、证据、商业边界和未解决项目。这样才能让核验结果独立复查。</w:t>
      </w:r>
    </w:p>
    <w:p>
      <w:pPr>
        <w:pStyle w:val="Heading2"/>
      </w:pPr>
      <w:r>
        <w:t>比较准确车身与座椅布局</w:t>
      </w:r>
    </w:p>
    <w:p>
      <w:pPr/>
      <w:r>
        <w:t>文件很多不等于交易准备完成。放行取决于重大未知项是否关闭。使用时刷新权威来源、目的地确认和实时商业数字；一旦不再支持交易，就暂停并更新。</w:t>
      </w:r>
    </w:p>
    <w:p>
      <w:pPr>
        <w:pStyle w:val="Heading2"/>
      </w:pPr>
      <w:r>
        <w:t>用一整天运营模拟做最终判断</w:t>
      </w:r>
    </w:p>
    <w:p>
      <w:pPr/>
      <w:r>
        <w:t>把东南亚层面的核验框架当作桥梁，而不是当地尽调的替代品。它应该减少不确定性、组织责任并指出下一步国家级核验；一旦地区句子在没有来源的情况下变成国家承诺，就越过了边界。</w:t>
      </w:r>
    </w:p>
    <w:p>
      <w:pPr>
        <w:pStyle w:val="Heading2"/>
      </w:pPr>
      <w:r>
        <w:t>东南亚买家核验顺序真正改变在哪里</w:t>
      </w:r>
    </w:p>
    <w:p>
      <w:pPr/>
      <w:r>
        <w:t>东南亚中国MPV采购应该改变买家的核验顺序，而不仅是改变地名。重点放在实际乘员、满员行李、车辆/运营类别、动力、轮胎、气候负荷、零件和恢复时间。东南亚MPV采购应先确认目的国的转向位置、车辆类别以及真实乘员/行李场景，再比较动力、道路/停车尺寸、维修和零件，而不是套用一个区域化的“MPV模板”。 这样不同地区会形成各自的风险路径，同时仍然共享“证据带日期、未知项可见、范围不泛化”的质量底线。</w:t>
      </w:r>
    </w:p>
    <w:p>
      <w:pPr>
        <w:pStyle w:val="Heading2"/>
      </w:pPr>
      <w:r>
        <w:t>把“东南亚中国MPV采购”放进真实报价场景</w:t>
      </w:r>
    </w:p>
    <w:p>
      <w:pPr/>
      <w:r>
        <w:t>为东南亚这笔交易画责任交接图：供应商负责什么，承运/检验/技术证据由谁负责，目的地又由谁确认当地执行。把实际乘员、满员行李、车辆/运营类别、动力、轮胎、气候负荷、零件和恢复时间逐项放进去。东南亚MPV采购应先确认目的国的转向位置、车辆类别以及真实乘员/行李场景，再比较动力、道路/停车尺寸、维修和零件，而不是套用一个区域化的“MPV模板”。 这样可以防止关键任务掉在两个机构之间，因为双方都以为对方已经检查过。</w:t>
      </w:r>
    </w:p>
    <w:p>
      <w:pPr>
        <w:pStyle w:val="Heading2"/>
      </w:pPr>
      <w:r>
        <w:t>东南亚付款前的停止条件</w:t>
      </w:r>
    </w:p>
    <w:p>
      <w:pPr/>
      <w:r>
        <w:t>最后判断这套东南亚核验是否真正改变采购决定：它应指出该地区特有的不确定性、下一位当地核验责任方，以及什么时候不能付款。流程可以长期保留，交易事实必须带日期；关键来源无法访问或出现矛盾，就暂停结论而不是用地区化句子补空白。</w:t>
      </w:r>
    </w:p>
    <w:p>
      <w:pPr>
        <w:pStyle w:val="Heading2"/>
      </w:pPr>
      <w:r>
        <w:t>付款前应保存的交易证据</w:t>
      </w:r>
    </w:p>
    <w:p>
      <w:pPr>
        <w:pStyle w:val="ListBullet"/>
      </w:pPr>
      <w:r>
        <w:t>东南亚中国MPV采购：具体目的国、港口/指定地点与交易范围</w:t>
      </w:r>
    </w:p>
    <w:p>
      <w:pPr>
        <w:pStyle w:val="ListBullet"/>
      </w:pPr>
      <w:r>
        <w:t>东南亚中国MPV采购：涉及车辆时的VIN/具体版本与来源市场</w:t>
      </w:r>
    </w:p>
    <w:p>
      <w:pPr>
        <w:pStyle w:val="ListBullet"/>
      </w:pPr>
      <w:r>
        <w:t>东南亚中国MPV采购：重大技术、物流或监管结论的带日期来源</w:t>
      </w:r>
    </w:p>
    <w:p>
      <w:pPr>
        <w:pStyle w:val="ListBullet"/>
      </w:pPr>
      <w:r>
        <w:t>东南亚中国MPV采购：包含/不包含费用以及每个交接点的负责人</w:t>
      </w:r>
    </w:p>
    <w:p>
      <w:pPr>
        <w:pStyle w:val="ListBullet"/>
      </w:pPr>
      <w:r>
        <w:t>东南亚中国MPV采购：当前路线、报价有效期、时间假设与交易专属金额</w:t>
      </w:r>
    </w:p>
    <w:p>
      <w:pPr>
        <w:pStyle w:val="ListBullet"/>
      </w:pPr>
      <w:r>
        <w:t>东南亚中国MPV采购：目的国代理/主管机构/维修方对当地要求的确认</w:t>
      </w:r>
    </w:p>
    <w:p>
      <w:pPr>
        <w:pStyle w:val="ListBullet"/>
      </w:pPr>
      <w:r>
        <w:t>东南亚中国MPV采购：差异与重大未知项清单、负责人和关闭节点</w:t>
      </w:r>
    </w:p>
    <w:p>
      <w:pPr>
        <w:pStyle w:val="Heading2"/>
      </w:pPr>
      <w:r>
        <w:t>相关阅读</w:t>
      </w:r>
    </w:p>
    <w:p>
      <w:pPr>
        <w:pStyle w:val="ListBullet"/>
      </w:pPr>
      <w:r>
        <w:t>东南亚VIN与实车照片核验：跨境买家交易核验指南 — https://zh.autobridgeexport.com/guides/photo-vin-review-southeast-asia.html</w:t>
      </w:r>
    </w:p>
    <w:p>
      <w:pPr>
        <w:pStyle w:val="ListBullet"/>
      </w:pPr>
      <w:r>
        <w:t>东南亚滚装船与集装箱运输：跨境买家交易核验指南 — https://zh.autobridgeexport.com/guides/roro-container-shipping-southeast-asia.html</w:t>
      </w:r>
    </w:p>
    <w:p>
      <w:pPr/>
      <w:r>
        <w:t>ALT: 面向国际汽车买家的东南亚中国MPV采购参考图片</w:t>
      </w:r>
    </w:p>
    <w:p>
      <w:pPr>
        <w:pStyle w:val="Heading1"/>
      </w:pPr>
      <w:r>
        <w:t>PACKAGE-LEVEL PUBLICATION QA — NOT PUBLIC COPY</w:t>
      </w:r>
    </w:p>
    <w:p>
      <w:pPr>
        <w:pStyle w:val="ListBullet"/>
      </w:pPr>
      <w:r>
        <w:t>Re-open every critical source URL immediately before publication and place any unsupported claim on hold.</w:t>
      </w:r>
    </w:p>
    <w:p>
      <w:pPr>
        <w:pStyle w:val="ListBullet"/>
      </w:pPr>
      <w:r>
        <w:t>Confirm all 12 locale pages contain one SEO title, one meta description, one H1, complete body copy and a descriptive ALT field.</w:t>
      </w:r>
    </w:p>
    <w:p>
      <w:pPr>
        <w:pStyle w:val="ListBullet"/>
      </w:pPr>
      <w:r>
        <w:t>Confirm no locale contains editorial placeholders or instructions inside public copy.</w:t>
      </w:r>
    </w:p>
    <w:p>
      <w:pPr>
        <w:pStyle w:val="ListBullet"/>
      </w:pPr>
      <w:r>
        <w:t>Confirm regional pages preserve country-specific boundaries and do not convert a national rule into a regional claim.</w:t>
      </w:r>
    </w:p>
    <w:p>
      <w:pPr>
        <w:pStyle w:val="ListBullet"/>
      </w:pPr>
      <w:r>
        <w:t>Confirm URL, self-canonical and reciprocal hreflang point to the existing page set; do not create duplicate URLs.</w:t>
      </w:r>
    </w:p>
    <w:p>
      <w:pPr>
        <w:pStyle w:val="ListBullet"/>
      </w:pPr>
      <w:r>
        <w:t>Human final review remains PENDING USER APPROVAL until a named reviewer approves publication.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5"/>
      </w:rPr>
      <w:t>Deployment AI has no editorial authority · Human final review PENDING USER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sz w:val="16"/>
      </w:rPr>
      <w:t>AutoBridge Export · SEO Content Repair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Noto Sans" w:hAnsi="Noto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Noto Sans" w:hAnsi="Noto San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Buy a Chinese MPV for Southeast Asia by Mission</dc:title>
  <dc:subject>AutoBridge Batch 2 v3 content repair</dc:subject>
  <dc:creator>python-docx</dc:creator>
  <cp:keywords/>
  <dc:description>Independent multilingual QA and PR review required before publication.</dc:description>
  <cp:lastModifiedBy/>
  <cp:revision>1</cp:revision>
  <dcterms:created xsi:type="dcterms:W3CDTF">2013-12-23T23:15:00Z</dcterms:created>
  <dcterms:modified xsi:type="dcterms:W3CDTF">2013-12-23T23:15:00Z</dcterms:modified>
  <cp:category/>
</cp:coreProperties>
</file>