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9AA4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ComboSystem的示例图</w:t>
      </w:r>
    </w:p>
    <w:p w14:paraId="31F56EB9">
      <w:r>
        <w:drawing>
          <wp:inline distT="0" distB="0" distL="114300" distR="114300">
            <wp:extent cx="5269865" cy="3143250"/>
            <wp:effectExtent l="0" t="0" r="698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E22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我们先添加Tag,代码如下</w:t>
      </w:r>
    </w:p>
    <w:p w14:paraId="6239D8BF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A000A0"/>
          <w:sz w:val="19"/>
          <w:szCs w:val="24"/>
          <w:highlight w:val="white"/>
        </w:rPr>
        <w:t>WARRIOR_API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UE_DECLARE_GAMEPLAY_TAG_EXTERN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(InputTag_LightAttack_Axe);</w:t>
      </w:r>
    </w:p>
    <w:p w14:paraId="6C636A9B">
      <w:pP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A000A0"/>
          <w:sz w:val="19"/>
          <w:szCs w:val="24"/>
          <w:highlight w:val="white"/>
        </w:rPr>
        <w:t>WARRIOR_API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UE_DECLARE_GAMEPLAY_TAG_EXTERN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(InputTag_HeavyAttack_Axe);</w:t>
      </w:r>
    </w:p>
    <w:p w14:paraId="0F842F33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A000A0"/>
          <w:sz w:val="19"/>
          <w:szCs w:val="24"/>
          <w:highlight w:val="white"/>
        </w:rPr>
        <w:t>WARRIOR_API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UE_DECLARE_GAMEPLAY_TAG_EXTERN</w:t>
      </w:r>
      <w:r>
        <w:rPr>
          <w:rFonts w:hint="eastAsia" w:ascii="Cascadia Mono" w:hAnsi="Cascadia Mono" w:eastAsia="Cascadia Mono"/>
          <w:b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Player_Ability_Attack_Light_Axe</w:t>
      </w:r>
      <w:r>
        <w:rPr>
          <w:rFonts w:hint="eastAsia" w:ascii="Cascadia Mono" w:hAnsi="Cascadia Mono" w:eastAsia="Cascadia Mono"/>
          <w:b/>
          <w:color w:val="000000"/>
          <w:sz w:val="19"/>
          <w:szCs w:val="24"/>
          <w:highlight w:val="white"/>
        </w:rPr>
        <w:t>)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65EF44D">
      <w:pP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A000A0"/>
          <w:sz w:val="19"/>
          <w:szCs w:val="24"/>
          <w:highlight w:val="white"/>
        </w:rPr>
        <w:t>WARRIOR_API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UE_DECLARE_GAMEPLAY_TAG_EXTERN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(Player_Ability_Attack_Heavy_Axe);</w:t>
      </w:r>
    </w:p>
    <w:p w14:paraId="4FBFE497">
      <w:pP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</w:p>
    <w:p w14:paraId="227FB618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A000A0"/>
          <w:sz w:val="19"/>
          <w:szCs w:val="24"/>
          <w:highlight w:val="white"/>
        </w:rPr>
        <w:t>UE_DEFINE_GAMEPLAY_TAG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InputTag_LightAttack_Axe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color w:val="A31515"/>
          <w:sz w:val="19"/>
          <w:szCs w:val="24"/>
          <w:highlight w:val="white"/>
        </w:rPr>
        <w:t>"InputTag.LightAttack.Axe"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A7AC4D4">
      <w:pP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A000A0"/>
          <w:sz w:val="19"/>
          <w:szCs w:val="24"/>
          <w:highlight w:val="white"/>
        </w:rPr>
        <w:t>UE_DEFINE_GAMEPLAY_TAG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InputTag_HeavyAttack_Axe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color w:val="A31515"/>
          <w:sz w:val="19"/>
          <w:szCs w:val="24"/>
          <w:highlight w:val="white"/>
        </w:rPr>
        <w:t>"InputTag.HeavyAttack.Axe"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2B99157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A000A0"/>
          <w:sz w:val="19"/>
          <w:szCs w:val="24"/>
          <w:highlight w:val="white"/>
        </w:rPr>
        <w:t>UE_DEFINE_GAMEPLAY_TAG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Player_Ability_Attack_Light_Axe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color w:val="A31515"/>
          <w:sz w:val="19"/>
          <w:szCs w:val="24"/>
          <w:highlight w:val="white"/>
        </w:rPr>
        <w:t>"Player.Ability.Attack.Light.Axe"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0AFD3DE">
      <w:pP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A000A0"/>
          <w:sz w:val="19"/>
          <w:szCs w:val="24"/>
          <w:highlight w:val="white"/>
        </w:rPr>
        <w:t>UE_DEFINE_GAMEPLAY_TAG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Player_Ability_Attack_Heavy_Axe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color w:val="A31515"/>
          <w:sz w:val="19"/>
          <w:szCs w:val="24"/>
          <w:highlight w:val="white"/>
        </w:rPr>
        <w:t>"Player.Ability.Attack.Heavy.Axe"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F7E6128">
      <w:pP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  <w:t>然后建立一个GameplayAbilityBlueprint节点，父类是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UWarriorHeroGameplayAbility</w:t>
      </w:r>
      <w: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  <w:t>,命名GA_Hero_LightAttackMaster，然后设置tag</w:t>
      </w:r>
    </w:p>
    <w:p w14:paraId="566FC2A9">
      <w:r>
        <w:drawing>
          <wp:inline distT="0" distB="0" distL="114300" distR="114300">
            <wp:extent cx="4867275" cy="1647825"/>
            <wp:effectExtent l="0" t="0" r="952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BB02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然后打开GA_Hero_EquipAxe和GA_Hero_UnequipAxe这2个能力节点，添加一下阻止的能力。在装备武器的时候，不能攻击</w:t>
      </w:r>
    </w:p>
    <w:p w14:paraId="6C298E73">
      <w:r>
        <w:drawing>
          <wp:inline distT="0" distB="0" distL="114300" distR="114300">
            <wp:extent cx="4629150" cy="211455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1B6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然后配置一下InpuntConfig，新建立一个InputAction, 取名叫IA_LightAttck_Axe，然后打开DA_InputConfig，配置如下</w:t>
      </w:r>
    </w:p>
    <w:p w14:paraId="677D73E3">
      <w:r>
        <w:drawing>
          <wp:inline distT="0" distB="0" distL="114300" distR="114300">
            <wp:extent cx="5269865" cy="1101090"/>
            <wp:effectExtent l="0" t="0" r="6985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101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41511">
      <w:pP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</w:pPr>
      <w:r>
        <w:rPr>
          <w:rFonts w:hint="eastAsia"/>
          <w:lang w:val="en-US" w:eastAsia="zh-CN"/>
        </w:rPr>
        <w:t>通过</w:t>
      </w:r>
      <w: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  <w:t>GA_Hero_LightAttackMaster建立一个子类，名称为GA_Hero_LightAttack_Axe，打开这个蓝图节点，设置Tag</w:t>
      </w:r>
    </w:p>
    <w:p w14:paraId="6F821C8E">
      <w:r>
        <w:drawing>
          <wp:inline distT="0" distB="0" distL="114300" distR="114300">
            <wp:extent cx="5229225" cy="3505200"/>
            <wp:effectExtent l="0" t="0" r="952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8D4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然后打开，给DefaultWeaponAbility添加一个新的能力</w:t>
      </w:r>
    </w:p>
    <w:p w14:paraId="528BA4E1">
      <w:r>
        <w:drawing>
          <wp:inline distT="0" distB="0" distL="114300" distR="114300">
            <wp:extent cx="5271770" cy="2146300"/>
            <wp:effectExtent l="0" t="0" r="5080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14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36E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然后打开IMC_Axe这个,这个是装备武器之后使用的MappingContext,添加一个左键的消息</w:t>
      </w:r>
    </w:p>
    <w:p w14:paraId="73A2DC76">
      <w:r>
        <w:drawing>
          <wp:inline distT="0" distB="0" distL="114300" distR="114300">
            <wp:extent cx="5268595" cy="1683385"/>
            <wp:effectExtent l="0" t="0" r="8255" b="1206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68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111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然后打开GA_Hero_LightAttackMaster，选择适当的InstancePolicy</w:t>
      </w:r>
    </w:p>
    <w:p w14:paraId="7F28E22F">
      <w:r>
        <w:drawing>
          <wp:inline distT="0" distB="0" distL="114300" distR="114300">
            <wp:extent cx="5274310" cy="2035175"/>
            <wp:effectExtent l="0" t="0" r="2540" b="317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3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A9DD7">
      <w:pPr>
        <w:tabs>
          <w:tab w:val="left" w:pos="6507"/>
        </w:tabs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然后添加一个变量，类型如下，并且是一个Map,变量取名AttackMontageMap,然后在建立一个本地变量CurrentLightAttackComboCount,默认值=1</w:t>
      </w:r>
    </w:p>
    <w:p w14:paraId="419F04F9">
      <w:r>
        <w:drawing>
          <wp:inline distT="0" distB="0" distL="114300" distR="114300">
            <wp:extent cx="4610100" cy="299085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7BD0C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这个就是LightAttackMaster的蓝图逻辑</w:t>
      </w:r>
    </w:p>
    <w:p w14:paraId="6AD39ED7">
      <w:r>
        <w:drawing>
          <wp:inline distT="0" distB="0" distL="114300" distR="114300">
            <wp:extent cx="5266690" cy="2443480"/>
            <wp:effectExtent l="0" t="0" r="10160" b="1397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4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A544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打开GA_Hero_LightAttack_Axe,填充上4个lightAttack的Montage,确保EnableRootMotion被勾上。这些建立的montage可以修改播放的速度。</w:t>
      </w:r>
    </w:p>
    <w:p w14:paraId="43B9715D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2795905"/>
            <wp:effectExtent l="0" t="0" r="4445" b="444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9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84D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然后新建立一个Slot，名称叫FullBodySlot，使用这个slot</w:t>
      </w:r>
    </w:p>
    <w:p w14:paraId="09A6D9A9">
      <w:r>
        <w:drawing>
          <wp:inline distT="0" distB="0" distL="114300" distR="114300">
            <wp:extent cx="5191125" cy="2076450"/>
            <wp:effectExtent l="0" t="0" r="9525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D53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然后打开ABP_Hero，把新添加的FullBodySlot加上去</w:t>
      </w:r>
    </w:p>
    <w:p w14:paraId="09C813C3">
      <w:pPr>
        <w:rPr>
          <w:rFonts w:hint="default"/>
          <w:lang w:val="en-US" w:eastAsia="zh-CN"/>
        </w:rPr>
      </w:pPr>
    </w:p>
    <w:p w14:paraId="575CE11C">
      <w:pPr>
        <w:rPr>
          <w:rFonts w:hint="eastAsia"/>
          <w:lang w:val="en-US" w:eastAsia="zh-CN"/>
        </w:rPr>
      </w:pPr>
    </w:p>
    <w:p w14:paraId="0BD8ACAD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1770" cy="2778125"/>
            <wp:effectExtent l="0" t="0" r="5080" b="317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77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80EB5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HeavyAttackAbility</w:t>
      </w:r>
    </w:p>
    <w:p w14:paraId="154B73DC">
      <w:pP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</w:pPr>
      <w:r>
        <w:rPr>
          <w:rFonts w:hint="eastAsia"/>
          <w:lang w:val="en-US" w:eastAsia="zh-CN"/>
        </w:rPr>
        <w:t>首先建立一个GA_Hero_HeavyAttackMaster的蓝图能力，父类是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UWarriorHeroGameplayAbility</w:t>
      </w:r>
    </w:p>
    <w:p w14:paraId="50ADF5D9">
      <w:pPr>
        <w:rPr>
          <w:rFonts w:hint="default"/>
          <w:lang w:val="en-US" w:eastAsia="zh-CN"/>
        </w:rPr>
      </w:pPr>
      <w: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  <w:t>然后，通过</w:t>
      </w:r>
      <w:r>
        <w:rPr>
          <w:rFonts w:hint="eastAsia"/>
          <w:lang w:val="en-US" w:eastAsia="zh-CN"/>
        </w:rPr>
        <w:t>GA_Hero_HeavyAttackMaster 在建立一个GA_Hero_HeavyAttack_Axe子类，打开GA_Hero_HeavyAttackMaster，添加上Tag和选择InstancePolicy</w:t>
      </w:r>
    </w:p>
    <w:p w14:paraId="366F40CA">
      <w:r>
        <w:drawing>
          <wp:inline distT="0" distB="0" distL="114300" distR="114300">
            <wp:extent cx="5272405" cy="1665605"/>
            <wp:effectExtent l="0" t="0" r="4445" b="1079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66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861DD">
      <w:r>
        <w:drawing>
          <wp:inline distT="0" distB="0" distL="114300" distR="114300">
            <wp:extent cx="4733925" cy="1638300"/>
            <wp:effectExtent l="0" t="0" r="9525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B60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然后建立一个InputAction,取名 IA_HeavyAttck_Axe，然后打开IMC_Axe，绑定输入</w:t>
      </w:r>
    </w:p>
    <w:p w14:paraId="6CF29570">
      <w:r>
        <w:drawing>
          <wp:inline distT="0" distB="0" distL="114300" distR="114300">
            <wp:extent cx="5268595" cy="1966595"/>
            <wp:effectExtent l="0" t="0" r="8255" b="1460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96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D44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然后打开DA_InputConfig， 添加能力</w:t>
      </w:r>
    </w:p>
    <w:p w14:paraId="3E5E5DC6">
      <w:r>
        <w:drawing>
          <wp:inline distT="0" distB="0" distL="114300" distR="114300">
            <wp:extent cx="5265420" cy="1275080"/>
            <wp:effectExtent l="0" t="0" r="11430" b="127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27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6BB8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然后打开BP_HeroAxe这个蓝图，添加上默认给予的能力</w:t>
      </w:r>
    </w:p>
    <w:p w14:paraId="32F0F940">
      <w:r>
        <w:drawing>
          <wp:inline distT="0" distB="0" distL="114300" distR="114300">
            <wp:extent cx="5269865" cy="3053715"/>
            <wp:effectExtent l="0" t="0" r="6985" b="1333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05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4AA0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然后打开GA_Hero_HeavyAttackMaster这个蓝图类，添加以下3个数据成员</w:t>
      </w:r>
    </w:p>
    <w:p w14:paraId="141F6026">
      <w:r>
        <w:drawing>
          <wp:inline distT="0" distB="0" distL="114300" distR="114300">
            <wp:extent cx="3105150" cy="628650"/>
            <wp:effectExtent l="0" t="0" r="0" b="0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852805"/>
            <wp:effectExtent l="0" t="0" r="8255" b="4445"/>
            <wp:docPr id="1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85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6A16F">
      <w:r>
        <w:drawing>
          <wp:inline distT="0" distB="0" distL="114300" distR="114300">
            <wp:extent cx="4714875" cy="1019175"/>
            <wp:effectExtent l="0" t="0" r="9525" b="9525"/>
            <wp:docPr id="1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6DE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然后蓝图如下</w:t>
      </w:r>
    </w:p>
    <w:p w14:paraId="72D5B331">
      <w:r>
        <w:drawing>
          <wp:inline distT="0" distB="0" distL="114300" distR="114300">
            <wp:extent cx="5260975" cy="2319655"/>
            <wp:effectExtent l="0" t="0" r="15875" b="4445"/>
            <wp:docPr id="2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31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CC0E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然后打开GA_Hero_HeavyAttack_Axe,设置Tag，特别注意红框中的Tag</w:t>
      </w:r>
    </w:p>
    <w:p w14:paraId="623D0863">
      <w:r>
        <w:drawing>
          <wp:inline distT="0" distB="0" distL="114300" distR="114300">
            <wp:extent cx="5272405" cy="3188335"/>
            <wp:effectExtent l="0" t="0" r="4445" b="12065"/>
            <wp:docPr id="2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8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75C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然后建立重攻击的Montage动画，然后slot都使用FullbodySlot</w:t>
      </w:r>
    </w:p>
    <w:p w14:paraId="2EC129F7">
      <w:r>
        <w:drawing>
          <wp:inline distT="0" distB="0" distL="114300" distR="114300">
            <wp:extent cx="4981575" cy="1819275"/>
            <wp:effectExtent l="0" t="0" r="9525" b="9525"/>
            <wp:docPr id="2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9F3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然后打开GA_Hero_HeavyAttack_Axe配置上Montage</w:t>
      </w:r>
      <w:bookmarkStart w:id="0" w:name="_GoBack"/>
      <w:bookmarkEnd w:id="0"/>
    </w:p>
    <w:p w14:paraId="4C8AD755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2085975"/>
            <wp:effectExtent l="0" t="0" r="4445" b="9525"/>
            <wp:docPr id="2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61055">
      <w:pPr>
        <w:rPr>
          <w:rFonts w:hint="default"/>
          <w:lang w:val="en-US" w:eastAsia="zh-CN"/>
        </w:rPr>
      </w:pPr>
    </w:p>
    <w:p w14:paraId="3CE1DD7F">
      <w:pPr>
        <w:rPr>
          <w:rFonts w:hint="default"/>
          <w:lang w:val="en-US" w:eastAsia="zh-CN"/>
        </w:rPr>
      </w:pPr>
    </w:p>
    <w:p w14:paraId="44FD1EC4">
      <w:pPr>
        <w:rPr>
          <w:rFonts w:hint="default"/>
          <w:lang w:val="en-US" w:eastAsia="zh-CN"/>
        </w:rPr>
      </w:pP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scadia Mono">
    <w:panose1 w:val="020B0609020000020004"/>
    <w:charset w:val="86"/>
    <w:family w:val="auto"/>
    <w:pitch w:val="default"/>
    <w:sig w:usb0="A10002FF" w:usb1="4000F9FB" w:usb2="00040000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172A27"/>
    <w:rsid w:val="00150EAD"/>
    <w:rsid w:val="003C314F"/>
    <w:rsid w:val="01D152A8"/>
    <w:rsid w:val="035C579E"/>
    <w:rsid w:val="05461B09"/>
    <w:rsid w:val="05CB4105"/>
    <w:rsid w:val="072145DC"/>
    <w:rsid w:val="075A681C"/>
    <w:rsid w:val="0AA13AA8"/>
    <w:rsid w:val="0B3D0A35"/>
    <w:rsid w:val="0B544453"/>
    <w:rsid w:val="0B587BF7"/>
    <w:rsid w:val="0CF83635"/>
    <w:rsid w:val="0E72396F"/>
    <w:rsid w:val="10254A14"/>
    <w:rsid w:val="102A65BD"/>
    <w:rsid w:val="10914580"/>
    <w:rsid w:val="12B34A6E"/>
    <w:rsid w:val="12F75069"/>
    <w:rsid w:val="13EB21F9"/>
    <w:rsid w:val="15A0583F"/>
    <w:rsid w:val="17A45B04"/>
    <w:rsid w:val="185D2A7F"/>
    <w:rsid w:val="19227B54"/>
    <w:rsid w:val="21A34113"/>
    <w:rsid w:val="21BE2CFB"/>
    <w:rsid w:val="21F4237C"/>
    <w:rsid w:val="22B35EAC"/>
    <w:rsid w:val="26225DC9"/>
    <w:rsid w:val="29E52743"/>
    <w:rsid w:val="2A8E16D9"/>
    <w:rsid w:val="2ABB1845"/>
    <w:rsid w:val="2BD87CA3"/>
    <w:rsid w:val="2CED0939"/>
    <w:rsid w:val="2D4E4775"/>
    <w:rsid w:val="2F314D61"/>
    <w:rsid w:val="31434FCB"/>
    <w:rsid w:val="320C360F"/>
    <w:rsid w:val="34DD74E5"/>
    <w:rsid w:val="36F32FEF"/>
    <w:rsid w:val="38CF35E8"/>
    <w:rsid w:val="3B094E25"/>
    <w:rsid w:val="3CE83CC6"/>
    <w:rsid w:val="3EC76D2E"/>
    <w:rsid w:val="3F057D64"/>
    <w:rsid w:val="42F205FF"/>
    <w:rsid w:val="437C611B"/>
    <w:rsid w:val="44A84C0D"/>
    <w:rsid w:val="45375398"/>
    <w:rsid w:val="459A7E36"/>
    <w:rsid w:val="46330CC3"/>
    <w:rsid w:val="47C85DD2"/>
    <w:rsid w:val="4C7A7795"/>
    <w:rsid w:val="5023629C"/>
    <w:rsid w:val="51501312"/>
    <w:rsid w:val="51FD2B1C"/>
    <w:rsid w:val="529C2335"/>
    <w:rsid w:val="55083CB2"/>
    <w:rsid w:val="55286102"/>
    <w:rsid w:val="55D13678"/>
    <w:rsid w:val="56D05785"/>
    <w:rsid w:val="5927051C"/>
    <w:rsid w:val="5932754F"/>
    <w:rsid w:val="5BB73D3C"/>
    <w:rsid w:val="5C711A74"/>
    <w:rsid w:val="5E422214"/>
    <w:rsid w:val="5E4252A0"/>
    <w:rsid w:val="61534507"/>
    <w:rsid w:val="66903B07"/>
    <w:rsid w:val="68EC0BEA"/>
    <w:rsid w:val="693652C1"/>
    <w:rsid w:val="6A7429DB"/>
    <w:rsid w:val="6B9666FA"/>
    <w:rsid w:val="6C7B0222"/>
    <w:rsid w:val="6C7E2008"/>
    <w:rsid w:val="6CC57EE9"/>
    <w:rsid w:val="6EA54455"/>
    <w:rsid w:val="704D6A99"/>
    <w:rsid w:val="704E3B04"/>
    <w:rsid w:val="71194AFF"/>
    <w:rsid w:val="71E54BFE"/>
    <w:rsid w:val="7B8732D3"/>
    <w:rsid w:val="7C283604"/>
    <w:rsid w:val="7CC0084B"/>
    <w:rsid w:val="7E06427E"/>
    <w:rsid w:val="7FD74C3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9" Type="http://schemas.openxmlformats.org/officeDocument/2006/relationships/fontTable" Target="fontTable.xml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420</Words>
  <Characters>1685</Characters>
  <TotalTime>20</TotalTime>
  <ScaleCrop>false</ScaleCrop>
  <LinksUpToDate>false</LinksUpToDate>
  <CharactersWithSpaces>1705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2025-08-03T09:51:00Z</dcterms:created>
  <dc:creator>Admin</dc:creator>
  <cp:lastModifiedBy>谢梵</cp:lastModifiedBy>
  <dcterms:modified xsi:type="dcterms:W3CDTF">2025-12-11T13:15:54Z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eyJoZGlkIjoiY2MyMzYyMjE4OGEyYmU0NGU4OWM3NGNlZDgzMmNmZWUiLCJ1c2VySWQiOiIxMjA1NTcxNTgxIn0=</vt:lpwstr>
  </property>
  <property fmtid="{D5CDD505-2E9C-101B-9397-08002B2CF9AE}" pid="3" name="KSOProductBuildVer">
    <vt:lpwstr>2052-12.1.0.24034</vt:lpwstr>
  </property>
  <property fmtid="{D5CDD505-2E9C-101B-9397-08002B2CF9AE}" pid="4" name="ICV">
    <vt:lpwstr>9819675806734CC4B6FA8EB2E8333326_12</vt:lpwstr>
  </property>
</Properties>
</file>