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投资大师选股系统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DD1"/>
          <w:sz w:val="28"/>
          <w:szCs w:val="28"/>
        </w:rPr>
        <w:t xml:space="preserve">产品技术文档 v1.0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Stock Scoring Agent — Product &amp; Technical Specification</w:t>
      </w:r>
    </w:p>
    <w:p>
      <w:pPr>
        <w:spacing w:before="200" w:after="0"/>
      </w:pPr>
      <w:r>
        <w:t xml:space="preserve"/>
      </w:r>
    </w:p>
    <w:p>
      <w:pPr>
        <w:pBdr>
          <w:top w:val="single" w:color="2E7DD1" w:sz="2"/>
        </w:pBdr>
        <w:spacing w:before="160" w:after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2026年3月</w:t>
      </w:r>
    </w:p>
    <w:p>
      <w:pPr>
        <w:spacing w:before="8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D1"/>
                <w:sz w:val="20"/>
                <w:szCs w:val="20"/>
              </w:rPr>
              <w:t xml:space="preserve">📋 文档说明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本文档记录了投资大师选股系统的完整设计讨论，供 Claude Code 直接参考并开始开发。文档涵盖产品目标、系统架构、数据层、打分引擎、离线评估、运行环境六大模块，以及明确的开发优先级和迭代路线。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DD1" w:sz="4" w:space="8"/>
        </w:pBdr>
        <w:spacing w:before="48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产品目标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构建一个可持续迭代的美股全量打分流水线，模拟巴菲特、芒格、段永平、彼得·林奇等投资大师的选股逻辑，定期对美股所有股票逐一评分，结果持久化存储，未来只需不断优化打分系统本身。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核心设计原则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打分系统与数据获取完全解耦，独立迭代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单线程顺序处理，在 macOS 本地运行，稳定优先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支持断点续跑，中断后自动跳过已完成的股票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结果以 JSON 文件持久化，按季度归档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先跑通流水线（V1），再持续优化打分逻辑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运行频率设计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预计耗时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每季度（财报季后）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全量重新打分（约2000只）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2-3小时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每周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更新估值数据（PE/PB/价格）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30分钟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有重大新闻时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单只股票触发重算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1-2分钟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DD1" w:sz="4" w:space="8"/>
        </w:pBdr>
        <w:spacing w:before="48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整体系统架构</w:t>
      </w:r>
    </w:p>
    <w:p>
      <w:pPr>
        <w:pBdr>
          <w:top w:val="single" w:color="CCCCCC" w:sz="1"/>
          <w:bottom w:val="single" w:color="CCCCCC" w:sz="1"/>
          <w:left w:val="thick" w:color="2E7DD1" w:sz="8"/>
          <w:right w:val="single" w:color="CCCCCC" w:sz="1"/>
        </w:pBdr>
        <w:shd w:fill="F4F6F9" w:val="clear"/>
        <w:spacing w:before="120" w:after="1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【股票代码列表】（NYSE + NASDAQ + AMEX，约6000只）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↓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【第一层：信息获取】  FMP API + yfinance + SEC EDGAR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↓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【第二层：信息标准化】 原始数据 → 0-10 子分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↓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【第三层：打分引擎】  5个一级维度 × 4位大师权重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↓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【第四层：输出存储】  JSON文件 + CSV汇总表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↓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【离线评估模块】      历史回测 → 权重优化建议（独立运行）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DD1" w:sz="4" w:space="8"/>
        </w:pBdr>
        <w:spacing w:before="48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数据获取层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数据源选择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主力数据源：Financial Modeling Prep（FMP），$14/月，覆盖90%需求。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补充数据源：yfinance（免费，财务数据验证）、SEC EDGAR（官方申报原文）。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每只股票需获取的数据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2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API端点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数据内容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缓存周期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/profile/{ticker}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市值、行业、基本信息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第一道过滤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30天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/ratios/{ticker}?limit=10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ROE/ROA/毛利率/负债率等80+比率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财务健康 + 生意质量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90天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/key-metrics/{ticker}?limit=10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ROIC/FCF yield/每股指标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生意质量核心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90天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/income-statement-growth/{ticker}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营收/利润/EPS同比增速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成长性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90天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/cash-flow-statement/{ticker}?limit=10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经营现金流/自由现金流/回购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现金流 + 管理层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90天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/insider-trading?symbol={ticker}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内部人增减持记录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管理层信号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30天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/ratios-ttm/{ticker}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当前PE/PB/PEG/EV倍数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估值维度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7天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全量股票列表获取</w:t>
      </w:r>
    </w:p>
    <w:p>
      <w:pPr>
        <w:pBdr>
          <w:top w:val="single" w:color="CCCCCC" w:sz="1"/>
          <w:bottom w:val="single" w:color="CCCCCC" w:sz="1"/>
          <w:left w:val="thick" w:color="2E7DD1" w:sz="8"/>
          <w:right w:val="single" w:color="CCCCCC" w:sz="1"/>
        </w:pBdr>
        <w:shd w:fill="F4F6F9" w:val="clear"/>
        <w:spacing w:before="120" w:after="1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/api/v3/stock/list?apikey={key}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过滤条件：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exchangeShortName in ['NYSE', 'NASDAQ', 'AMEX']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type == 'stock'（排除ETF/基金/OTC）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→ 约6000-7000只原始列表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三道过滤漏斗</w:t>
      </w:r>
    </w:p>
    <w:p>
      <w:pPr>
        <w:pBdr>
          <w:top w:val="single" w:color="CCCCCC" w:sz="1"/>
          <w:bottom w:val="single" w:color="CCCCCC" w:sz="1"/>
          <w:left w:val="thick" w:color="2E7DD1" w:sz="8"/>
          <w:right w:val="single" w:color="CCCCCC" w:sz="1"/>
        </w:pBdr>
        <w:shd w:fill="F4F6F9" w:val="clear"/>
        <w:spacing w:before="120" w:after="1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第一道过滤（机械规则，极快，API调用少）：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市值 &gt; $3亿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上市时间 &gt; 3年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日均成交量 &gt; $50万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→ 约剩 2500 只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第二道过滤（快速财务筛选）：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过去3年至少2年盈利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总负债 / 总资产 &lt; 0.85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→ 约剩 1500 只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第三道（完整打分）：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→ 对剩余股票跑完整五维打分系统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关键工程细节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7DD1"/>
          <w:sz w:val="24"/>
          <w:szCs w:val="24"/>
        </w:rPr>
        <w:t xml:space="preserve">断点续跑</w:t>
      </w:r>
    </w:p>
    <w:p>
      <w:pPr>
        <w:pBdr>
          <w:top w:val="single" w:color="CCCCCC" w:sz="1"/>
          <w:bottom w:val="single" w:color="CCCCCC" w:sz="1"/>
          <w:left w:val="thick" w:color="2E7DD1" w:sz="8"/>
          <w:right w:val="single" w:color="CCCCCC" w:sz="1"/>
        </w:pBdr>
        <w:shd w:fill="F4F6F9" w:val="clear"/>
        <w:spacing w:before="120" w:after="1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already_scored(ticker, quarter):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path = f'stock_scores/{quarter}/{ticker}.json'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return os.path.exists(path)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for ticker in all_tickers: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if already_scored(ticker, current_quarter):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continue  # 自动跳过已完成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result = analyze(ticker)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save_result(ticker, result)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time.sleep(2)  # 限速保护，约10 req/s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7DD1"/>
          <w:sz w:val="24"/>
          <w:szCs w:val="24"/>
        </w:rPr>
        <w:t xml:space="preserve">本地缓存策略</w:t>
      </w:r>
    </w:p>
    <w:p>
      <w:pPr>
        <w:pBdr>
          <w:top w:val="single" w:color="CCCCCC" w:sz="1"/>
          <w:bottom w:val="single" w:color="CCCCCC" w:sz="1"/>
          <w:left w:val="thick" w:color="2E7DD1" w:sz="8"/>
          <w:right w:val="single" w:color="CCCCCC" w:sz="1"/>
        </w:pBdr>
        <w:shd w:fill="F4F6F9" w:val="clear"/>
        <w:spacing w:before="120" w:after="1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财务数据缓存90天（季报才更新）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估值数据缓存7天（价格每天变）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存储在本地 SQLite: stock_cache.db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结构：symbol | data_type | data_json | fetched_at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大幅减少API调用，节省成本和时间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DD1" w:sz="4" w:space="8"/>
        </w:pBdr>
        <w:spacing w:before="48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打分引擎设计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五大一级维度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所有原始财务指标先标准化为0-10子分，再按权重汇总。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默认权重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标准化方法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生意质量 Business Quality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护城河、毛利率稳定性、ROIC、定价权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绝对阈值 + 行业分位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财务健康 Financial Health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负债率、流动比率、利息覆盖、偿债能力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绝对阈值法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成长性 Growth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营收/利润/FCF增速、EPS超预期历史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趋势打分法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管理层 Management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ROE稳定性、内部人持股、回购历史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综合评分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估值 Valuation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PE/PEG/EV-FCF vs 历史分位 vs 行业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行业相对分位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标准化方式（三种）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7DD1"/>
          <w:sz w:val="24"/>
          <w:szCs w:val="24"/>
        </w:rPr>
        <w:t xml:space="preserve">① 绝对阈值法（有明确标准的指标）</w:t>
      </w:r>
    </w:p>
    <w:p>
      <w:pPr>
        <w:pBdr>
          <w:top w:val="single" w:color="CCCCCC" w:sz="1"/>
          <w:bottom w:val="single" w:color="CCCCCC" w:sz="1"/>
          <w:left w:val="thick" w:color="2E7DD1" w:sz="8"/>
          <w:right w:val="single" w:color="CCCCCC" w:sz="1"/>
        </w:pBdr>
        <w:shd w:fill="F4F6F9" w:val="clear"/>
        <w:spacing w:before="120" w:after="1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示例：ROE打分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ROE &gt;= 25%  → 10分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20-25%      →  8分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15-20%      →  6分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10-15%      →  4分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 10%       →  2分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7DD1"/>
          <w:sz w:val="24"/>
          <w:szCs w:val="24"/>
        </w:rPr>
        <w:t xml:space="preserve">② 行业相对分位法（行业差异大的指标）</w:t>
      </w:r>
    </w:p>
    <w:p>
      <w:pPr>
        <w:pBdr>
          <w:top w:val="single" w:color="CCCCCC" w:sz="1"/>
          <w:bottom w:val="single" w:color="CCCCCC" w:sz="1"/>
          <w:left w:val="thick" w:color="2E7DD1" w:sz="8"/>
          <w:right w:val="single" w:color="CCCCCC" w:sz="1"/>
        </w:pBdr>
        <w:shd w:fill="F4F6F9" w:val="clear"/>
        <w:spacing w:before="120" w:after="1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示例：毛利率 → 在同行业中的百分位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top 10%  → 10分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10-30%   →  8分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30-50%   →  6分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50-70%   →  4分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bottom   →  2分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7DD1"/>
          <w:sz w:val="24"/>
          <w:szCs w:val="24"/>
        </w:rPr>
        <w:t xml:space="preserve">③ 趋势稳定性打分法（护城河持久性）</w:t>
      </w:r>
    </w:p>
    <w:p>
      <w:pPr>
        <w:pBdr>
          <w:top w:val="single" w:color="CCCCCC" w:sz="1"/>
          <w:bottom w:val="single" w:color="CCCCCC" w:sz="1"/>
          <w:left w:val="thick" w:color="2E7DD1" w:sz="8"/>
          <w:right w:val="single" w:color="CCCCCC" w:sz="1"/>
        </w:pBdr>
        <w:shd w:fill="F4F6F9" w:val="clear"/>
        <w:spacing w:before="120" w:after="1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示例：过去10年毛利率变异系数（CV = 标准差/均值）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CV &lt; 0.05  → 10分（极稳定，有定价权）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0.05-0.10  →  8分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0.10-0.20  →  6分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&gt; 0.30     →  2分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一票否决项（Veto）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D4A00"/>
                <w:sz w:val="20"/>
                <w:szCs w:val="20"/>
              </w:rPr>
              <w:t xml:space="preserve">⚠️ 重要：以下任一条件触发，总分直接标红，不参与排名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一票否决项独立于总分计算，是系统的安全底线。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7DD1" w:sz="8"/>
          <w:right w:val="single" w:color="CCCCCC" w:sz="1"/>
        </w:pBdr>
        <w:shd w:fill="F4F6F9" w:val="clear"/>
        <w:spacing w:before="120" w:after="1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VETO_CONDITIONS = [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'过去3年自由现金流持续为负',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'净利润率 &lt; 0 且连续2年',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'长期负债 / 自由现金流 &gt; 10（偿债需10年以上）',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'近1年内部人减持 &gt; 30%持股',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'审计师出具非标准意见（保留意见/无法表示意见）',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]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四位大师权重矩阵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每位大师对五个维度有不同权重，体现各自投资哲学的侧重点。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2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大师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生意质量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财务健康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成长性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管理层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估值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核心哲学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巴菲特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护城河 + 现金流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芒格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激励机制 + 逆向思考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段永平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本分文化 + 10年后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林奇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PEG成长 + 被忽视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💡 设计说明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段永平估值权重为0%：他明确表示不依赖估值指标选股，只看10年后公司是否更强。权重设计直接反映大师原话，不做主观调整。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打分输出格式（每只股票）</w:t>
      </w:r>
    </w:p>
    <w:p>
      <w:pPr>
        <w:pBdr>
          <w:top w:val="single" w:color="CCCCCC" w:sz="1"/>
          <w:bottom w:val="single" w:color="CCCCCC" w:sz="1"/>
          <w:left w:val="thick" w:color="2E7DD1" w:sz="8"/>
          <w:right w:val="single" w:color="CCCCCC" w:sz="1"/>
        </w:pBdr>
        <w:shd w:fill="F4F6F9" w:val="clear"/>
        <w:spacing w:before="120" w:after="1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"ticker": "AAPL",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"scored_at": "2026-03-13",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"quarter": "2026-Q1",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"composite_score": 8.2,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"veto_triggered": false,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"veto_reasons": [],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"dimensions": {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"business_quality": 9.1,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"financial_health": 8.5,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"growth": 7.2,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"management": 8.8,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"valuation": 6.1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"master_scores": {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"buffett": 8.6,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"munger": 8.9,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"duan": 8.3,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"lynch": 7.4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"sub_scores": { /* 所有二级指标原始分 */ },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"raw_data_snapshot": { /* 打分时使用的关键财务数据 */ },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"flags": ["估值偏高", "成长放缓"]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}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DD1" w:sz="4" w:space="8"/>
        </w:pBdr>
        <w:spacing w:before="48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各大师核心评分逻辑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D1"/>
                <w:sz w:val="20"/>
                <w:szCs w:val="20"/>
              </w:rPr>
              <w:t xml:space="preserve">📚 重要开发备注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以下逻辑基于各大师公开著作的核心思想提炼：巴菲特致股东信（1965-2024）、穷查理宝典、段永平雪球帖子与投资问答录、彼得·林奇《彼得·林奇的成功投资》。V1先硬编码规则，V3版本用LLM读原文做进一步精炼。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巴菲特 — 护城河 + Owner's Earnings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7DD1"/>
          <w:sz w:val="24"/>
          <w:szCs w:val="24"/>
        </w:rPr>
        <w:t xml:space="preserve">核心公式</w:t>
      </w:r>
    </w:p>
    <w:p>
      <w:pPr>
        <w:pBdr>
          <w:top w:val="single" w:color="CCCCCC" w:sz="1"/>
          <w:bottom w:val="single" w:color="CCCCCC" w:sz="1"/>
          <w:left w:val="thick" w:color="2E7DD1" w:sz="8"/>
          <w:right w:val="single" w:color="CCCCCC" w:sz="1"/>
        </w:pBdr>
        <w:shd w:fill="F4F6F9" w:val="clear"/>
        <w:spacing w:before="120" w:after="1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Owner's Earnings = 净利润 + 折旧摊销 - 维护性资本支出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（不是EBITDA，必须扣除维护Capex）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护城河检验：如果竞争对手投入10亿美元进入这个行业，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 它能打败这家公司吗？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7DD1"/>
          <w:sz w:val="24"/>
          <w:szCs w:val="24"/>
        </w:rPr>
        <w:t xml:space="preserve">关键评分规则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ROE &gt; 15% 且连续10年稳定 → 护城河存在的有力信号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毛利率在通胀期（CPI上涨期间）不下滑 → 定价权信号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资本支出 / 净利润 &lt; 25% → 轻资产商业模式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自由现金流 / 净利润 &gt; 0.8 → 利润质量高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护城河来源必须可识别：品牌/专利/网络效应/转换成本/成本优势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芒格 — 激励机制 + 逆向思考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7DD1"/>
          <w:sz w:val="24"/>
          <w:szCs w:val="24"/>
        </w:rPr>
        <w:t xml:space="preserve">核心框架</w:t>
      </w:r>
    </w:p>
    <w:p>
      <w:pPr>
        <w:pBdr>
          <w:top w:val="single" w:color="CCCCCC" w:sz="1"/>
          <w:bottom w:val="single" w:color="CCCCCC" w:sz="1"/>
          <w:left w:val="thick" w:color="2E7DD1" w:sz="8"/>
          <w:right w:val="single" w:color="CCCCCC" w:sz="1"/>
        </w:pBdr>
        <w:shd w:fill="F4F6F9" w:val="clear"/>
        <w:spacing w:before="120" w:after="1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正向：这家公司为什么会成功？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反向（更重要）：这家公司怎么会失败？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- 管理层激励是否扭曲？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- 会计是否存在粉饰？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- 行业是否有结构性衰退？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7DD1"/>
          <w:sz w:val="24"/>
          <w:szCs w:val="24"/>
        </w:rPr>
        <w:t xml:space="preserve">关键评分规则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CEO薪酬与长期股价挂钩（非短期利润）→ 激励健康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股权稀释率 &lt; 1%/年 → 管理层不在掠夺股东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历史ROE稳定 → 资本配置能力强（管理层核心能力）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EBITDA替代净利润的公司直接降分（芒格明确反对EBITDA）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段永平 — 本分文化 + 10年后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7DD1"/>
          <w:sz w:val="24"/>
          <w:szCs w:val="24"/>
        </w:rPr>
        <w:t xml:space="preserve">核心框架</w:t>
      </w:r>
    </w:p>
    <w:p>
      <w:pPr>
        <w:pBdr>
          <w:top w:val="single" w:color="CCCCCC" w:sz="1"/>
          <w:bottom w:val="single" w:color="CCCCCC" w:sz="1"/>
          <w:left w:val="thick" w:color="2E7DD1" w:sz="8"/>
          <w:right w:val="single" w:color="CCCCCC" w:sz="1"/>
        </w:pBdr>
        <w:shd w:fill="F4F6F9" w:val="clear"/>
        <w:spacing w:before="120" w:after="1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好公司 = 做正确的事（本分）× 把事情做正确（能力）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两个核心判断：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① 本分检验：面对短期利益 vs 长期正确，选哪个？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② 停止错误：发现判断错误时，能否及时止损？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7DD1"/>
          <w:sz w:val="24"/>
          <w:szCs w:val="24"/>
        </w:rPr>
        <w:t xml:space="preserve">关键评分规则（量化代理指标）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过去10年毛利率趋势向上或稳定 → 本分经营的财务表现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研发支出占收入比稳定投入 → 长期主义信号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无重大财务欺诈记录（SEC罚款/会计重述）→ 诚信底线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10年后行业是否仍存在且公司仍领先 → 定性判断（LLM辅助）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段永平估值权重为0，不设估值指标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彼得·林奇 — PEG + 被忽视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7DD1"/>
          <w:sz w:val="24"/>
          <w:szCs w:val="24"/>
        </w:rPr>
        <w:t xml:space="preserve">核心公式</w:t>
      </w:r>
    </w:p>
    <w:p>
      <w:pPr>
        <w:pBdr>
          <w:top w:val="single" w:color="CCCCCC" w:sz="1"/>
          <w:bottom w:val="single" w:color="CCCCCC" w:sz="1"/>
          <w:left w:val="thick" w:color="2E7DD1" w:sz="8"/>
          <w:right w:val="single" w:color="CCCCCC" w:sz="1"/>
        </w:pBdr>
        <w:shd w:fill="F4F6F9" w:val="clear"/>
        <w:spacing w:before="120" w:after="1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PEG = PE / 盈利增速(%)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PEG &lt; 0.5  → 严重低估，强烈关注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PEG &lt; 1.0  → 低估，值得买入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PEG &gt; 2.0  → 高估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六类股票中优先关注：快速增长型 + 困境反转型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7DD1"/>
          <w:sz w:val="24"/>
          <w:szCs w:val="24"/>
        </w:rPr>
        <w:t xml:space="preserve">关键评分规则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PEG &lt; 1 → 估值维度满分区间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机构持仓比例 &lt; 30% → 被忽视信号，加分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过去5年EPS增速 &gt; 15% 且稳定 → 成长型核心指标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内部人近期增持 → 额外加分信号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行业增速 &gt; GDP增速 → 赛道有空间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DD1" w:sz="4" w:space="8"/>
        </w:pBdr>
        <w:spacing w:before="48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离线评估模块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设计目标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验证「高分股票是否真的比低分股票表现更好」，并为打分权重的持续优化提供量化依据。这是整个系统唯一需要持续迭代的部分。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回测流程</w:t>
      </w:r>
    </w:p>
    <w:p>
      <w:pPr>
        <w:pBdr>
          <w:top w:val="single" w:color="CCCCCC" w:sz="1"/>
          <w:bottom w:val="single" w:color="CCCCCC" w:sz="1"/>
          <w:left w:val="thick" w:color="2E7DD1" w:sz="8"/>
          <w:right w:val="single" w:color="CCCCCC" w:sz="1"/>
        </w:pBdr>
        <w:shd w:fill="F4F6F9" w:val="clear"/>
        <w:spacing w:before="120" w:after="1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时间范围：2005 - 2024（20年）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回测频率：每季度重新打分（约80个时间点）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每个时间点：用T之前数据打分 → 持有N个月 → 记录收益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分组分析（Quintile）：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Q1（最高分20%）→ 计算未来平均收益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Q2 → Q3 → Q4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Q5（最低分20%）→ 计算未来平均收益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验证：Q1收益 &gt; Q2 &gt; Q3 &gt; Q4 &gt; Q5？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核心评估指标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计算方式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Q1-Q5溢价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最高分组年化收益 - 最低分组年化收益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5%/年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打分区分度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IC值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分数与未来收益的Spearman相关系数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0.05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打分有效性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ICIR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平均IC / IC标准差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0.5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打分稳定性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超额收益Alpha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vs 标普500的超额年化收益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3%/年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实际价值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数据穿越防护（Point-in-Time）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D4A00"/>
                <w:sz w:val="20"/>
                <w:szCs w:val="20"/>
              </w:rPr>
              <w:t xml:space="preserve">⚠️ 最重要的回测陷阱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在时间点T打分时，绝对不能使用T时刻还未公开的数据。例如：2020年1月打分，不能用2019年全年财报（该财报2020年2月才发布），只能用2019Q3数据（2019年10月已发布）。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7DD1" w:sz="8"/>
          <w:right w:val="single" w:color="CCCCCC" w:sz="1"/>
        </w:pBdr>
        <w:shd w:fill="F4F6F9" w:val="clear"/>
        <w:spacing w:before="120" w:after="1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正确方式：始终查询 as_of 时刻可知的最新数据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def get_latest_available(ticker, data_type, as_of_date):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return db.query(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'SELECT * FROM financials WHERE ticker=? AND published_date &lt;= ?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ORDER BY published_date DESC LIMIT 1',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[ticker, as_of_date]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)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6.5 防过拟合：时间样本分割</w:t>
      </w:r>
    </w:p>
    <w:p>
      <w:pPr>
        <w:pBdr>
          <w:top w:val="single" w:color="CCCCCC" w:sz="1"/>
          <w:bottom w:val="single" w:color="CCCCCC" w:sz="1"/>
          <w:left w:val="thick" w:color="2E7DD1" w:sz="8"/>
          <w:right w:val="single" w:color="CCCCCC" w:sz="1"/>
        </w:pBdr>
        <w:shd w:fill="F4F6F9" w:val="clear"/>
        <w:spacing w:before="120" w:after="1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训练集：2005-2018（设计打分维度和初始权重）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验证集：2019-2021（调整权重参数）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测试集：2022-2024（完全隔离，最后才看，代表真实效果）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测试集结果未达标 → 回到训练集重新设计，不能用测试集调参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DD1" w:sz="4" w:space="8"/>
        </w:pBdr>
        <w:spacing w:before="48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文件结构与存储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目录结构</w:t>
      </w:r>
    </w:p>
    <w:p>
      <w:pPr>
        <w:pBdr>
          <w:top w:val="single" w:color="CCCCCC" w:sz="1"/>
          <w:bottom w:val="single" w:color="CCCCCC" w:sz="1"/>
          <w:left w:val="thick" w:color="2E7DD1" w:sz="8"/>
          <w:right w:val="single" w:color="CCCCCC" w:sz="1"/>
        </w:pBdr>
        <w:shd w:fill="F4F6F9" w:val="clear"/>
        <w:spacing w:before="120" w:after="1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stock_scoring_agent/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├── data/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│   ├── stock_cache.db          # 本地SQLite缓存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│   └── raw/                    # 原始API响应备份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├── scores/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│   ├── 2026-Q1/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│   │   ├── AAPL.json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│   │   ├── MSFT.json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│   │   ├── _summary.csv        # 汇总表，可直接Excel打开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│   │   └── _run_log.txt        # 运行日志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│   └── 2025-Q4/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├── src/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│   ├── fetcher.py              # 数据获取层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│   ├── normalizer.py           # 指标标准化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│   ├── scorer.py               # 打分引擎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│   ├── masters/                # 各大师权重配置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│   │   ├── buffett.py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│   │   ├── munger.py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│   │   ├── duan.py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│   │   └── lynch.py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│   └── backtester.py           # 离线评估模块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├── config.py                   # API密钥、参数配置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├── run_scoring.py              # 主入口：全量打分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└── run_backtest.py             # 离线评估入口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_summary.csv 格式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每次全量打分结束后自动生成，字段如下：</w:t>
      </w:r>
    </w:p>
    <w:p>
      <w:pPr>
        <w:pBdr>
          <w:top w:val="single" w:color="CCCCCC" w:sz="1"/>
          <w:bottom w:val="single" w:color="CCCCCC" w:sz="1"/>
          <w:left w:val="thick" w:color="2E7DD1" w:sz="8"/>
          <w:right w:val="single" w:color="CCCCCC" w:sz="1"/>
        </w:pBdr>
        <w:shd w:fill="F4F6F9" w:val="clear"/>
        <w:spacing w:before="120" w:after="1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ticker, name, sector, mkt_cap_b,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composite_score, buffett_score, munger_score, duan_score, lynch_score,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business_quality, financial_health, growth, management, valuation,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veto_triggered, flags, scored_at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DD1" w:sz="4" w:space="8"/>
        </w:pBdr>
        <w:spacing w:before="48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开发路线图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800"/>
        <w:gridCol w:w="27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核心目标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关键任务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预计工作量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跑通流水线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数据获取 + 硬编码打分规则 + 文件存储 + 断点续跑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1-2周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离线评估验证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回测引擎 + IC/分组分析 + Point-in-Time数据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2-3周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LLM辅助定性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读10-K/财报电话会议 + 护城河/管理层定性打分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持续迭代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权重自动优化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用历史收益反向优化各维度权重（机器学习）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持续迭代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🚀 V1开发优先级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第一优先级：先把流水线跑通。数据获取 → 标准化 → 打分 → 存储，哪怕打分规则粗糙，只要流水线通了，后面的优化才有意义。不要在V1阶段追求打分逻辑的完美。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DD1" w:sz="4" w:space="8"/>
        </w:pBdr>
        <w:spacing w:before="48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技术栈与环境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技术选择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运行环境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macOS，Python 3.11+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单线程运行，后台挂起即可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数据获取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requests + yfinance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主力FMP API，yfinance辅助验证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本地缓存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SQLite（sqlite3内置）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无需额外安装，轻量够用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数据处理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pandas + numpy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财务数据清洗和标准化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结果存储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JSON文件 + CSV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按季度归档，Excel可直接打开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回测引擎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pandas + scipy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Spearman相关系数、分组统计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API密钥存.env文件，不入代码库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成本估算</w:t>
      </w:r>
    </w:p>
    <w:p>
      <w:pPr>
        <w:pBdr>
          <w:top w:val="single" w:color="CCCCCC" w:sz="1"/>
          <w:bottom w:val="single" w:color="CCCCCC" w:sz="1"/>
          <w:left w:val="thick" w:color="2E7DD1" w:sz="8"/>
          <w:right w:val="single" w:color="CCCCCC" w:sz="1"/>
        </w:pBdr>
        <w:shd w:fill="F4F6F9" w:val="clear"/>
        <w:spacing w:before="120" w:after="1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FMP API：$14/月（基础版，250次/分钟限速）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首次全量拉取（6000只 × 6接口 = 36000次请求）：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36000 / 250 = 约144分钟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之后有缓存，每季度增量更新：约1-2小时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V3版本 LLM辅助定性（可选）：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约2000只 × $0.01/只 ≈ $20/次全量扫描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DD1" w:sz="4" w:space="8"/>
        </w:pBdr>
        <w:spacing w:before="48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开始开发前的检查清单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D1"/>
                <w:sz w:val="20"/>
                <w:szCs w:val="20"/>
              </w:rPr>
              <w:t xml:space="preserve">📋 Claude Code 开发前必读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以下是开始V1开发需要确认的所有前置条件和第一步任务。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前置条件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注册 Financial Modeling Prep，获取 API Key（fmp_api_key）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3.11+ 环境，安装：requests, pandas, numpy, yfinance, python-dotenv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创建 .env 文件存放 FMP_API_KEY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V1 第一步任务顺序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实现 fetcher.py：拉取单只股票所有需要的数据，带本地SQLite缓存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实现三道过滤漏斗：从6000只缩减到约1500只候选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实现 normalizer.py：将原始财务数据转化为0-10子分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实现 scorer.py：五维打分 + 四位大师权重 + 一票否决项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实现断点续跑逻辑：JSON文件存在则跳过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实现 run_scoring.py：主循环，生成 _summary.csv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用100只熟悉股票验证结果合理性，再扩展到全量</w:t>
      </w:r>
    </w:p>
    <w:p>
      <w:pPr>
        <w:spacing w:before="200" w:after="0"/>
      </w:pPr>
      <w:r>
        <w:t xml:space="preserve"/>
      </w:r>
    </w:p>
    <w:p>
      <w:pPr>
        <w:pBdr>
          <w:top w:val="single" w:color="DDDDDD" w:sz="2" w:space="8"/>
        </w:pBdr>
        <w:spacing w:before="160" w:after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文档结束 · 开始构建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投资大师选股系统  |  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2E7DD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2026-03-13T08:56:08.700Z</dcterms:created>
  <dcterms:modified xsi:type="dcterms:W3CDTF">2026-03-13T08:56:08.700Z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