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28C1A"/>
    <w:p w14:paraId="23DFCA3B">
      <w:pPr>
        <w:jc w:val="center"/>
      </w:pPr>
      <w:r>
        <w:rPr>
          <w:rFonts w:ascii="Times New Roman" w:hAnsi="Times New Roman" w:eastAsia="黑体"/>
          <w:b/>
          <w:sz w:val="36"/>
        </w:rPr>
        <w:t>组会汇报：论文的前置准备</w:t>
      </w:r>
    </w:p>
    <w:p w14:paraId="5DED8808">
      <w:pPr>
        <w:pStyle w:val="2"/>
        <w:spacing w:before="200" w:after="80"/>
      </w:pPr>
      <w:r>
        <w:rPr>
          <w:rFonts w:ascii="Times New Roman" w:hAnsi="Times New Roman" w:eastAsia="黑体"/>
          <w:b/>
          <w:sz w:val="28"/>
        </w:rPr>
        <w:t>一、本次汇报要说的三件事</w:t>
      </w:r>
    </w:p>
    <w:p w14:paraId="3FDAF6ED">
      <w:pPr>
        <w:spacing w:after="80" w:line="300" w:lineRule="auto"/>
        <w:ind w:firstLine="420"/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一是把</w:t>
      </w:r>
      <w:r>
        <w:rPr>
          <w:rFonts w:hint="eastAsia"/>
          <w:b w:val="0"/>
          <w:sz w:val="21"/>
          <w:lang w:val="en-US" w:eastAsia="zh-CN"/>
        </w:rPr>
        <w:t>我们现在已有的学术资产</w:t>
      </w:r>
      <w:r>
        <w:rPr>
          <w:rFonts w:ascii="Times New Roman" w:hAnsi="Times New Roman" w:eastAsia="宋体"/>
          <w:b w:val="0"/>
          <w:sz w:val="21"/>
        </w:rPr>
        <w:t>（黄梦圆博士论文里的 OTF 参数、分层评估体系、TD3 基线、实车数据）</w:t>
      </w:r>
      <w:r>
        <w:rPr>
          <w:rFonts w:hint="eastAsia"/>
          <w:b w:val="0"/>
          <w:sz w:val="21"/>
          <w:lang w:val="en-US" w:eastAsia="zh-CN"/>
        </w:rPr>
        <w:t>归纳</w:t>
      </w:r>
      <w:r>
        <w:rPr>
          <w:rFonts w:ascii="Times New Roman" w:hAnsi="Times New Roman" w:eastAsia="宋体"/>
          <w:b w:val="0"/>
          <w:sz w:val="21"/>
        </w:rPr>
        <w:t>清楚</w:t>
      </w:r>
      <w:r>
        <w:rPr>
          <w:rFonts w:hint="eastAsia"/>
          <w:b w:val="0"/>
          <w:sz w:val="21"/>
          <w:lang w:eastAsia="zh-CN"/>
        </w:rPr>
        <w:t>了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hint="eastAsia"/>
          <w:b w:val="0"/>
          <w:sz w:val="21"/>
          <w:lang w:val="en-US" w:eastAsia="zh-CN"/>
        </w:rPr>
        <w:t>知道了</w:t>
      </w:r>
      <w:r>
        <w:rPr>
          <w:rFonts w:ascii="Times New Roman" w:hAnsi="Times New Roman" w:eastAsia="宋体"/>
          <w:b w:val="0"/>
          <w:sz w:val="21"/>
        </w:rPr>
        <w:t>哪些能直接用、哪些需要重新实现；</w:t>
      </w:r>
    </w:p>
    <w:p w14:paraId="647A608B">
      <w:pPr>
        <w:spacing w:after="80" w:line="300" w:lineRule="auto"/>
        <w:ind w:firstLine="420"/>
        <w:rPr>
          <w:rFonts w:ascii="Times New Roman" w:hAnsi="Times New Roman" w:eastAsia="宋体"/>
          <w:b w:val="0"/>
          <w:sz w:val="21"/>
        </w:rPr>
      </w:pPr>
      <w:r>
        <w:rPr>
          <w:rFonts w:ascii="Times New Roman" w:hAnsi="Times New Roman" w:eastAsia="宋体"/>
          <w:b w:val="0"/>
          <w:sz w:val="21"/>
        </w:rPr>
        <w:t>二是把参考文献清单逐条核到发表版本与 DOI，把不能直接引的地方挑出来；</w:t>
      </w:r>
    </w:p>
    <w:p w14:paraId="79CCA118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三是把第一篇论文的技术前置（公式与评估规则的复现）和实验契约（结果文件格式）先定下来。</w:t>
      </w:r>
    </w:p>
    <w:p w14:paraId="4C4BC6A9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结论</w:t>
      </w:r>
      <w:r>
        <w:rPr>
          <w:rFonts w:hint="eastAsia"/>
          <w:b w:val="0"/>
          <w:sz w:val="21"/>
          <w:lang w:eastAsia="zh-CN"/>
        </w:rPr>
        <w:t>：</w:t>
      </w:r>
      <w:r>
        <w:rPr>
          <w:rFonts w:ascii="Times New Roman" w:hAnsi="Times New Roman" w:eastAsia="宋体"/>
          <w:b w:val="0"/>
          <w:sz w:val="21"/>
        </w:rPr>
        <w:t>第一篇论文的方向</w:t>
      </w:r>
      <w:r>
        <w:rPr>
          <w:rFonts w:hint="eastAsia"/>
          <w:b w:val="0"/>
          <w:sz w:val="21"/>
          <w:lang w:val="en-US" w:eastAsia="zh-CN"/>
        </w:rPr>
        <w:t>我觉得</w:t>
      </w:r>
      <w:r>
        <w:rPr>
          <w:rFonts w:ascii="Times New Roman" w:hAnsi="Times New Roman" w:eastAsia="宋体"/>
          <w:b w:val="0"/>
          <w:sz w:val="21"/>
        </w:rPr>
        <w:t>可以，但它现在碰到两个现实问题：本机没有可用的 GPU，学位论文的实车数据和 TD3 代码也不在我手上</w:t>
      </w:r>
      <w:r>
        <w:rPr>
          <w:rFonts w:hint="eastAsia"/>
          <w:b w:val="0"/>
          <w:sz w:val="21"/>
          <w:lang w:eastAsia="zh-CN"/>
        </w:rPr>
        <w:t>（</w:t>
      </w:r>
      <w:r>
        <w:rPr>
          <w:rFonts w:hint="eastAsia"/>
          <w:b w:val="0"/>
          <w:sz w:val="21"/>
          <w:lang w:val="en-US" w:eastAsia="zh-CN"/>
        </w:rPr>
        <w:t>老师不知道还有没有</w:t>
      </w:r>
      <w:r>
        <w:rPr>
          <w:rFonts w:hint="eastAsia"/>
          <w:b w:val="0"/>
          <w:sz w:val="21"/>
          <w:lang w:eastAsia="zh-CN"/>
        </w:rPr>
        <w:t>）</w:t>
      </w:r>
      <w:r>
        <w:rPr>
          <w:rFonts w:ascii="Times New Roman" w:hAnsi="Times New Roman" w:eastAsia="宋体"/>
          <w:b w:val="0"/>
          <w:sz w:val="21"/>
        </w:rPr>
        <w:t>。所以我把工作分成两轮：第一轮不依赖算力与数据，先把公式复现、规则复现、参考文献库和数据申请做完；第二轮等算力与数据到位再做 CARLA 闭环与消融。下面分别说明。</w:t>
      </w:r>
    </w:p>
    <w:p w14:paraId="2AD1BFBB">
      <w:pPr>
        <w:pStyle w:val="2"/>
        <w:spacing w:before="200" w:after="80"/>
      </w:pPr>
      <w:r>
        <w:rPr>
          <w:rFonts w:ascii="Times New Roman" w:hAnsi="Times New Roman" w:eastAsia="黑体"/>
          <w:b/>
          <w:sz w:val="28"/>
        </w:rPr>
        <w:t>二、</w:t>
      </w:r>
      <w:bookmarkStart w:id="0" w:name="_GoBack"/>
      <w:bookmarkEnd w:id="0"/>
      <w:r>
        <w:rPr>
          <w:rFonts w:ascii="Times New Roman" w:hAnsi="Times New Roman" w:eastAsia="黑体"/>
          <w:b/>
          <w:sz w:val="28"/>
        </w:rPr>
        <w:t>论文想做什么</w:t>
      </w:r>
    </w:p>
    <w:p w14:paraId="45EC23D2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目前的定位是：把超车频次（Overtaking Frequency，OTF）从一个事后统计量，改造成可以进控制器的连续时间量，用它驱动一个参数量很小的流体神经网络（CfC）控制器，在高速公路主线混行场景下做跟车与编队控制。选这个题目的理由不是“新颖”两个字，而是三个具体条件同时成立：高速主线是半结构化场景，超车事件密集，OTF 信号最强；学位论文的高速实车数据正好采自高速主线，数据与场景匹配；控制器只需真实轨迹就能拟合平滑控制曲线，不像 MPC 那样需要手工推导非线性车辆动力学。</w:t>
      </w:r>
    </w:p>
    <w:p w14:paraId="2F694A72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在读论文过程中我发现一个值得做的空白。DriveDreamer（已核实为 ECCV 2024 正式论文）构建世界模型时，用的结构条件是高精地图与三维检测框；Drive as You Speak（WACV 2024 Workshops，非主会）讲的是语言交互框架，但语言意图没有定量的物理对应物。两边都没有处理“交通流的群体压力”这个量。OTF 恰好是一个现成的、可解释的标量，而它在学位论文里只做到了分类评估，没有进入控制。所以第一篇论文先把这一步走完：证明这个量能不能用来控制、用了以后差别在哪里。后续的四篇论文分别往预测层（世界模型）、决策层（语言）、安全层和全栈训练延伸，第一篇是它们的</w:t>
      </w:r>
      <w:r>
        <w:rPr>
          <w:rFonts w:hint="eastAsia"/>
          <w:b w:val="0"/>
          <w:sz w:val="21"/>
          <w:lang w:val="en-US" w:eastAsia="zh-CN"/>
        </w:rPr>
        <w:t>基础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7B21717D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这里有一件事需要提前说清楚。之前我们内部文档里写过“可用‘首个经过同行评议的 OTF 条件世界模型’来定位”。核实之后这句话不成立了，因为 DriveDreamer 本身就是正式论文，“经过同行评议”不再是我们的差异点。可以立住的说法只有一个：我们提出了一种新的条件模态，即交通流社会压力场。</w:t>
      </w:r>
    </w:p>
    <w:p w14:paraId="10755CA1">
      <w:pPr>
        <w:pStyle w:val="2"/>
        <w:spacing w:before="200" w:after="80"/>
      </w:pPr>
      <w:r>
        <w:rPr>
          <w:rFonts w:ascii="Times New Roman" w:hAnsi="Times New Roman" w:eastAsia="黑体"/>
          <w:b/>
          <w:sz w:val="28"/>
        </w:rPr>
        <w:t>三、技术前置：两件必须先做的事</w:t>
      </w:r>
    </w:p>
    <w:p w14:paraId="3DAFE33E">
      <w:pPr>
        <w:pStyle w:val="3"/>
        <w:spacing w:before="160" w:after="80"/>
      </w:pPr>
      <w:r>
        <w:rPr>
          <w:rFonts w:ascii="Times New Roman" w:hAnsi="Times New Roman" w:eastAsia="黑体"/>
          <w:b/>
          <w:sz w:val="24"/>
        </w:rPr>
        <w:t>3.1 复现 OTF 与动态时间窗函数</w:t>
      </w:r>
    </w:p>
    <w:p w14:paraId="6247A908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论文对 OTF 的定义是：在固定的时间窗长度内，自车相邻车道上超车的车辆数与被超车辆数之差（第 3 章）。它不是一个固定口径的计数器，因为窗长本身随车速、自车与他车的速度差、交通流量变化，论文用滑动窗口配一个动态时间窗函数来实现（第 3.1.3 节与式 3.13）。我们要做的是把这些式子逐个敲成代码，然后拿论文报告的结果反向校验。</w:t>
      </w:r>
    </w:p>
    <w:p w14:paraId="39F82DF1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校验不能只看“跑得通”。我打算用论文第 3.2.1 节给出的结果做判据：作者把窗长划成 5、10、20、30、60 秒五档，在 60、80、100、120 km/h 四种车速下给出了 OTF 的分布与占比（表 3.3 至 3.7）。如果我们复现出来的 OTF 在同样的窗长与车速下能落在同一个量级与同一个变化趋势上，说明公式读对了；如果对不上，先查复现，不得往下走。这一步是后面所有实验的前提，也是目前少数不需要算力就能做的硬工作。</w:t>
      </w:r>
    </w:p>
    <w:p w14:paraId="1AD65AC8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但有一个细节必须在写稿子前记住：动态时间窗函数的参数不是从实车数据里拟合出来的，而是拿 40 名驾驶人在模拟驾驶设备上做出来的（第 3.2.2 节）；实车数据只用来统计 OTF 的分布。这两类证据不能混着引，否则审稿人一问就会露。</w:t>
      </w:r>
    </w:p>
    <w:p w14:paraId="7EA3BFC8">
      <w:pPr>
        <w:spacing w:before="40" w:after="160"/>
        <w:jc w:val="left"/>
      </w:pPr>
      <w:r>
        <w:rPr>
          <w:rFonts w:ascii="Times New Roman" w:hAnsi="Times New Roman" w:eastAsia="黑体"/>
          <w:b w:val="0"/>
          <w:sz w:val="18"/>
        </w:rPr>
        <w:t>表 1　需要复现的公式与规则清单（出处均为学位论文全文文本行号）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2"/>
        <w:gridCol w:w="3483"/>
        <w:gridCol w:w="2346"/>
        <w:gridCol w:w="2805"/>
      </w:tblGrid>
      <w:tr w14:paraId="7BFA2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45C42C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序号</w:t>
            </w:r>
          </w:p>
        </w:tc>
        <w:tc>
          <w:tcPr>
            <w:tcW w:w="3742" w:type="dxa"/>
          </w:tcPr>
          <w:p w14:paraId="1EA45130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内容</w:t>
            </w:r>
          </w:p>
        </w:tc>
        <w:tc>
          <w:tcPr>
            <w:tcW w:w="2494" w:type="dxa"/>
          </w:tcPr>
          <w:p w14:paraId="10C63983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出处</w:t>
            </w:r>
          </w:p>
        </w:tc>
        <w:tc>
          <w:tcPr>
            <w:tcW w:w="3061" w:type="dxa"/>
          </w:tcPr>
          <w:p w14:paraId="78A09539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验收方式</w:t>
            </w:r>
          </w:p>
        </w:tc>
      </w:tr>
      <w:tr w14:paraId="6FFCE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A2803B6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1</w:t>
            </w:r>
          </w:p>
        </w:tc>
        <w:tc>
          <w:tcPr>
            <w:tcW w:w="3742" w:type="dxa"/>
          </w:tcPr>
          <w:p w14:paraId="4F6428F7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OTF 定义式（双车道）</w:t>
            </w:r>
          </w:p>
        </w:tc>
        <w:tc>
          <w:tcPr>
            <w:tcW w:w="2494" w:type="dxa"/>
          </w:tcPr>
          <w:p w14:paraId="533CC826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第 3.1.2 节，行 2156</w:t>
            </w:r>
          </w:p>
        </w:tc>
        <w:tc>
          <w:tcPr>
            <w:tcW w:w="3061" w:type="dxa"/>
          </w:tcPr>
          <w:p w14:paraId="0F3C3B5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与论文叙述一致；可算出同符号的值</w:t>
            </w:r>
          </w:p>
        </w:tc>
      </w:tr>
      <w:tr w14:paraId="65214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11C91A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</w:p>
        </w:tc>
        <w:tc>
          <w:tcPr>
            <w:tcW w:w="3742" w:type="dxa"/>
          </w:tcPr>
          <w:p w14:paraId="73ECA24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三车道情形的定义式</w:t>
            </w:r>
          </w:p>
        </w:tc>
        <w:tc>
          <w:tcPr>
            <w:tcW w:w="2494" w:type="dxa"/>
          </w:tcPr>
          <w:p w14:paraId="4945E8C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第 3.1.2 节，行 2338</w:t>
            </w:r>
          </w:p>
        </w:tc>
        <w:tc>
          <w:tcPr>
            <w:tcW w:w="3061" w:type="dxa"/>
          </w:tcPr>
          <w:p w14:paraId="320028A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同上，并覆盖左右两侧车道</w:t>
            </w:r>
          </w:p>
        </w:tc>
      </w:tr>
      <w:tr w14:paraId="235D6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95CB66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</w:p>
        </w:tc>
        <w:tc>
          <w:tcPr>
            <w:tcW w:w="3742" w:type="dxa"/>
          </w:tcPr>
          <w:p w14:paraId="03A694F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滑动窗口算法与基本步长</w:t>
            </w:r>
          </w:p>
        </w:tc>
        <w:tc>
          <w:tcPr>
            <w:tcW w:w="2494" w:type="dxa"/>
          </w:tcPr>
          <w:p w14:paraId="2872D7A7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第 3.1.3 节，行 2562–2599</w:t>
            </w:r>
          </w:p>
        </w:tc>
        <w:tc>
          <w:tcPr>
            <w:tcW w:w="3061" w:type="dxa"/>
          </w:tcPr>
          <w:p w14:paraId="5B45980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伪代码逐行对应实现</w:t>
            </w:r>
          </w:p>
        </w:tc>
      </w:tr>
      <w:tr w14:paraId="00853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AB8FD6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4</w:t>
            </w:r>
          </w:p>
        </w:tc>
        <w:tc>
          <w:tcPr>
            <w:tcW w:w="3742" w:type="dxa"/>
          </w:tcPr>
          <w:p w14:paraId="1C39AE25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动态时间窗函数（车速、速度差、流量）</w:t>
            </w:r>
          </w:p>
        </w:tc>
        <w:tc>
          <w:tcPr>
            <w:tcW w:w="2494" w:type="dxa"/>
          </w:tcPr>
          <w:p w14:paraId="5C6BEC4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第 3.2.2 节，式 3.13，行 3337–3354</w:t>
            </w:r>
          </w:p>
        </w:tc>
        <w:tc>
          <w:tcPr>
            <w:tcW w:w="3061" w:type="dxa"/>
          </w:tcPr>
          <w:p w14:paraId="1B66D426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用论文四档窗长与四种车速的 OTF 分布对拍</w:t>
            </w:r>
          </w:p>
        </w:tc>
      </w:tr>
      <w:tr w14:paraId="5D888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609888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</w:p>
        </w:tc>
        <w:tc>
          <w:tcPr>
            <w:tcW w:w="3742" w:type="dxa"/>
          </w:tcPr>
          <w:p w14:paraId="6B3BFD0C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分层递阶评估：安全层 TTC/THW、效率层适宜性分级</w:t>
            </w:r>
          </w:p>
        </w:tc>
        <w:tc>
          <w:tcPr>
            <w:tcW w:w="2494" w:type="dxa"/>
          </w:tcPr>
          <w:p w14:paraId="73A56FC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第 4 章，分级与指标定义见行 6329–6420</w:t>
            </w:r>
          </w:p>
        </w:tc>
        <w:tc>
          <w:tcPr>
            <w:tcW w:w="3061" w:type="dxa"/>
          </w:tcPr>
          <w:p w14:paraId="61A34FE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复现为确定性函数；待数据到位后回标</w:t>
            </w:r>
          </w:p>
        </w:tc>
      </w:tr>
    </w:tbl>
    <w:p w14:paraId="110C8849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表 6 里第 5 项只能做到“规则代码化”，因为分级标签与数据是一体的，数据不在手上无法</w:t>
      </w:r>
      <w:r>
        <w:rPr>
          <w:rFonts w:hint="eastAsia"/>
          <w:b w:val="0"/>
          <w:sz w:val="21"/>
          <w:lang w:val="en-US" w:eastAsia="zh-CN"/>
        </w:rPr>
        <w:t>填写</w:t>
      </w:r>
      <w:r>
        <w:rPr>
          <w:rFonts w:ascii="Times New Roman" w:hAnsi="Times New Roman" w:eastAsia="宋体"/>
          <w:b w:val="0"/>
          <w:sz w:val="21"/>
        </w:rPr>
        <w:t>。</w:t>
      </w:r>
    </w:p>
    <w:p w14:paraId="4338853D">
      <w:pPr>
        <w:pStyle w:val="3"/>
        <w:spacing w:before="160" w:after="80"/>
      </w:pPr>
      <w:r>
        <w:rPr>
          <w:rFonts w:ascii="Times New Roman" w:hAnsi="Times New Roman" w:eastAsia="黑体"/>
          <w:b/>
          <w:sz w:val="24"/>
        </w:rPr>
        <w:t>3.2 把引用库核到可引用状态</w:t>
      </w:r>
    </w:p>
    <w:p w14:paraId="1C305BA8">
      <w:pPr>
        <w:spacing w:after="80" w:line="300" w:lineRule="auto"/>
        <w:ind w:firstLine="420"/>
      </w:pPr>
      <w:r>
        <w:rPr>
          <w:rFonts w:hint="eastAsia"/>
          <w:b w:val="0"/>
          <w:sz w:val="21"/>
          <w:lang w:val="en-US" w:eastAsia="zh-CN"/>
        </w:rPr>
        <w:t>关于文献阅读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hint="eastAsia"/>
          <w:b w:val="0"/>
          <w:sz w:val="21"/>
          <w:lang w:eastAsia="zh-CN"/>
        </w:rPr>
        <w:t>我</w:t>
      </w:r>
      <w:r>
        <w:rPr>
          <w:rFonts w:ascii="Times New Roman" w:hAnsi="Times New Roman" w:eastAsia="宋体"/>
          <w:b w:val="0"/>
          <w:sz w:val="21"/>
        </w:rPr>
        <w:t>把内部参考文献清单里的 30 篇逐条核到官方页面或 DOI，确认它到底发表了没有、发表在哪里、应该引哪个版本。结果是：26 篇已正式发表，7 篇仍为预印本或仅在 workshop 发表（其中 2 篇是 workshop 论文，1 篇是软件仓库），6 篇有更新版本，没有一篇是完全查不到的。</w:t>
      </w:r>
    </w:p>
    <w:p w14:paraId="0BF95024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更重要的是发现了原清单上的 17 处错误，其中 3 处是链接或编号指向了另一篇论文。这类错误如果带进稿子，属于可核查的事实错误。举几个例子：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1"/>
        <w:gridCol w:w="4188"/>
        <w:gridCol w:w="2117"/>
      </w:tblGrid>
      <w:tr w14:paraId="75ED6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 w14:paraId="0C5FA66C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清单里写的</w:t>
            </w:r>
          </w:p>
        </w:tc>
        <w:tc>
          <w:tcPr>
            <w:tcW w:w="4535" w:type="dxa"/>
          </w:tcPr>
          <w:p w14:paraId="5DDA70C8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核实后的事实</w:t>
            </w:r>
          </w:p>
        </w:tc>
        <w:tc>
          <w:tcPr>
            <w:tcW w:w="2268" w:type="dxa"/>
          </w:tcPr>
          <w:p w14:paraId="01DB0326">
            <w:pPr>
              <w:jc w:val="center"/>
            </w:pPr>
            <w:r>
              <w:rPr>
                <w:rFonts w:ascii="Times New Roman" w:hAnsi="Times New Roman" w:eastAsia="黑体"/>
                <w:b/>
                <w:sz w:val="19"/>
              </w:rPr>
              <w:t>依据</w:t>
            </w:r>
          </w:p>
        </w:tc>
      </w:tr>
      <w:tr w14:paraId="6B0E0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 w14:paraId="3693353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DriveDreamer 是 arXiv 预印本</w:t>
            </w:r>
          </w:p>
        </w:tc>
        <w:tc>
          <w:tcPr>
            <w:tcW w:w="4535" w:type="dxa"/>
          </w:tcPr>
          <w:p w14:paraId="32895C4C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已为 ECCV 2024 正式论文（Poster），有 DOI</w:t>
            </w:r>
          </w:p>
        </w:tc>
        <w:tc>
          <w:tcPr>
            <w:tcW w:w="2268" w:type="dxa"/>
          </w:tcPr>
          <w:p w14:paraId="4E03D99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ECVA 官方论文页与 ECCV 2024 虚拟会场页</w:t>
            </w:r>
          </w:p>
        </w:tc>
      </w:tr>
      <w:tr w14:paraId="41B31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 w14:paraId="55BF2DE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Drive as You Speak 是 arXiv 预印本</w:t>
            </w:r>
          </w:p>
        </w:tc>
        <w:tc>
          <w:tcPr>
            <w:tcW w:w="4535" w:type="dxa"/>
          </w:tcPr>
          <w:p w14:paraId="539DFDD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WACV 2024 Workshops（LLVM-AD），第 902–909 页，属 workshop 而非主会</w:t>
            </w:r>
          </w:p>
        </w:tc>
        <w:tc>
          <w:tcPr>
            <w:tcW w:w="2268" w:type="dxa"/>
          </w:tcPr>
          <w:p w14:paraId="36618DD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CVF Open Access 页面与 BibTeX</w:t>
            </w:r>
          </w:p>
        </w:tc>
      </w:tr>
      <w:tr w14:paraId="66E31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 w14:paraId="3CF9361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Waymo Open Dataset 是 CVPR 2020 一篇</w:t>
            </w:r>
          </w:p>
        </w:tc>
        <w:tc>
          <w:tcPr>
            <w:tcW w:w="4535" w:type="dxa"/>
          </w:tcPr>
          <w:p w14:paraId="620A168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实为两篇：感知数据集 CVPR 2020，运动数据集 ICCV 2021</w:t>
            </w:r>
          </w:p>
        </w:tc>
        <w:tc>
          <w:tcPr>
            <w:tcW w:w="2268" w:type="dxa"/>
          </w:tcPr>
          <w:p w14:paraId="1F7BEB4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CVF 两个年份的论文页</w:t>
            </w:r>
          </w:p>
        </w:tc>
      </w:tr>
      <w:tr w14:paraId="27789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 w14:paraId="5F6497D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DriveDreamer-2 编号 2403.06846</w:t>
            </w:r>
          </w:p>
        </w:tc>
        <w:tc>
          <w:tcPr>
            <w:tcW w:w="4535" w:type="dxa"/>
          </w:tcPr>
          <w:p w14:paraId="4B3330FC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该编号实为 DiaLoc 一文；正确编号是 2403.06845，且已为 AAAI-25 正式论文</w:t>
            </w:r>
          </w:p>
        </w:tc>
        <w:tc>
          <w:tcPr>
            <w:tcW w:w="2268" w:type="dxa"/>
          </w:tcPr>
          <w:p w14:paraId="44E6208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AAAI OJS 与 arXiv 两个条目</w:t>
            </w:r>
          </w:p>
        </w:tc>
      </w:tr>
      <w:tr w14:paraId="28C77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 w14:paraId="514B6576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ISO 26262 标注</w:t>
            </w:r>
          </w:p>
        </w:tc>
        <w:tc>
          <w:tcPr>
            <w:tcW w:w="4535" w:type="dxa"/>
          </w:tcPr>
          <w:p w14:paraId="3B6C1C8C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68383 只是 Part 1（2018），系列共 12 个 part</w:t>
            </w:r>
          </w:p>
        </w:tc>
        <w:tc>
          <w:tcPr>
            <w:tcW w:w="2268" w:type="dxa"/>
          </w:tcPr>
          <w:p w14:paraId="1C849EE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ISO 标准记录与 AFNOR 标准页</w:t>
            </w:r>
          </w:p>
        </w:tc>
      </w:tr>
      <w:tr w14:paraId="5CFB3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</w:tcPr>
          <w:p w14:paraId="69DE900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Neural Circuit Policies 的 arXiv 链接</w:t>
            </w:r>
          </w:p>
        </w:tc>
        <w:tc>
          <w:tcPr>
            <w:tcW w:w="4535" w:type="dxa"/>
          </w:tcPr>
          <w:p w14:paraId="699B5CF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该链接指向另一篇完全不同的论文</w:t>
            </w:r>
          </w:p>
        </w:tc>
        <w:tc>
          <w:tcPr>
            <w:tcW w:w="2268" w:type="dxa"/>
          </w:tcPr>
          <w:p w14:paraId="780ADA56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9"/>
              </w:rPr>
              <w:t>Crossref DOI 元数据与 ISTA 机构库</w:t>
            </w:r>
          </w:p>
        </w:tc>
      </w:tr>
    </w:tbl>
    <w:p w14:paraId="1713FF7E">
      <w:pPr>
        <w:spacing w:before="40" w:after="160"/>
        <w:jc w:val="left"/>
      </w:pPr>
      <w:r>
        <w:rPr>
          <w:rFonts w:ascii="Times New Roman" w:hAnsi="Times New Roman" w:eastAsia="黑体"/>
          <w:b w:val="0"/>
          <w:sz w:val="18"/>
        </w:rPr>
        <w:t>表 2　引用库核验中发现的典型错误（全部 17 处已逐条记录）</w:t>
      </w:r>
    </w:p>
    <w:p w14:paraId="3D55713E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这件事的意义不只是“频繁纠错”。核对过程本身帮我们把研究空白定位准了：因为只有确认对手真正发表在哪里、做到了什么程度，才能判断我们的差异点站不站得住。上面提到的“经过同行评议”那句话就是在这一步被推翻的。</w:t>
      </w:r>
    </w:p>
    <w:p w14:paraId="7CA5CCD4">
      <w:pPr>
        <w:pStyle w:val="2"/>
        <w:spacing w:before="200" w:after="80"/>
      </w:pPr>
      <w:r>
        <w:rPr>
          <w:rFonts w:ascii="Times New Roman" w:hAnsi="Times New Roman" w:eastAsia="黑体"/>
          <w:b/>
          <w:sz w:val="28"/>
        </w:rPr>
        <w:t>四、资产盘点结果</w:t>
      </w:r>
    </w:p>
    <w:p w14:paraId="4463EADF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我把所有可用资产列了一张表，并按“现在能不能直接用”分了等级。这张表是后面所有安排的依据。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1724"/>
        <w:gridCol w:w="1474"/>
        <w:gridCol w:w="1072"/>
        <w:gridCol w:w="3111"/>
      </w:tblGrid>
      <w:tr w14:paraId="70318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6BAA1B4C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资产</w:t>
            </w:r>
          </w:p>
        </w:tc>
        <w:tc>
          <w:tcPr>
            <w:tcW w:w="1814" w:type="dxa"/>
          </w:tcPr>
          <w:p w14:paraId="23C0A7F0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出处</w:t>
            </w:r>
          </w:p>
        </w:tc>
        <w:tc>
          <w:tcPr>
            <w:tcW w:w="1587" w:type="dxa"/>
          </w:tcPr>
          <w:p w14:paraId="72F7B5FA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本机是否有</w:t>
            </w:r>
          </w:p>
        </w:tc>
        <w:tc>
          <w:tcPr>
            <w:tcW w:w="1134" w:type="dxa"/>
          </w:tcPr>
          <w:p w14:paraId="51C89E78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能用程度</w:t>
            </w:r>
          </w:p>
        </w:tc>
        <w:tc>
          <w:tcPr>
            <w:tcW w:w="3402" w:type="dxa"/>
          </w:tcPr>
          <w:p w14:paraId="17853B57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缺口与最小补法</w:t>
            </w:r>
          </w:p>
        </w:tc>
      </w:tr>
      <w:tr w14:paraId="473FF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002B2D4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OTF 定义与动态时间窗函数</w:t>
            </w:r>
          </w:p>
        </w:tc>
        <w:tc>
          <w:tcPr>
            <w:tcW w:w="1814" w:type="dxa"/>
          </w:tcPr>
          <w:p w14:paraId="5875DFF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学位论文第 3 章</w:t>
            </w:r>
          </w:p>
        </w:tc>
        <w:tc>
          <w:tcPr>
            <w:tcW w:w="1587" w:type="dxa"/>
          </w:tcPr>
          <w:p w14:paraId="495FE32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只有论文全文文本</w:t>
            </w:r>
          </w:p>
        </w:tc>
        <w:tc>
          <w:tcPr>
            <w:tcW w:w="1134" w:type="dxa"/>
          </w:tcPr>
          <w:p w14:paraId="16AC717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中（可复现，未验证）</w:t>
            </w:r>
          </w:p>
        </w:tc>
        <w:tc>
          <w:tcPr>
            <w:tcW w:w="3402" w:type="dxa"/>
          </w:tcPr>
          <w:p w14:paraId="26DDDEE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系数与拟合协议需逐式抽出，并用论文第 3.2.1 节结果对拍</w:t>
            </w:r>
          </w:p>
        </w:tc>
      </w:tr>
      <w:tr w14:paraId="375C68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D0D650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分层递阶评估标签</w:t>
            </w:r>
          </w:p>
        </w:tc>
        <w:tc>
          <w:tcPr>
            <w:tcW w:w="1814" w:type="dxa"/>
          </w:tcPr>
          <w:p w14:paraId="408E8B7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学位论文第 4 章</w:t>
            </w:r>
          </w:p>
        </w:tc>
        <w:tc>
          <w:tcPr>
            <w:tcW w:w="1587" w:type="dxa"/>
          </w:tcPr>
          <w:p w14:paraId="1DE1F0E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无（标签与数据一体）</w:t>
            </w:r>
          </w:p>
        </w:tc>
        <w:tc>
          <w:tcPr>
            <w:tcW w:w="1134" w:type="dxa"/>
          </w:tcPr>
          <w:p w14:paraId="491F2F9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  <w:tc>
          <w:tcPr>
            <w:tcW w:w="3402" w:type="dxa"/>
          </w:tcPr>
          <w:p w14:paraId="5BDB1A6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先复现分级规则；标签需数据到位后回标</w:t>
            </w:r>
          </w:p>
        </w:tc>
      </w:tr>
      <w:tr w14:paraId="1131C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F6CB20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TD3 决策模型与权重</w:t>
            </w:r>
          </w:p>
        </w:tc>
        <w:tc>
          <w:tcPr>
            <w:tcW w:w="1814" w:type="dxa"/>
          </w:tcPr>
          <w:p w14:paraId="29D514BC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学位论文第 5 章</w:t>
            </w:r>
          </w:p>
        </w:tc>
        <w:tc>
          <w:tcPr>
            <w:tcW w:w="1587" w:type="dxa"/>
          </w:tcPr>
          <w:p w14:paraId="382A145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无代码、无权重</w:t>
            </w:r>
          </w:p>
        </w:tc>
        <w:tc>
          <w:tcPr>
            <w:tcW w:w="1134" w:type="dxa"/>
          </w:tcPr>
          <w:p w14:paraId="6F0A607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低</w:t>
            </w:r>
          </w:p>
        </w:tc>
        <w:tc>
          <w:tcPr>
            <w:tcW w:w="3402" w:type="dxa"/>
          </w:tcPr>
          <w:p w14:paraId="39AB7267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论文第 5 章给出了网络结构与训练参数（表 5.1、5.2），可按此复现，或在稿件中标注为引用值</w:t>
            </w:r>
          </w:p>
        </w:tc>
      </w:tr>
      <w:tr w14:paraId="1E906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17DA7B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实车数据集</w:t>
            </w:r>
          </w:p>
        </w:tc>
        <w:tc>
          <w:tcPr>
            <w:tcW w:w="1814" w:type="dxa"/>
          </w:tcPr>
          <w:p w14:paraId="5A01FBD7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学位论文第 2–4 章</w:t>
            </w:r>
          </w:p>
        </w:tc>
        <w:tc>
          <w:tcPr>
            <w:tcW w:w="1587" w:type="dxa"/>
          </w:tcPr>
          <w:p w14:paraId="038AD661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不在本机</w:t>
            </w:r>
          </w:p>
        </w:tc>
        <w:tc>
          <w:tcPr>
            <w:tcW w:w="1134" w:type="dxa"/>
          </w:tcPr>
          <w:p w14:paraId="352D74D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当前不可用</w:t>
            </w:r>
          </w:p>
        </w:tc>
        <w:tc>
          <w:tcPr>
            <w:tcW w:w="3402" w:type="dxa"/>
          </w:tcPr>
          <w:p w14:paraId="3A7DB0D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已起草数据使用申请，先索取重算 OTF 所需的最小字段集</w:t>
            </w:r>
          </w:p>
        </w:tc>
      </w:tr>
      <w:tr w14:paraId="65E13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BFD4025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四类工况场景库</w:t>
            </w:r>
          </w:p>
        </w:tc>
        <w:tc>
          <w:tcPr>
            <w:tcW w:w="1814" w:type="dxa"/>
          </w:tcPr>
          <w:p w14:paraId="31B75E3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学位论文第 4–5 章</w:t>
            </w:r>
          </w:p>
        </w:tc>
        <w:tc>
          <w:tcPr>
            <w:tcW w:w="1587" w:type="dxa"/>
          </w:tcPr>
          <w:p w14:paraId="682E837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只有定义与样本量</w:t>
            </w:r>
          </w:p>
        </w:tc>
        <w:tc>
          <w:tcPr>
            <w:tcW w:w="1134" w:type="dxa"/>
          </w:tcPr>
          <w:p w14:paraId="7A9E1741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中</w:t>
            </w:r>
          </w:p>
        </w:tc>
        <w:tc>
          <w:tcPr>
            <w:tcW w:w="3402" w:type="dxa"/>
          </w:tcPr>
          <w:p w14:paraId="0799A165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判定规则可先代码化；实例切片依赖数据</w:t>
            </w:r>
          </w:p>
        </w:tc>
      </w:tr>
      <w:tr w14:paraId="4CA86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2386AC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CARLA 仿真环境与改造地图</w:t>
            </w:r>
          </w:p>
        </w:tc>
        <w:tc>
          <w:tcPr>
            <w:tcW w:w="1814" w:type="dxa"/>
          </w:tcPr>
          <w:p w14:paraId="397C229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蓝图规划（学位论文未用 CARLA）</w:t>
            </w:r>
          </w:p>
        </w:tc>
        <w:tc>
          <w:tcPr>
            <w:tcW w:w="1587" w:type="dxa"/>
          </w:tcPr>
          <w:p w14:paraId="592D3E7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未见</w:t>
            </w:r>
          </w:p>
        </w:tc>
        <w:tc>
          <w:tcPr>
            <w:tcW w:w="1134" w:type="dxa"/>
          </w:tcPr>
          <w:p w14:paraId="33705EB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较低</w:t>
            </w:r>
          </w:p>
        </w:tc>
        <w:tc>
          <w:tcPr>
            <w:tcW w:w="3402" w:type="dxa"/>
          </w:tcPr>
          <w:p w14:paraId="57CD3B9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环境与地图都需重建，不是复用</w:t>
            </w:r>
          </w:p>
        </w:tc>
      </w:tr>
      <w:tr w14:paraId="2E5DA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EADF46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GPU 算力</w:t>
            </w:r>
          </w:p>
        </w:tc>
        <w:tc>
          <w:tcPr>
            <w:tcW w:w="1814" w:type="dxa"/>
          </w:tcPr>
          <w:p w14:paraId="554EE07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外部</w:t>
            </w:r>
          </w:p>
        </w:tc>
        <w:tc>
          <w:tcPr>
            <w:tcW w:w="1587" w:type="dxa"/>
          </w:tcPr>
          <w:p w14:paraId="48ED325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无可用 GPU</w:t>
            </w:r>
          </w:p>
        </w:tc>
        <w:tc>
          <w:tcPr>
            <w:tcW w:w="1134" w:type="dxa"/>
          </w:tcPr>
          <w:p w14:paraId="5876D7B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当前不可用</w:t>
            </w:r>
          </w:p>
        </w:tc>
        <w:tc>
          <w:tcPr>
            <w:tcW w:w="3402" w:type="dxa"/>
          </w:tcPr>
          <w:p w14:paraId="5E06273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需决定云端租用或降级为开环与规则层验证</w:t>
            </w:r>
          </w:p>
        </w:tc>
      </w:tr>
      <w:tr w14:paraId="5BF0F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4238BF7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边缘部署硬件</w:t>
            </w:r>
          </w:p>
        </w:tc>
        <w:tc>
          <w:tcPr>
            <w:tcW w:w="1814" w:type="dxa"/>
          </w:tcPr>
          <w:p w14:paraId="4FB08396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蓝图规划（Cortex-M7 级）</w:t>
            </w:r>
          </w:p>
        </w:tc>
        <w:tc>
          <w:tcPr>
            <w:tcW w:w="1587" w:type="dxa"/>
          </w:tcPr>
          <w:p w14:paraId="222EFA5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未见</w:t>
            </w:r>
          </w:p>
        </w:tc>
        <w:tc>
          <w:tcPr>
            <w:tcW w:w="1134" w:type="dxa"/>
          </w:tcPr>
          <w:p w14:paraId="42596DD5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当前不可用</w:t>
            </w:r>
          </w:p>
        </w:tc>
        <w:tc>
          <w:tcPr>
            <w:tcW w:w="3402" w:type="dxa"/>
          </w:tcPr>
          <w:p w14:paraId="1444EDB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拿到板子前只能写目标，不写实测值</w:t>
            </w:r>
          </w:p>
        </w:tc>
      </w:tr>
    </w:tbl>
    <w:p w14:paraId="50772138">
      <w:pPr>
        <w:spacing w:before="40" w:after="160"/>
        <w:jc w:val="left"/>
      </w:pPr>
      <w:r>
        <w:rPr>
          <w:rFonts w:ascii="Times New Roman" w:hAnsi="Times New Roman" w:eastAsia="黑体"/>
          <w:b w:val="0"/>
          <w:sz w:val="18"/>
        </w:rPr>
        <w:t>表 3　资产盘点（详细版见项目目录 audit/00-asset-inventory.md）</w:t>
      </w:r>
    </w:p>
    <w:p w14:paraId="09FC53D0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从这张表里可以看出我们的优势和短板分开在两个地方：优势集中在“问题与定义”层，短板集中在“工程与算力”层。下表把它们并列对照。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3987"/>
        <w:gridCol w:w="4027"/>
      </w:tblGrid>
      <w:tr w14:paraId="5A5AE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4F9DD9EA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维度</w:t>
            </w:r>
          </w:p>
        </w:tc>
        <w:tc>
          <w:tcPr>
            <w:tcW w:w="4309" w:type="dxa"/>
          </w:tcPr>
          <w:p w14:paraId="46BA8EFA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我们的优势</w:t>
            </w:r>
          </w:p>
        </w:tc>
        <w:tc>
          <w:tcPr>
            <w:tcW w:w="4309" w:type="dxa"/>
          </w:tcPr>
          <w:p w14:paraId="58F93A3D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现实短板</w:t>
            </w:r>
          </w:p>
        </w:tc>
      </w:tr>
      <w:tr w14:paraId="60478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51DEFD5C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问题定义</w:t>
            </w:r>
          </w:p>
        </w:tc>
        <w:tc>
          <w:tcPr>
            <w:tcW w:w="4309" w:type="dxa"/>
          </w:tcPr>
          <w:p w14:paraId="2549561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OTF 是一个可解释的标量，且只需毫米波雷达与 GPS 就能算出，不依赖视觉或激光雷达</w:t>
            </w:r>
          </w:p>
        </w:tc>
        <w:tc>
          <w:tcPr>
            <w:tcW w:w="4309" w:type="dxa"/>
          </w:tcPr>
          <w:p w14:paraId="02A48E11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依赖学位论文这一个来源，自主采集能力尚未建立</w:t>
            </w:r>
          </w:p>
        </w:tc>
      </w:tr>
      <w:tr w14:paraId="385EF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1C16C80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评估体系</w:t>
            </w:r>
          </w:p>
        </w:tc>
        <w:tc>
          <w:tcPr>
            <w:tcW w:w="4309" w:type="dxa"/>
          </w:tcPr>
          <w:p w14:paraId="43C2566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安全层与效率层的分级已有完整定义，可直接改造成规则层与奖励塑形器</w:t>
            </w:r>
          </w:p>
        </w:tc>
        <w:tc>
          <w:tcPr>
            <w:tcW w:w="4309" w:type="dxa"/>
          </w:tcPr>
          <w:p w14:paraId="186D9EFC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分级标签与数据绑定，数据未到手时无法回标校验</w:t>
            </w:r>
          </w:p>
        </w:tc>
      </w:tr>
      <w:tr w14:paraId="7C54E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ED83D8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基线可复现</w:t>
            </w:r>
          </w:p>
        </w:tc>
        <w:tc>
          <w:tcPr>
            <w:tcW w:w="4309" w:type="dxa"/>
          </w:tcPr>
          <w:p w14:paraId="5F1945C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论文第 5 章给出 actor 与 critic 的层数、神经元个数、学习率、优化器、梯度阈值与正则化系数，按表重实现技术上可行</w:t>
            </w:r>
          </w:p>
        </w:tc>
        <w:tc>
          <w:tcPr>
            <w:tcW w:w="4309" w:type="dxa"/>
          </w:tcPr>
          <w:p w14:paraId="2C307545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无代码无权重，且无 GPU，重实现暂时做不成</w:t>
            </w:r>
          </w:p>
        </w:tc>
      </w:tr>
      <w:tr w14:paraId="4F823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CD9480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仿真环境</w:t>
            </w:r>
          </w:p>
        </w:tc>
        <w:tc>
          <w:tcPr>
            <w:tcW w:w="4309" w:type="dxa"/>
          </w:tcPr>
          <w:p w14:paraId="01FA5C35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蓝图已选定 CARLA 与高速环线地图改造方向</w:t>
            </w:r>
          </w:p>
        </w:tc>
        <w:tc>
          <w:tcPr>
            <w:tcW w:w="4309" w:type="dxa"/>
          </w:tcPr>
          <w:p w14:paraId="3B0D145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学位论文未用 CARLA，环境、地图与交通流均需从零建</w:t>
            </w:r>
          </w:p>
        </w:tc>
      </w:tr>
      <w:tr w14:paraId="09531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3994C54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边缘部署</w:t>
            </w:r>
          </w:p>
        </w:tc>
        <w:tc>
          <w:tcPr>
            <w:tcW w:w="4309" w:type="dxa"/>
          </w:tcPr>
          <w:p w14:paraId="5050F9A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蓝图已把控制器目标定为参数量小、可编译为纯 C++ 求解器</w:t>
            </w:r>
          </w:p>
        </w:tc>
        <w:tc>
          <w:tcPr>
            <w:tcW w:w="4309" w:type="dxa"/>
          </w:tcPr>
          <w:p w14:paraId="691922D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无开发板，延迟与内存占用尚无测量</w:t>
            </w:r>
          </w:p>
        </w:tc>
      </w:tr>
      <w:tr w14:paraId="2CD79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1" w:type="dxa"/>
          </w:tcPr>
          <w:p w14:paraId="2D99E6A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引用库</w:t>
            </w:r>
          </w:p>
        </w:tc>
        <w:tc>
          <w:tcPr>
            <w:tcW w:w="4309" w:type="dxa"/>
          </w:tcPr>
          <w:p w14:paraId="6E7CEDA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30 篇已逐条核到正式版本，可直接写 Related Work</w:t>
            </w:r>
          </w:p>
        </w:tc>
        <w:tc>
          <w:tcPr>
            <w:tcW w:w="4309" w:type="dxa"/>
          </w:tcPr>
          <w:p w14:paraId="7126797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DriveDreamer 等对手已正式发表，新颖性只能靠条件模态本身</w:t>
            </w:r>
          </w:p>
        </w:tc>
      </w:tr>
    </w:tbl>
    <w:p w14:paraId="2DD1F09F">
      <w:pPr>
        <w:spacing w:before="40" w:after="160"/>
        <w:jc w:val="left"/>
      </w:pPr>
      <w:r>
        <w:rPr>
          <w:rFonts w:ascii="Times New Roman" w:hAnsi="Times New Roman" w:eastAsia="黑体"/>
          <w:b w:val="0"/>
          <w:sz w:val="18"/>
        </w:rPr>
        <w:t>表 4　优势与短板对照</w:t>
      </w:r>
    </w:p>
    <w:p w14:paraId="728B643D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表 4 里有一项容易被误估。蓝图把 CARLA 列为“现成平台”，但学位论文全文没有出现 CARLA，它的仿真试验另有实现。这意味着 CARLA 侧不是复用，而是从零建，包括地图改造与交通流配置。这部分工作量必须单独计，不能算在“环境搭建”里一笔带过。</w:t>
      </w:r>
    </w:p>
    <w:p w14:paraId="79CDC849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另一个要说清楚的是数据规模。论文报告的有效样本是高速公路 3594 组、城市道路 4846 组；按四类工况划分后，前方无车 3500 组、相邻车道车辆插入 750 组、前方车辆减速 3390 组、前方车辆驶离 800 组。采集设备是大陆 ARS408 毫米波雷达（测速精度 ±0.1 km/h）、M8030 GPS 模块、HEX-V2 CAN 总线分析仪。高速试验在吉双高速（G1112）完成，以 60、80、100、120 km/h 四种初始车速各跑约一小时，且均在晴天、保持中间车道。这些细节决定了我们能声称什么范围内的结论：天气不好、交叉口、城市普通道路都不在覆盖范围内。</w:t>
      </w:r>
    </w:p>
    <w:p w14:paraId="5B9682D2">
      <w:pPr>
        <w:pStyle w:val="2"/>
        <w:spacing w:before="200" w:after="80"/>
      </w:pPr>
      <w:r>
        <w:rPr>
          <w:rFonts w:hint="eastAsia"/>
          <w:b/>
          <w:sz w:val="28"/>
          <w:lang w:val="en-US" w:eastAsia="zh-CN"/>
        </w:rPr>
        <w:t>五</w:t>
      </w:r>
      <w:r>
        <w:rPr>
          <w:rFonts w:ascii="Times New Roman" w:hAnsi="Times New Roman" w:eastAsia="黑体"/>
          <w:b/>
          <w:sz w:val="28"/>
        </w:rPr>
        <w:t>、前置准备已完成的具体工作</w:t>
      </w:r>
    </w:p>
    <w:p w14:paraId="49D4FE30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下面四项是这一周已经做完并留下文件的，都不依赖算力与数据。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2251"/>
        <w:gridCol w:w="3521"/>
        <w:gridCol w:w="2870"/>
      </w:tblGrid>
      <w:tr w14:paraId="099E3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39494B0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序号</w:t>
            </w:r>
          </w:p>
        </w:tc>
        <w:tc>
          <w:tcPr>
            <w:tcW w:w="2494" w:type="dxa"/>
          </w:tcPr>
          <w:p w14:paraId="4CB110E9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工作</w:t>
            </w:r>
          </w:p>
        </w:tc>
        <w:tc>
          <w:tcPr>
            <w:tcW w:w="3628" w:type="dxa"/>
          </w:tcPr>
          <w:p w14:paraId="6CB48841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产出文件</w:t>
            </w:r>
          </w:p>
        </w:tc>
        <w:tc>
          <w:tcPr>
            <w:tcW w:w="3175" w:type="dxa"/>
          </w:tcPr>
          <w:p w14:paraId="553F2BAF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验证方式</w:t>
            </w:r>
          </w:p>
        </w:tc>
      </w:tr>
      <w:tr w14:paraId="17A1B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C3D41C7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2494" w:type="dxa"/>
          </w:tcPr>
          <w:p w14:paraId="4E5547F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资产盘点与缺口分析</w:t>
            </w:r>
          </w:p>
        </w:tc>
        <w:tc>
          <w:tcPr>
            <w:tcW w:w="3628" w:type="dxa"/>
          </w:tcPr>
          <w:p w14:paraId="29FA579C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audit/00-asset-inventory.md</w:t>
            </w:r>
          </w:p>
        </w:tc>
        <w:tc>
          <w:tcPr>
            <w:tcW w:w="3175" w:type="dxa"/>
          </w:tcPr>
          <w:p w14:paraId="3028714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每项资产标出处与论文行号，未核到的字段留空并标待核实</w:t>
            </w:r>
          </w:p>
        </w:tc>
      </w:tr>
      <w:tr w14:paraId="5B452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0F9A5A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2494" w:type="dxa"/>
          </w:tcPr>
          <w:p w14:paraId="09CCA8F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参考文献逐条核验（30 篇）</w:t>
            </w:r>
          </w:p>
        </w:tc>
        <w:tc>
          <w:tcPr>
            <w:tcW w:w="3628" w:type="dxa"/>
          </w:tcPr>
          <w:p w14:paraId="71D196A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audit/0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b w:val="0"/>
                <w:sz w:val="18"/>
              </w:rPr>
              <w:t>-pending-citations.md、sources/references-list-verified.txt</w:t>
            </w:r>
          </w:p>
        </w:tc>
        <w:tc>
          <w:tcPr>
            <w:tcW w:w="3175" w:type="dxa"/>
          </w:tcPr>
          <w:p w14:paraId="01FE8555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每条给官方页面或 DOI 作依据；两篇锚点由我二次独立核对</w:t>
            </w:r>
          </w:p>
        </w:tc>
      </w:tr>
      <w:tr w14:paraId="4FCF8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36B896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2494" w:type="dxa"/>
          </w:tcPr>
          <w:p w14:paraId="0948C7F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仓库骨架与结果契约</w:t>
            </w:r>
          </w:p>
        </w:tc>
        <w:tc>
          <w:tcPr>
            <w:tcW w:w="3628" w:type="dxa"/>
          </w:tcPr>
          <w:p w14:paraId="68728FA1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README.md、configs/README.md 等 6 份约定文件、configs/schema/results.schema.json</w:t>
            </w:r>
          </w:p>
        </w:tc>
        <w:tc>
          <w:tcPr>
            <w:tcW w:w="3175" w:type="dxa"/>
          </w:tcPr>
          <w:p w14:paraId="5042F74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schema 已实际解析校验通过，14 个必填字段</w:t>
            </w:r>
          </w:p>
        </w:tc>
      </w:tr>
      <w:tr w14:paraId="6EB6D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CE6772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2494" w:type="dxa"/>
          </w:tcPr>
          <w:p w14:paraId="4F436886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数据使用申请与伦理自查</w:t>
            </w:r>
          </w:p>
        </w:tc>
        <w:tc>
          <w:tcPr>
            <w:tcW w:w="3628" w:type="dxa"/>
          </w:tcPr>
          <w:p w14:paraId="18A624F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audit/04-data-request-and-ethics.md</w:t>
            </w:r>
          </w:p>
        </w:tc>
        <w:tc>
          <w:tcPr>
            <w:tcW w:w="3175" w:type="dxa"/>
          </w:tcPr>
          <w:p w14:paraId="320B7856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申请信、三档数据清单、验收判据、备选方案均已写定</w:t>
            </w:r>
          </w:p>
        </w:tc>
      </w:tr>
    </w:tbl>
    <w:p w14:paraId="10316D9B">
      <w:pPr>
        <w:spacing w:before="40" w:after="160"/>
        <w:jc w:val="left"/>
      </w:pPr>
      <w:r>
        <w:rPr>
          <w:rFonts w:ascii="Times New Roman" w:hAnsi="Times New Roman" w:eastAsia="黑体"/>
          <w:b w:val="0"/>
          <w:sz w:val="18"/>
        </w:rPr>
        <w:t>表 6　本阶段产出（均为零算力依赖）</w:t>
      </w:r>
    </w:p>
    <w:p w14:paraId="792884CC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结果契约这件事看着像行政工作，实际上是为了防一个常见问题：数据跑出来以后，因为没有固定的存储格式与命名规则，导致稿子里的数字回溯不到具体文件。我们把结果文件的命名定为“论文_实验_场景_种子集”四段，并要求每份结果必填 14 个字段，其中包括种子列表、配置文件的哈希、证据来源是自己跑的还是引用别人的、以及放弃过的设定。自检产物与正式结果分开存放，避免调试数据混进稿子。</w:t>
      </w:r>
    </w:p>
    <w:p w14:paraId="226C02FB">
      <w:pPr>
        <w:pStyle w:val="2"/>
        <w:spacing w:before="200" w:after="80"/>
      </w:pPr>
      <w:r>
        <w:rPr>
          <w:rFonts w:hint="eastAsia"/>
          <w:b/>
          <w:sz w:val="28"/>
          <w:lang w:val="en-US" w:eastAsia="zh-CN"/>
        </w:rPr>
        <w:t>六</w:t>
      </w:r>
      <w:r>
        <w:rPr>
          <w:rFonts w:ascii="Times New Roman" w:hAnsi="Times New Roman" w:eastAsia="黑体"/>
          <w:b/>
          <w:sz w:val="28"/>
        </w:rPr>
        <w:t>、劣势与应对</w:t>
      </w:r>
    </w:p>
    <w:p w14:paraId="05282FBA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下面四条是目前真实存在的短板，我不打算绕过去。</w:t>
      </w:r>
    </w:p>
    <w:p w14:paraId="31101B10">
      <w:pPr>
        <w:pStyle w:val="3"/>
        <w:spacing w:before="160" w:after="80"/>
      </w:pPr>
      <w:r>
        <w:rPr>
          <w:rFonts w:hint="eastAsia"/>
          <w:b/>
          <w:sz w:val="24"/>
          <w:lang w:val="en-US" w:eastAsia="zh-CN"/>
        </w:rPr>
        <w:t>6</w:t>
      </w:r>
      <w:r>
        <w:rPr>
          <w:rFonts w:ascii="Times New Roman" w:hAnsi="Times New Roman" w:eastAsia="黑体"/>
          <w:b/>
          <w:sz w:val="24"/>
        </w:rPr>
        <w:t>.1 算力</w:t>
      </w:r>
    </w:p>
    <w:p w14:paraId="7D4C6F18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本机没有可用 GPU，CARLA 闭环训练与大规模消融目前跑不了。我的处理办法是把工作分成两类：公式复现、规则复现、统计脚本、参考文献库这些纯 CPU 的事情立即做；CARLA 相关的一律往后放，等算力有着落再启动。这样安排的好处是无论算力什么时候到位，前置部分都不会白等。</w:t>
      </w:r>
    </w:p>
    <w:p w14:paraId="27940285">
      <w:pPr>
        <w:pStyle w:val="3"/>
        <w:spacing w:before="160" w:after="80"/>
      </w:pPr>
      <w:r>
        <w:rPr>
          <w:rFonts w:hint="eastAsia"/>
          <w:b/>
          <w:sz w:val="24"/>
          <w:lang w:val="en-US" w:eastAsia="zh-CN"/>
        </w:rPr>
        <w:t>6</w:t>
      </w:r>
      <w:r>
        <w:rPr>
          <w:rFonts w:ascii="Times New Roman" w:hAnsi="Times New Roman" w:eastAsia="黑体"/>
          <w:b/>
          <w:sz w:val="24"/>
        </w:rPr>
        <w:t>.2 数据</w:t>
      </w:r>
    </w:p>
    <w:p w14:paraId="0142D65C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实车数据集与 TD3 代码都不在我们手上。</w:t>
      </w:r>
      <w:r>
        <w:rPr>
          <w:rFonts w:hint="eastAsia"/>
          <w:b w:val="0"/>
          <w:sz w:val="21"/>
          <w:lang w:val="en-US" w:eastAsia="zh-CN"/>
        </w:rPr>
        <w:t>对于实车数据集，不知道老师你这里还有不</w:t>
      </w:r>
      <w:r>
        <w:rPr>
          <w:rFonts w:ascii="Times New Roman" w:hAnsi="Times New Roman" w:eastAsia="宋体"/>
          <w:b w:val="0"/>
          <w:sz w:val="21"/>
        </w:rPr>
        <w:t>。对</w:t>
      </w:r>
      <w:r>
        <w:rPr>
          <w:rFonts w:hint="eastAsia"/>
          <w:b w:val="0"/>
          <w:sz w:val="21"/>
          <w:lang w:val="en-US" w:eastAsia="zh-CN"/>
        </w:rPr>
        <w:t>于TD3代码</w:t>
      </w:r>
      <w:r>
        <w:rPr>
          <w:rFonts w:ascii="Times New Roman" w:hAnsi="Times New Roman" w:eastAsia="宋体"/>
          <w:b w:val="0"/>
          <w:sz w:val="21"/>
        </w:rPr>
        <w:t>，论文第 5 章把 actor 与 critic 的层数、神经元个数、学习率、优化器、梯度阈值与正则化系数都给出了，按表 5.1 与 5.2 重实现技术上可行；但在稿件里必须写清楚基线到底是“引用原实现”还是“我们复现”，两者不能混。我倾向现在先按“引用”处理，等有算力再决定是否重实现。</w:t>
      </w:r>
    </w:p>
    <w:p w14:paraId="0921E361">
      <w:pPr>
        <w:pStyle w:val="3"/>
        <w:spacing w:before="160" w:after="80"/>
      </w:pPr>
      <w:r>
        <w:rPr>
          <w:rFonts w:hint="eastAsia"/>
          <w:b/>
          <w:sz w:val="24"/>
          <w:lang w:val="en-US" w:eastAsia="zh-CN"/>
        </w:rPr>
        <w:t>6</w:t>
      </w:r>
      <w:r>
        <w:rPr>
          <w:rFonts w:ascii="Times New Roman" w:hAnsi="Times New Roman" w:eastAsia="黑体"/>
          <w:b/>
          <w:sz w:val="24"/>
        </w:rPr>
        <w:t>.3 仿真环境从零建</w:t>
      </w:r>
    </w:p>
    <w:p w14:paraId="36EA1687">
      <w:pPr>
        <w:spacing w:after="80" w:line="300" w:lineRule="auto"/>
        <w:ind w:firstLine="420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 w:val="0"/>
          <w:sz w:val="21"/>
        </w:rPr>
        <w:t>学位论文没有用 CARLA，所以建图、交通流、地图修改都需要自己做。这是一块容易被低估的工作量，我把它单独列出来，不往“环境搭建”里塞。</w:t>
      </w:r>
      <w:r>
        <w:rPr>
          <w:rFonts w:ascii="Times New Roman" w:hAnsi="Times New Roman" w:eastAsia="宋体"/>
          <w:b w:val="0"/>
          <w:sz w:val="21"/>
        </w:rPr>
        <w:br w:type="textWrapping"/>
      </w:r>
      <w:r>
        <w:rPr>
          <w:rFonts w:hint="eastAsia"/>
          <w:b w:val="0"/>
          <w:sz w:val="21"/>
          <w:lang w:val="en-US" w:eastAsia="zh-CN"/>
        </w:rPr>
        <w:t xml:space="preserve">        或者我直接用老师推荐的仿真器重新跑仿真也可以。</w:t>
      </w:r>
    </w:p>
    <w:p w14:paraId="311C9857">
      <w:pPr>
        <w:pStyle w:val="3"/>
        <w:spacing w:before="160" w:after="80"/>
      </w:pPr>
      <w:r>
        <w:rPr>
          <w:rFonts w:hint="eastAsia"/>
          <w:b/>
          <w:sz w:val="24"/>
          <w:lang w:val="en-US" w:eastAsia="zh-CN"/>
        </w:rPr>
        <w:t>6</w:t>
      </w:r>
      <w:r>
        <w:rPr>
          <w:rFonts w:ascii="Times New Roman" w:hAnsi="Times New Roman" w:eastAsia="黑体"/>
          <w:b/>
          <w:sz w:val="24"/>
        </w:rPr>
        <w:t>.4 引用与版本风险</w:t>
      </w:r>
    </w:p>
    <w:p w14:paraId="1EEC8E49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此类风险已基本解除。参考文献已逐条核到正式版本，并把不能肯定表述的字段（如某会议的 Oral 身份、某期刊的扩展版是否存在）单独列为待核实项，写稿时不作肯定表述。</w:t>
      </w:r>
    </w:p>
    <w:p w14:paraId="6399D94E">
      <w:pPr>
        <w:pStyle w:val="2"/>
        <w:spacing w:before="200" w:after="80"/>
      </w:pPr>
      <w:r>
        <w:rPr>
          <w:rFonts w:hint="eastAsia"/>
          <w:b/>
          <w:sz w:val="28"/>
          <w:lang w:val="en-US" w:eastAsia="zh-CN"/>
        </w:rPr>
        <w:t>七</w:t>
      </w:r>
      <w:r>
        <w:rPr>
          <w:rFonts w:ascii="Times New Roman" w:hAnsi="Times New Roman" w:eastAsia="黑体"/>
          <w:b/>
          <w:sz w:val="28"/>
        </w:rPr>
        <w:t>、下一步：时间安排</w:t>
      </w:r>
    </w:p>
    <w:p w14:paraId="0D31D71C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按“先做不依赖算力的事”原则，将蓝图的 0–6 个月第一阶段拆成四段。第一段现在就能开始。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"/>
        <w:gridCol w:w="1391"/>
        <w:gridCol w:w="2632"/>
        <w:gridCol w:w="2823"/>
        <w:gridCol w:w="1687"/>
      </w:tblGrid>
      <w:tr w14:paraId="3F848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13F98195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阶段</w:t>
            </w:r>
          </w:p>
        </w:tc>
        <w:tc>
          <w:tcPr>
            <w:tcW w:w="1474" w:type="dxa"/>
          </w:tcPr>
          <w:p w14:paraId="29A34612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周次</w:t>
            </w:r>
          </w:p>
        </w:tc>
        <w:tc>
          <w:tcPr>
            <w:tcW w:w="2835" w:type="dxa"/>
          </w:tcPr>
          <w:p w14:paraId="03F5689A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任务</w:t>
            </w:r>
          </w:p>
        </w:tc>
        <w:tc>
          <w:tcPr>
            <w:tcW w:w="3061" w:type="dxa"/>
          </w:tcPr>
          <w:p w14:paraId="40EF15E5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完成判据</w:t>
            </w:r>
          </w:p>
        </w:tc>
        <w:tc>
          <w:tcPr>
            <w:tcW w:w="1814" w:type="dxa"/>
          </w:tcPr>
          <w:p w14:paraId="1BA784BA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依赖</w:t>
            </w:r>
          </w:p>
        </w:tc>
      </w:tr>
      <w:tr w14:paraId="6AC8B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0153DC36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一</w:t>
            </w:r>
          </w:p>
        </w:tc>
        <w:tc>
          <w:tcPr>
            <w:tcW w:w="1474" w:type="dxa"/>
          </w:tcPr>
          <w:p w14:paraId="3AB5C86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1–4 周</w:t>
            </w:r>
          </w:p>
        </w:tc>
        <w:tc>
          <w:tcPr>
            <w:tcW w:w="2835" w:type="dxa"/>
          </w:tcPr>
          <w:p w14:paraId="237B4F7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OTF 与动态时间窗函数复现；分层评估规则代码化；统计脚本；数据申请寄出</w:t>
            </w:r>
          </w:p>
        </w:tc>
        <w:tc>
          <w:tcPr>
            <w:tcW w:w="3061" w:type="dxa"/>
          </w:tcPr>
          <w:p w14:paraId="1B2F1DE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表 1 五项全部有对应代码；用论文四档窗长与四种车速的 OTF 分布能对拍</w:t>
            </w:r>
          </w:p>
        </w:tc>
        <w:tc>
          <w:tcPr>
            <w:tcW w:w="1814" w:type="dxa"/>
          </w:tcPr>
          <w:p w14:paraId="057D148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</w:tr>
      <w:tr w14:paraId="0D45F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3B9A00E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二</w:t>
            </w:r>
          </w:p>
        </w:tc>
        <w:tc>
          <w:tcPr>
            <w:tcW w:w="1474" w:type="dxa"/>
          </w:tcPr>
          <w:p w14:paraId="603A7197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第 5–10 周</w:t>
            </w:r>
          </w:p>
        </w:tc>
        <w:tc>
          <w:tcPr>
            <w:tcW w:w="2835" w:type="dxa"/>
          </w:tcPr>
          <w:p w14:paraId="2AD875B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CARLA 环境与改造地图；四个基线（PID、MPC、TD3、本方法）搭建</w:t>
            </w:r>
          </w:p>
        </w:tc>
        <w:tc>
          <w:tcPr>
            <w:tcW w:w="3061" w:type="dxa"/>
          </w:tcPr>
          <w:p w14:paraId="169AC8F5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同一地图、同一组种子下四个基线能跑通并产出符合 schema 的结果文件</w:t>
            </w:r>
          </w:p>
        </w:tc>
        <w:tc>
          <w:tcPr>
            <w:tcW w:w="1814" w:type="dxa"/>
          </w:tcPr>
          <w:p w14:paraId="4D91A571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算力</w:t>
            </w:r>
          </w:p>
        </w:tc>
      </w:tr>
      <w:tr w14:paraId="5618F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B7B3F0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三</w:t>
            </w:r>
          </w:p>
        </w:tc>
        <w:tc>
          <w:tcPr>
            <w:tcW w:w="1474" w:type="dxa"/>
          </w:tcPr>
          <w:p w14:paraId="19E0376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11–18 周</w:t>
            </w:r>
          </w:p>
        </w:tc>
        <w:tc>
          <w:tcPr>
            <w:tcW w:w="2835" w:type="dxa"/>
          </w:tcPr>
          <w:p w14:paraId="460D2711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CfC 控制器实现；A1–A3 消融</w:t>
            </w:r>
          </w:p>
        </w:tc>
        <w:tc>
          <w:tcPr>
            <w:tcW w:w="3061" w:type="dxa"/>
          </w:tcPr>
          <w:p w14:paraId="6D1D041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每项消融只改一个因素，报告均值±标准差或置信区间</w:t>
            </w:r>
          </w:p>
        </w:tc>
        <w:tc>
          <w:tcPr>
            <w:tcW w:w="1814" w:type="dxa"/>
          </w:tcPr>
          <w:p w14:paraId="05ED2D7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算力</w:t>
            </w:r>
          </w:p>
        </w:tc>
      </w:tr>
      <w:tr w14:paraId="19287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94" w:type="dxa"/>
          </w:tcPr>
          <w:p w14:paraId="5E0FC23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四</w:t>
            </w:r>
          </w:p>
        </w:tc>
        <w:tc>
          <w:tcPr>
            <w:tcW w:w="1474" w:type="dxa"/>
          </w:tcPr>
          <w:p w14:paraId="076E154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第 19–24 周</w:t>
            </w:r>
          </w:p>
        </w:tc>
        <w:tc>
          <w:tcPr>
            <w:tcW w:w="2835" w:type="dxa"/>
          </w:tcPr>
          <w:p w14:paraId="246E705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A4–A5 消融、长尾四项测试、论文撰写与投稿</w:t>
            </w:r>
          </w:p>
        </w:tc>
        <w:tc>
          <w:tcPr>
            <w:tcW w:w="3061" w:type="dxa"/>
          </w:tcPr>
          <w:p w14:paraId="7ECB5C27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每个图表能回溯到具体结果文件与字段</w:t>
            </w:r>
          </w:p>
        </w:tc>
        <w:tc>
          <w:tcPr>
            <w:tcW w:w="1814" w:type="dxa"/>
          </w:tcPr>
          <w:p w14:paraId="605E2FF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算力、数据</w:t>
            </w:r>
          </w:p>
        </w:tc>
      </w:tr>
    </w:tbl>
    <w:p w14:paraId="11AA7407">
      <w:pPr>
        <w:spacing w:before="40" w:after="160"/>
        <w:jc w:val="left"/>
      </w:pPr>
      <w:r>
        <w:rPr>
          <w:rFonts w:ascii="Times New Roman" w:hAnsi="Times New Roman" w:eastAsia="黑体"/>
          <w:b w:val="0"/>
          <w:sz w:val="18"/>
        </w:rPr>
        <w:t>表 7　第一篇论文前六个月的分段安排</w:t>
      </w:r>
    </w:p>
    <w:p w14:paraId="6CCA3FC7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关键路径上只有两个外部依赖：算力与数据。除此之外的环节都可以现在推进。如果算力与数据到第 10 周仍无着落，我建议把第一阶段的产出整理成一篇偏方法与规则验证的短文，先投国际会议的工作坊或短文轨，不让前期工作沉没。这个选项需要先核对目标会议的征稿时间表，我不凭印象说截稿日期。</w:t>
      </w:r>
    </w:p>
    <w:p w14:paraId="284565FF">
      <w:pPr>
        <w:pStyle w:val="2"/>
        <w:spacing w:before="200" w:after="80"/>
      </w:pPr>
      <w:r>
        <w:rPr>
          <w:rFonts w:ascii="Times New Roman" w:hAnsi="Times New Roman" w:eastAsia="黑体"/>
          <w:b/>
          <w:sz w:val="28"/>
        </w:rPr>
        <w:t>九、第一周就能开始的五件事</w:t>
      </w:r>
    </w:p>
    <w:p w14:paraId="0CBEC73F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每件一天内能看到结果，且不需要算力与数据。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4419"/>
        <w:gridCol w:w="4210"/>
      </w:tblGrid>
      <w:tr w14:paraId="68442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F2FA706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序号</w:t>
            </w:r>
          </w:p>
        </w:tc>
        <w:tc>
          <w:tcPr>
            <w:tcW w:w="4762" w:type="dxa"/>
          </w:tcPr>
          <w:p w14:paraId="65F2BCB2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任务</w:t>
            </w:r>
          </w:p>
        </w:tc>
        <w:tc>
          <w:tcPr>
            <w:tcW w:w="4535" w:type="dxa"/>
          </w:tcPr>
          <w:p w14:paraId="5F25E322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当天可见的结果</w:t>
            </w:r>
          </w:p>
        </w:tc>
      </w:tr>
      <w:tr w14:paraId="718E1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45B97E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4762" w:type="dxa"/>
          </w:tcPr>
          <w:p w14:paraId="36ABA1E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从学位论文抽取 OTF 定义式与三车道情形公式，写成可读的数学描述</w:t>
            </w:r>
          </w:p>
        </w:tc>
        <w:tc>
          <w:tcPr>
            <w:tcW w:w="4535" w:type="dxa"/>
          </w:tcPr>
          <w:p w14:paraId="05B6CE2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一页公式清单，每个符号都标出论文出处</w:t>
            </w:r>
          </w:p>
        </w:tc>
      </w:tr>
      <w:tr w14:paraId="7BB48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6FF592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4762" w:type="dxa"/>
          </w:tcPr>
          <w:p w14:paraId="7BF529B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把滑动窗口伪代码改成可运行的函数，用合成轨迹做单元自检</w:t>
            </w:r>
          </w:p>
        </w:tc>
        <w:tc>
          <w:tcPr>
            <w:tcW w:w="4535" w:type="dxa"/>
          </w:tcPr>
          <w:p w14:paraId="4340FBE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一个能跑通的脚本与输出示例</w:t>
            </w:r>
          </w:p>
        </w:tc>
      </w:tr>
      <w:tr w14:paraId="5453B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415491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4762" w:type="dxa"/>
          </w:tcPr>
          <w:p w14:paraId="2A75200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把学位论文第 3.2.1 节的四档窗长与四种车速结果整理成对拍表（供后续校验用）</w:t>
            </w:r>
          </w:p>
        </w:tc>
        <w:tc>
          <w:tcPr>
            <w:tcW w:w="4535" w:type="dxa"/>
          </w:tcPr>
          <w:p w14:paraId="4847886A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一张可直接对比的期望值表格</w:t>
            </w:r>
          </w:p>
        </w:tc>
      </w:tr>
      <w:tr w14:paraId="01630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45DA8A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4762" w:type="dxa"/>
          </w:tcPr>
          <w:p w14:paraId="2FA36B0C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把分层递阶评估的分级阈值从第 4 章抽出，写成确定性规则</w:t>
            </w:r>
          </w:p>
        </w:tc>
        <w:tc>
          <w:tcPr>
            <w:tcW w:w="4535" w:type="dxa"/>
          </w:tcPr>
          <w:p w14:paraId="44A1DE4B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一份可直接翻译成代码的分级规则表</w:t>
            </w:r>
          </w:p>
        </w:tc>
      </w:tr>
      <w:tr w14:paraId="5893A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79EDDB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4762" w:type="dxa"/>
          </w:tcPr>
          <w:p w14:paraId="6836DBF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把数据申请信的空白处填齐并寄出</w:t>
            </w:r>
          </w:p>
        </w:tc>
        <w:tc>
          <w:tcPr>
            <w:tcW w:w="4535" w:type="dxa"/>
          </w:tcPr>
          <w:p w14:paraId="5926D780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已发送的邮件与回执记录</w:t>
            </w:r>
          </w:p>
        </w:tc>
      </w:tr>
    </w:tbl>
    <w:p w14:paraId="120BA20A">
      <w:pPr>
        <w:spacing w:before="40" w:after="160"/>
        <w:jc w:val="left"/>
      </w:pPr>
      <w:r>
        <w:rPr>
          <w:rFonts w:ascii="Times New Roman" w:hAnsi="Times New Roman" w:eastAsia="黑体"/>
          <w:b w:val="0"/>
          <w:sz w:val="18"/>
        </w:rPr>
        <w:t>表 8　第一周任务清单</w:t>
      </w:r>
    </w:p>
    <w:p w14:paraId="748D5C8F">
      <w:pPr>
        <w:pStyle w:val="2"/>
        <w:spacing w:before="200" w:after="80"/>
      </w:pPr>
      <w:r>
        <w:rPr>
          <w:rFonts w:ascii="Times New Roman" w:hAnsi="Times New Roman" w:eastAsia="黑体"/>
          <w:b/>
          <w:sz w:val="28"/>
        </w:rPr>
        <w:t>十、需要老师定的三件事</w:t>
      </w:r>
    </w:p>
    <w:p w14:paraId="5E87ECAE">
      <w:pPr>
        <w:spacing w:after="80" w:line="300" w:lineRule="auto"/>
        <w:ind w:firstLine="420"/>
      </w:pPr>
      <w:r>
        <w:rPr>
          <w:rFonts w:hint="eastAsia"/>
          <w:b w:val="0"/>
          <w:sz w:val="21"/>
          <w:lang w:val="en-US" w:eastAsia="zh-CN"/>
        </w:rPr>
        <w:t>一</w:t>
      </w:r>
      <w:r>
        <w:rPr>
          <w:rFonts w:ascii="Times New Roman" w:hAnsi="Times New Roman" w:eastAsia="宋体"/>
          <w:b w:val="0"/>
          <w:sz w:val="21"/>
        </w:rPr>
        <w:t>是算力路线。是申请云端资源，还是先降级为开环回放与规则层验证。</w:t>
      </w:r>
      <w:r>
        <w:rPr>
          <w:rFonts w:hint="eastAsia"/>
          <w:b w:val="0"/>
          <w:sz w:val="21"/>
          <w:lang w:val="en-US" w:eastAsia="zh-CN"/>
        </w:rPr>
        <w:t>二</w:t>
      </w:r>
      <w:r>
        <w:rPr>
          <w:rFonts w:ascii="Times New Roman" w:hAnsi="Times New Roman" w:eastAsia="宋体"/>
          <w:b w:val="0"/>
          <w:sz w:val="21"/>
        </w:rPr>
        <w:t>是 TD3 基线路线。在稿件里写为引用值，还是按论文表 5.1、5.2 重实现。这三件事分别影响稿子的 claim 强度、时间表和主表结构，越早定越省返工。</w:t>
      </w:r>
    </w:p>
    <w:p w14:paraId="702745D8">
      <w:r>
        <w:br w:type="page"/>
      </w:r>
    </w:p>
    <w:p w14:paraId="4D6848B3">
      <w:pPr>
        <w:pStyle w:val="2"/>
        <w:spacing w:before="200" w:after="80"/>
      </w:pPr>
      <w:r>
        <w:rPr>
          <w:rFonts w:ascii="Times New Roman" w:hAnsi="Times New Roman" w:eastAsia="黑体"/>
          <w:b/>
          <w:sz w:val="28"/>
        </w:rPr>
        <w:t>附件：本文数字与事实的来源</w:t>
      </w:r>
    </w:p>
    <w:p w14:paraId="41DF20F3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下表给出本文所有关键数据的出处，供核对。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2"/>
        <w:gridCol w:w="6114"/>
      </w:tblGrid>
      <w:tr w14:paraId="47FB2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23B5F9B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数据或事实</w:t>
            </w:r>
          </w:p>
        </w:tc>
        <w:tc>
          <w:tcPr>
            <w:tcW w:w="6576" w:type="dxa"/>
          </w:tcPr>
          <w:p w14:paraId="41E37DC3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来源</w:t>
            </w:r>
          </w:p>
        </w:tc>
      </w:tr>
      <w:tr w14:paraId="5D997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23ADA0E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OTF 定义、三车道定义式、滑动窗口伪代码、动态时间窗函数</w:t>
            </w:r>
          </w:p>
        </w:tc>
        <w:tc>
          <w:tcPr>
            <w:tcW w:w="6576" w:type="dxa"/>
          </w:tcPr>
          <w:p w14:paraId="563D5B8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学位论文全文文本第 3 章（行 2156、2338、2562–2599、3337–3354）</w:t>
            </w:r>
          </w:p>
        </w:tc>
      </w:tr>
      <w:tr w14:paraId="174E0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550F8C91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分层递阶评估与三类分类器的准确率、增量</w:t>
            </w:r>
          </w:p>
        </w:tc>
        <w:tc>
          <w:tcPr>
            <w:tcW w:w="6576" w:type="dxa"/>
          </w:tcPr>
          <w:p w14:paraId="5A078072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同上第 4 章（行 6442–6445、6474–6494、6521–6526、6575–6580、6666–6673）</w:t>
            </w:r>
          </w:p>
        </w:tc>
      </w:tr>
      <w:tr w14:paraId="65819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051257F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TD3 网络结构与训练参数</w:t>
            </w:r>
          </w:p>
        </w:tc>
        <w:tc>
          <w:tcPr>
            <w:tcW w:w="6576" w:type="dxa"/>
          </w:tcPr>
          <w:p w14:paraId="7DFB84E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同上第 5 章（行 9947–9971）</w:t>
            </w:r>
          </w:p>
        </w:tc>
      </w:tr>
      <w:tr w14:paraId="68587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C3FA7AE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传感器型号与实车试验路段、车速、天气条件</w:t>
            </w:r>
          </w:p>
        </w:tc>
        <w:tc>
          <w:tcPr>
            <w:tcW w:w="6576" w:type="dxa"/>
          </w:tcPr>
          <w:p w14:paraId="307ECB9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同上第 2 章（行 1177–1203、1378–1414、1933–1959、1986–2012）</w:t>
            </w:r>
          </w:p>
        </w:tc>
      </w:tr>
      <w:tr w14:paraId="7BB5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0B31C44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40 名驾驶人模拟驾驶试验（动态时间窗标定）</w:t>
            </w:r>
          </w:p>
        </w:tc>
        <w:tc>
          <w:tcPr>
            <w:tcW w:w="6576" w:type="dxa"/>
          </w:tcPr>
          <w:p w14:paraId="5D7E6A79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同上第 3.2.2 节（行 3388–3402）</w:t>
            </w:r>
          </w:p>
        </w:tc>
      </w:tr>
      <w:tr w14:paraId="42B84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44B89388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30 篇参考文献的发表状态与推荐引用版本</w:t>
            </w:r>
          </w:p>
        </w:tc>
        <w:tc>
          <w:tcPr>
            <w:tcW w:w="6576" w:type="dxa"/>
          </w:tcPr>
          <w:p w14:paraId="15E87C3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audit/0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b w:val="0"/>
                <w:sz w:val="18"/>
              </w:rPr>
              <w:t>-pending-citations.md、sources/references-list-verified.txt</w:t>
            </w:r>
          </w:p>
        </w:tc>
      </w:tr>
      <w:tr w14:paraId="6FD2D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7A855C34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资产可用性等级与缺口</w:t>
            </w:r>
          </w:p>
        </w:tc>
        <w:tc>
          <w:tcPr>
            <w:tcW w:w="6576" w:type="dxa"/>
          </w:tcPr>
          <w:p w14:paraId="42DAFE43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audit/00-asset-inventory.md</w:t>
            </w:r>
          </w:p>
        </w:tc>
      </w:tr>
      <w:tr w14:paraId="122D2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</w:tcPr>
          <w:p w14:paraId="139E7135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消融项 A1–A5、四个基线与评价指标</w:t>
            </w:r>
          </w:p>
        </w:tc>
        <w:tc>
          <w:tcPr>
            <w:tcW w:w="6576" w:type="dxa"/>
          </w:tcPr>
          <w:p w14:paraId="53F75ADD"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18"/>
              </w:rPr>
              <w:t>sources/blueprint-papers-v1.1.txt</w:t>
            </w:r>
          </w:p>
        </w:tc>
      </w:tr>
    </w:tbl>
    <w:p w14:paraId="40F62D2D">
      <w:pPr>
        <w:spacing w:before="40" w:after="160"/>
        <w:jc w:val="left"/>
      </w:pPr>
      <w:r>
        <w:rPr>
          <w:rFonts w:ascii="Times New Roman" w:hAnsi="Times New Roman" w:eastAsia="黑体"/>
          <w:b w:val="0"/>
          <w:sz w:val="18"/>
        </w:rPr>
        <w:t>表 9　数据与事实来源对照</w:t>
      </w:r>
    </w:p>
    <w:p w14:paraId="216D094E">
      <w:pPr>
        <w:spacing w:after="80" w:line="300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需要提醒的是，表 7 的数值是分类器准确率，不是控制器性能；且为单一数据集上的点估计，论文未给置信区间。这一点写稿</w:t>
      </w:r>
      <w:r>
        <w:rPr>
          <w:rFonts w:hint="eastAsia"/>
          <w:b w:val="0"/>
          <w:sz w:val="21"/>
          <w:lang w:val="en-US" w:eastAsia="zh-CN"/>
        </w:rPr>
        <w:t>的时候</w:t>
      </w:r>
      <w:r>
        <w:rPr>
          <w:rFonts w:ascii="Times New Roman" w:hAnsi="Times New Roman" w:eastAsia="宋体"/>
          <w:b w:val="0"/>
          <w:sz w:val="21"/>
        </w:rPr>
        <w:t>不能省</w:t>
      </w:r>
      <w:r>
        <w:rPr>
          <w:rFonts w:hint="eastAsia"/>
          <w:b w:val="0"/>
          <w:sz w:val="21"/>
          <w:lang w:val="en-US" w:eastAsia="zh-CN"/>
        </w:rPr>
        <w:t>略</w:t>
      </w:r>
      <w:r>
        <w:rPr>
          <w:rFonts w:ascii="Times New Roman" w:hAnsi="Times New Roman" w:eastAsia="宋体"/>
          <w:b w:val="0"/>
          <w:sz w:val="21"/>
        </w:rPr>
        <w:t>。</w:t>
      </w:r>
    </w:p>
    <w:sectPr>
      <w:footerReference r:id="rId3" w:type="default"/>
      <w:pgSz w:w="11906" w:h="16838"/>
      <w:pgMar w:top="1440" w:right="1418" w:bottom="1440" w:left="1418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B3177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420"/>
  <w:compat>
    <w:useFELayout/>
    <w:compatSetting w:name="compatibilityMode" w:uri="http://schemas.microsoft.com/office/word" w:val="12"/>
  </w:compat>
  <w:rsids>
    <w:rsidRoot w:val="00000000"/>
    <w:rsid w:val="042A5DD5"/>
    <w:rsid w:val="21790EF4"/>
    <w:rsid w:val="2BE051FD"/>
    <w:rsid w:val="56877B05"/>
    <w:rsid w:val="69A8252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1"/>
    </w:rPr>
  </w:style>
  <w:style w:type="paragraph" w:styleId="2">
    <w:name w:val="heading 1"/>
    <w:basedOn w:val="1"/>
    <w:uiPriority w:val="0"/>
    <w:pPr>
      <w:outlineLvl w:val="0"/>
    </w:pPr>
    <w:rPr>
      <w:rFonts w:ascii="Times New Roman" w:hAnsi="Times New Roman" w:eastAsia="黑体"/>
      <w:b/>
      <w:sz w:val="30"/>
    </w:rPr>
  </w:style>
  <w:style w:type="paragraph" w:styleId="3">
    <w:name w:val="heading 2"/>
    <w:basedOn w:val="1"/>
    <w:qFormat/>
    <w:uiPriority w:val="0"/>
    <w:pPr>
      <w:outlineLvl w:val="1"/>
    </w:pPr>
    <w:rPr>
      <w:rFonts w:ascii="Times New Roman" w:hAnsi="Times New Roman" w:eastAsia="黑体"/>
      <w:b/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3454</Words>
  <Characters>4121</Characters>
  <TotalTime>20</TotalTime>
  <ScaleCrop>false</ScaleCrop>
  <LinksUpToDate>false</LinksUpToDate>
  <CharactersWithSpaces>4372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2026-09-27T22:42:00Z</dcterms:created>
  <dc:creator>OTF 论文集群</dc:creator>
  <cp:lastModifiedBy>夏宇轩</cp:lastModifiedBy>
  <dcterms:modified xsi:type="dcterms:W3CDTF">2026-09-28T11:05:15Z</dcterms:modified>
  <dc:title>组会汇报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eyJoZGlkIjoiMjM1OGYyN2RjOWUwZTBmYjIyMGFmM2ExZWQ2MTVjMWUiLCJ1c2VySWQiOiIxNzY1OTc5MzIxIn0=</vt:lpwstr>
  </property>
  <property fmtid="{D5CDD505-2E9C-101B-9397-08002B2CF9AE}" pid="3" name="KSOProductBuildVer">
    <vt:lpwstr>2052-12.1.0.28043</vt:lpwstr>
  </property>
  <property fmtid="{D5CDD505-2E9C-101B-9397-08002B2CF9AE}" pid="4" name="ICV">
    <vt:lpwstr>12134F746FFC436D96F634B4CD3C36CD_12</vt:lpwstr>
  </property>
</Properties>
</file>