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第二次组会汇报：P1 的文献底座与三条硬约束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—— 连续时间神经网络、决策基线与 T-ITS 回顾：对第一篇论文断言范围的修正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sz w:val="20"/>
        </w:rPr>
        <w:t>汇报人：【待填】　日期：【待填】　项目：OTF 论文集群·P1 OTF-CfC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一、本次汇报的重心：从“做什么”转到“说到什么程度”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上次汇报交代的是项目底子与第一篇论文的技术前置：盘了资产、核了引用库、定了实验契约。这次不重复那些，而是把文献读到一个能回答“我们到底能说什么”的程度。工作分三块：第一块是 P1 控制器的方法学底座（连续时间与流体神经网络）；第二块是决策基线（强化学习与安全强化学习）；第三块是 T-ITS 近年文献的回顾与定位参照。三块共计 30 余篇原文已归档到 audit/第二次组会/，并对其中 23 篇做了逐篇精读记录。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结论先说。这轮阅读没有推翻第一篇论文的方向，但修正了它的断言范围。具体是三条硬约束：参数量不能写“小于 500 KB”；不能自称 physics-informed；七项指标里有两项在同类文献中找不到对标物。三条都已写进项目不变量与风险登记表。下面分别说明它们从哪来、影响什么、怎么应对。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二、控制器的方法学底座：连续时间网络究竟给了我们什么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P1 拟用 CfC（闭式连续时间网络）做 100 Hz 控制器。这轮把它的原文（Nature Machine Intelligence 2022）读到可核对级别，结论是好坏参半。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4"/>
        </w:rPr>
        <w:t>2.1 它能支持什么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参数效率在同类模型横向比较下成立：CfC 的递归分量只有 4 184 个参数，同表中 NCP 是 6 495、LSTM 是 33 089。对不规则采样的鲁棒性也有正面证据（3 个任务），这与实车回放时时间戳不均匀的情况是吻合的。机理上它不需要数值 ODE 求解器，推理成本与离散 RNN 同阶，这与 100 Hz 定步长控制回路相容。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4"/>
        </w:rPr>
        <w:t>2.2 它不能支持什么（这是本节重点）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第一，这篇文章里的 CfC 是一个序列建模模型（图像输入、输出转向曲率），不是控制器：没有控制代价、没有状态反馈结构、没有稳定性与约束处理。第二，全文没有任何硬件信息，也没有一项闭环控制指标。第三，脚本里的“可上 MCU”只是作者在适用场景里的建议句，不是实验结论。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这三点合起来直接决定了一件事：P1 不能把 CfC 的建模优势当成控制优势来写。引用时只能写成“CfC 在开环序列建模任务上相对特定 ODE 基线报告了训练/推理加速与相当或更优的精度（文献报告值，未报告硬件，不可直接比较）”。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一个对我们比较关键的补充发现：在这个系列里，目前唯一的真机闭环证据来自一篇四旋翼飞行论文（Science Robotics 2023），它的控制器正好就是 CfC 血统，在四个环境里各 40 次机载闭环。但它的平台是 Jetson TX2（单板机，不是 MCU），而且同样没有参数量、没有控制频率、没有时延。所以它能支持“该类模型可在真实硬件上闭环”，不能支持任何实时性与内存断言。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三、三条硬约束及其后果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4"/>
        </w:rPr>
        <w:t>3.1 参数量：不能写“小于 500 KB”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蓝图里写的是控制器参数量小于 500 KB。原文只给了一组参数量，而且是车道保持模型的：递归分量 4 184，含 CNN 感知头的全模型 230 828。换算下来，fp32 约 902 KiB、超过 500 KB；fp16 约 451 KiB 才达标。而且这个换算是我们做的，论文只给了参数个数，没提量化精度与 KB。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口径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参数量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fp32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fp16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能不能写 &lt;500 KB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只算 RNN 分量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4 184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约 16.3 KiB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约 8.2 KiB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能，但需自证感知前端不占预算或另行量化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全模型（含感知头）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230 828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约 902 KiB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约 451 KiB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fp32 不能；fp16 可，但须报量化后的精度损失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黑体"/>
          <w:b w:val="0"/>
          <w:sz w:val="18"/>
        </w:rPr>
        <w:t>表 1　参数量口径与可写范围（参数为原文值，KiB 换算为本项目所做）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因此项目层面已定纪律：在拿到本项目自己的实测参数量之前，P1 不得写“小于 500 KB”；若必须写，必须同时写明量化精度与是否含感知头。同一条纪律也适用于“延迟小于 1 ms”与“可上 MCU”——两者目前都没有任何支撑物。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4"/>
        </w:rPr>
        <w:t>3.2 术语：不宜自称 physics-informed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我们原本的设想是把 OTF 势场作为 ODE 的边界条件，这在叙述上很容易被写成“物理信息驱动（physics-informed）”。但这轮找到的最接近工作（PINC，Neurocomputing 2024）提供了一个反例：它用的是软损失项，且其基准方程有可判真伪的残差。而 OTF 势场是启发式先验，不存在这样的残差——没有一个方程可以判定它对不对。硬说 physics-informed 会被审稿人一句问倒。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宜用的说法是 structure-informed、prior-informed 或 boundary-conditioned，并把 OTF 定位为引导性偏置（inductive bias）。这里有一个对我们有利的细节：PINC 那篇文章从未做过关掉物理项的消融，而 P1 的 A1 消融正是 OTF 开/关对比——这一步相对它是净增量。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sz w:val="24"/>
        </w:rPr>
        <w:t>3.3 指标：两项在同类文献里找不到对标物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我们给 P1 定了七项指标。这轮逐篇核对同类文献后发现：端到端延迟与 MCU 内存占用这两项，在已检索的同类工作里普遍没有对应物；而跟车误差 RMSE、加速度平方积分、Jerk 峰值这三项才是真正可对标的。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P1 指标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同类文献可对标性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处理方式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跟车误差 RMSE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可对标（部分需先统一参考量与分母）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进入主对比表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加速度平方积分、Jerk 峰值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可对标（与部分文献的加速度约束边界可比）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进入主对比表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车道居中偏差、前轮转角方差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部分可对标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进入主对比表，标注口径差异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端到端延迟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无对标物（有文献报桌面机计算时间，平台不同）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不进入对比表；若报，只报“计算时间 / 采样周期”这一相对比值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MCU 内存占用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无对标物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必须自测；且拆成 Flash（权重）与 RAM（激活/峰值）两项，组合成一个数会被质疑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黑体"/>
          <w:b w:val="0"/>
          <w:sz w:val="18"/>
        </w:rPr>
        <w:t>表 2　七项指标的可对标性分类（逐篇依据见 literature/notes/ 与 literature/fresh2024/notes/ 的核对记录）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这条发现带来两个直接后果。一是对比表必须只放可比项，不可比的单列并注明“文献无对应指标”——否则等于拿别人没测的东西说自己更好。二是我们发现了该补而没补的指标：因为 P1 做的是编队控制，而弦稳定性（string stability）不能用 RMSE 代替；一篇相关工作给出了可直接复用的四项评价协议（振荡阻尼比、舒适成本、能耗、交通流稳定性），其中振荡阻尼比与交通流稳定性正是“混行编队振荡抑制”的直接度量，可作为 P1 的补充指标。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四、决策基线：两个 TD3 不能混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P1 的基线里有一条是学位论文的 TD3 直控。这轮同时读了 TD3 原文（ICML 2018）与学位论文第五章的实现，两者必须分开对待：前者是算法出处、后者是具体实现（网络层数、学习率、奖励设计均不同）。而且 TD3 原文里没有端到端延迟与内存指标，这两项只能自采。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安全强化学习方向，这轮读了三篇可直接使用的：一篇是 T-ITS 上的 Safety-Enhanced DRL，一篇是 Q-Advantage（人工引导的安全强化学习），一篇是带安全层的端到端方法。它们共同支撑 P4（安全隔离层）的动机叙事——即“上层智能体不可完全信任，需要独立的物理可行性筛查”。但同样地，这三篇都不报 MCU 级资源指标，不能拿来做资源对比。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五、文献底座的可复现证据链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为避免“读了很多但说不清读了哪些”，这轮把检索过程也落盘了。关键数字如下（均可在 literature/ 下回查）：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产出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检索日志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检索协议七要素、各轮命中与去重记录（含失败的检索式与限额原因）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literature/search-log.md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 候选引用库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 条唯一记录（= 75 主记录 + 23 旧库独有），合表报告同目录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literature/library/P1-library.jsonl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文献图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 篇期刊 + 18 条附录，DOI 逐条经 Crossref 核验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literature/文献需求-50篇顶刊.md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逐篇精读记录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第二次组会主题 23 篇 + 2024+ 增量分诊若干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literature/meeting2/notes/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标准化限定语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 篇核心文献的逐字限定语，写稿引用时必须带上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literature/notes/citation-qualifiers.md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可编译引用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BibTeX，供 Zotero/投稿模板直接使用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literature/refs.bib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黑体"/>
          <w:b w:val="0"/>
          <w:sz w:val="18"/>
        </w:rPr>
        <w:t>表 3　文献底座的产出与位置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需要说清楚两条限制。第一，检索平台 OpenAlex 的匿名额度在前两轮用尽，导致“引文展开（该文被谁引用、是否被独立复现）”这一步本次没能做，精读记录里的“外部复现”列因此统一写“未检”——这是信息缺失，不等于“无外部证据”，额度重置后应补。第二，第四轮用 Crossref 补检嵌入式部署主题，但 Crossref 无法在主题内按被引排序，该轮候选的筛选强度低于原 50 篇，因此资源类指标（延迟、内存）的可行性结论不能只靠这一轮下定论。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六、对第一篇论文的净影响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把上面三条硬约束和指标发现合起来，P1 的断言范围发生了以下变化：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修正前（蓝图/初版骨架）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修正后（现行口径）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依据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参数量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“参数量小于 500 KB”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未实测前不得写；若写须标量化精度与是否含感知头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AGENTS.md §1、literature/notes/p01-cfc-nmi2022.md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延迟与 MCU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“实测延迟 &lt;1 ms，给出车规部署路径”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未拿到板子前只写目标；不进入与他人的对比表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AGENTS.md §1/§3、风险 R20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术语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“物理信息驱动的 ODE 边界条件”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structure-informed / prior-informed / boundary-conditioned；OTF 定位为引导性偏置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AGENTS.md §1、literature/notes/p07-pinn-ctrl-neucom2024.md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时间窗函数证据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引学位论文的动态时间窗函数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区分两类证据：实车 OTF 分布（第 3.2.1 节）vs 模拟器标定的窗函数（第 3.2.2 节，40 名驾驶人）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audit/第一次组会/00-asset-inventory.md M2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分类器增益口径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“OTF 增益 1.0–1.7%”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+1.0 ~ +5.5 个百分点（分类器准确率，论文报告值，未经我们复现）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AGENTS.md §1、论文表 4.2–4.4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稳定性论证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（原本无此项）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若声称稳定性，须报逐车误差传播曲线；RMSE 小 ≠ 弦稳定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literature/notes/p33-lpstring-tcst2014.md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黑体"/>
          <w:b w:val="0"/>
          <w:sz w:val="18"/>
        </w:rPr>
        <w:t>表 4　P1 断言范围的修正对照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七、下一步安排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阶段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任务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完成判据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依赖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1–2 周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把三条硬约束写进写作模板；按新口径重查第一次组会材料与骨架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任何文件里不再出现“&lt;500 KB”“&lt;1 ms”“physics-informed”无限定语的用法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3–4 周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 OpenAlex 引文展开（每日额度重置后），把精读记录的“外部复现”列从“未检”升级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每篇给出同向/反向引用数与代表作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OpenAlex 额度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5–6 周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把表 2 的不可对标项写成 P1 的指标章程；确定是否补振荡阻尼比与交通流稳定性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指标清单定稿，不可比项明确标为“不进入对比表”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7–8 周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把第一次组会的四段式计划升级为 24 周逐周计划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每周一行（目标/交付物/判据/依赖/风险），与第一次组会的阶段划分一致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算力与 TD3 路线已决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黑体"/>
          <w:b w:val="0"/>
          <w:sz w:val="18"/>
        </w:rPr>
        <w:t>表 5　本轮之后的四步安排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八、需要老师定的三件事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一是指标补充：P1 是否补报振荡阻尼比与交通流稳定性这两项？它们比 RMSE 更贴近“编队控制”的本体。二是参数预算口径：若实测后全模型超了 500 KB，是接受 fp16/量化（并报精度损失），还是改只报递归分量？三是算力路线：云端租用还是先降级为开环回放与规则层验证。这三件分别决定对比表形态、工程主张的写法和时间表。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28"/>
        </w:rPr>
        <w:t>附件：本文数据与事实的来源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数据或事实</w:t>
            </w:r>
          </w:p>
        </w:tc>
        <w:tc>
          <w:tcPr>
            <w:tcW w:type="dxa" w:w="63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来源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CfC 参数量 4 184 / 230 828、无硬件与无闭环指标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literature/notes/p01-cfc-nmi2022.md、literature/meeting2/notes/cfc-nmi2022.md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Chahine 四旋翼真机闭环（CfC 控制器、Jetson TX2、无参数量/频率/时延）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literature/meeting2/notes/scirebotics2023-chahine-lnn-flight.md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PINC 用软损失项、且未做物理项关闭消融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literature/notes/p07-pinn-ctrl-neucom2024.md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Lp 弦稳定判据仅对 LTI 成立、关键数值来自单次实验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literature/notes/p33-lpstring-tcst2014.md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端到端延迟与 MCU 内存在同类文献中无对标物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literature/notes/p45-deeplcc-tcst2023.md、literature/fresh2024/notes/electronics2026-overtaking-hierarchical-rl.md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四项评价协议（振荡阻尼比、舒适成本、能耗、交通流稳定性）可复用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literature/fresh2024/notes/natcommun2025-platoon-knowledge-guided.md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TD3 原文无延迟与内存指标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literature/meeting2/notes/icml2018-td3.md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检索各轮命中与去重、OpenAlex 额度耗尽导致引文展开未做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literature/search-log.md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学位论文分类器增益与动态时间窗标定来源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sources/thesis-huang2023.fulltext.txt（行号见 audit/第一次组会/00-asset-inventory.md）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黑体"/>
          <w:b w:val="0"/>
          <w:sz w:val="18"/>
        </w:rPr>
        <w:t>表 6　数据与事实来源对照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需要提醒一句：本文引用的所有他人数字都是文献报告值，且多数未经独立复算（仅 CfC 参数量一处做了正式版读图核对）；投稿时必须按项目约定标“文献报告值，协议不同，不可直接比较”。</w:t>
      </w:r>
    </w:p>
    <w:sectPr>
      <w:footerReference xmlns:ns0="http://schemas.openxmlformats.org/officeDocument/2006/relationships" w:type="default" ns0:id="rId3"/>
      <w:pgSz w:w="11906" w:h="16838"/>
      <w:pgMar w:top="1440" w:right="1418" w:bottom="1440" w:left="1418" w:header="851" w:footer="992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</w:r>
    <w:fldSimple w:instr="PAGE"/>
  </w:p>
</w:ftr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</w:pPr>
    <w:rPr>
      <w:rFonts w:ascii="Times New Roman" w:hAnsi="Times New Roman" w:eastAsia="黑体"/>
      <w:b/>
      <w:sz w:val="30"/>
    </w:rPr>
  </w:style>
  <w:style w:type="paragraph" w:styleId="Heading2">
    <w:name w:val="heading 2"/>
    <w:basedOn w:val="Normal"/>
    <w:pPr>
      <w:outlineLvl w:val="1"/>
    </w:pPr>
    <w:rPr>
      <w:rFonts w:ascii="Times New Roman" w:hAnsi="Times New Roman" w:eastAsia="黑体"/>
      <w:b/>
      <w:sz w:val="24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Python</Application>
</Properties>
</file>

<file path=docProps/core.xml><?xml version="1.0" encoding="utf-8"?>
<cp:coreProperties xmlns:cp="http://schemas.openxmlformats.org/package/2006/metadata/core-properties" xmlns:dc="http://purl.org/dc/elements/1.1/">
  <dc:title>第二次组会汇报</dc:title>
</cp:coreProperties>
</file>