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Microsoft YaHei"/>
          <w:b/>
          <w:color w:val="0B2545"/>
          <w:sz w:val="44"/>
        </w:rPr>
        <w:t>AgentScope 2.0 用量、运行记录与租户模型实施说明</w:t>
      </w:r>
    </w:p>
    <w:p>
      <w:pPr>
        <w:spacing w:after="320"/>
      </w:pPr>
      <w:r>
        <w:rPr>
          <w:rFonts w:ascii="Calibri" w:hAnsi="Calibri" w:eastAsia="Microsoft YaHei"/>
          <w:color w:val="64748B"/>
          <w:sz w:val="20"/>
        </w:rPr>
        <w:t>适用范围：agentscope-dataagent | 版本：2.0.0-SNAPSHOT | 更新：2026-07-13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结论：请求级用量、独立运行记录和租户模型连接均由 AgentScope 2.0 的稳定扩展点实现；应用层不接管 Agent、Sandbox 或 span 生命周期。</w:t>
            </w:r>
          </w:p>
        </w:tc>
      </w:tr>
    </w:tbl>
    <w:p>
      <w:pPr>
        <w:pStyle w:val="Heading1"/>
      </w:pPr>
      <w:r>
        <w:t>1. 目标与范围</w:t>
      </w:r>
    </w:p>
    <w:p>
      <w:r>
        <w:rPr>
          <w:rFonts w:ascii="Calibri" w:hAnsi="Calibri" w:eastAsia="Microsoft YaHei"/>
          <w:sz w:val="22"/>
        </w:rPr>
        <w:t>本次实现将原先仅在内存中保存的“聊天轮次计数”替换为 MySQL 请求级账本，并接入 AgentScope 的 ChatUsage、OtelTracingMiddleware 和 ModelCreationContext。目标是让产品同时具备可计量、可排障、可按租户配置模型的运行基础。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3385"/>
        <w:gridCol w:w="4100"/>
      </w:tblGrid>
      <w:tr>
        <w:tc>
          <w:tcPr>
            <w:tcW w:type="dxa" w:w="18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38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实施结果</w:t>
            </w:r>
          </w:p>
        </w:tc>
        <w:tc>
          <w:tcPr>
            <w:tcW w:type="dxa" w:w="4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用量</w:t>
            </w:r>
          </w:p>
        </w:tc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按一次聊天请求汇总 token、缓存 token、耗时、模型、成本与状态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成本取决于已配置的模型单价；未配置时安全记为 0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运行记录</w:t>
            </w:r>
          </w:p>
        </w:tc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独立页面按 trace 展开 Agent、模型和工具 span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聊天气泡内的执行轨迹继续保留，不迁移、不替代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租户模型</w:t>
            </w:r>
          </w:p>
        </w:tc>
        <w:tc>
          <w:tcPr>
            <w:tcW w:type="dxa" w:w="3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个人 Agent 用 ModelCreationContext 读取加密凭据和 Base URL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当前用户 ID 是过渡 tenant ID；全局 Agent 仍用静态模型</w:t>
            </w:r>
          </w:p>
        </w:tc>
      </w:tr>
    </w:tbl>
    <w:p>
      <w:pPr>
        <w:spacing w:after="40"/>
      </w:pPr>
    </w:p>
    <w:p>
      <w:pPr>
        <w:pStyle w:val="Heading1"/>
      </w:pPr>
      <w:r>
        <w:t>2. 架构决策</w:t>
      </w:r>
    </w:p>
    <w:p>
      <w:r>
        <w:rPr>
          <w:rFonts w:ascii="Calibri" w:hAnsi="Calibri" w:eastAsia="Microsoft YaHei"/>
          <w:sz w:val="22"/>
        </w:rPr>
        <w:t>框架负责运行时生命周期，应用负责业务索引和治理。这个分层避免再次引入应用自管沙箱或自定义 tracing 链路。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ChatUsage：从每个 ModelCallEndEvent 收集 input、output 与 cached prompt tokens，并按请求汇总。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OtelTracingMiddleware：附加到每个 HarnessAgent Builder，生成 Agent、模型、工具三个层次的 span。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OpenTelemetry SDK：使用 MySQL span exporter 持久化白名单属性；提示词和模型正文不进入运行记录索引。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ModelCreationContext：用 tenant-openai / tenant-ollama factory 依据加密凭据、Base URL、endpoint 和缓存 ID 构建模型。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LongCat：保持 OpenAI-compatible formatter fallback；不强开 native JSON Schema 或 native structured output。</w:t>
      </w:r>
    </w:p>
    <w:p>
      <w:pPr>
        <w:pStyle w:val="Heading1"/>
      </w:pPr>
      <w:r>
        <w:t>3. 数据模型与成本口径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4750"/>
        <w:gridCol w:w="2735"/>
      </w:tblGrid>
      <w:tr>
        <w:tc>
          <w:tcPr>
            <w:tcW w:type="dxa" w:w="187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表</w:t>
            </w:r>
          </w:p>
        </w:tc>
        <w:tc>
          <w:tcPr>
            <w:tcW w:type="dxa" w:w="4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27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usage_event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tenant_id, user_id, agent_id, session_key, model_id, input_tokens, output_tokens, cached_prompt_tokens, duration_ms, cost_microusd, outcome</w:t>
            </w:r>
          </w:p>
        </w:tc>
        <w:tc>
          <w:tcPr>
            <w:tcW w:type="dxa" w:w="2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一次聊天请求的聚合账本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trace_run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trace_id, user_id, agent_id, session_key, model_id, status, started_at_ms, ended_at_ms</w:t>
            </w:r>
          </w:p>
        </w:tc>
        <w:tc>
          <w:tcPr>
            <w:tcW w:type="dxa" w:w="2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运行记录页的查询根节点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trace_span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trace_id, span_id, parent_span_id, operation_name, status, duration_ms, attributes_json</w:t>
            </w:r>
          </w:p>
        </w:tc>
        <w:tc>
          <w:tcPr>
            <w:tcW w:type="dxa" w:w="2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AgentScope OTel span 的安全索引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tenant_model_config</w:t>
            </w:r>
          </w:p>
        </w:tc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tenant_id, logical_model_id, provider, model_name, base_url, api_key_ciphertext, price fields</w:t>
            </w:r>
          </w:p>
        </w:tc>
        <w:tc>
          <w:tcPr>
            <w:tcW w:type="dxa" w:w="27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租户模型连接与价格策略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sz w:val="22"/>
        </w:rPr>
        <w:t>成本统一使用 micro USD 整数存储，避免浮点误差。标准输入 token、缓存输入 token 与输出 token 分别按“每百万 token 的 micro USD 单价”计算；标准输入为 max(input - cached, 0)。</w:t>
      </w:r>
    </w:p>
    <w:p>
      <w:pPr>
        <w:pStyle w:val="Heading1"/>
      </w:pPr>
      <w:r>
        <w:t>4. 请求执行与状态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聊天控制器创建根 span 和 trace_run，并将 span context 放入 Reactor 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AgentScope OtelTracingMiddleware 在同一 context 下创建 Agent、模型和工具子 span。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流式事件中的 ModelCallEndEvent 累加 ChatUsage；工具事件继续推送至聊天内的折叠执行轨迹。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请求结束时写入 usage_event，计算成本，结束根 span 并更新 trace_run 为 SUCCESS、CANCELLED 或 ERROR。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span exporter 只导出模型名、token、工具名、调用数、reply ID 等白名单字段，运行记录页按 trace 查询展示。</w:t>
      </w:r>
    </w:p>
    <w:p>
      <w:pPr>
        <w:pStyle w:val="Heading1"/>
      </w:pPr>
      <w:r>
        <w:t>5. 前端交互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00"/>
        <w:gridCol w:w="55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5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关键交互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/usage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个人用量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展示总 token、缓存 token、成本、平均耗时、请求趋势和模型分布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/traces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运行记录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一条请求一行，可展开 span、耗时、状态和安全属性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/models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模型连接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写入 provider、模型名、Base URL、密钥和单价；密钥只显示已配置状态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/chat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对话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334155"/>
                <w:sz w:val="18"/>
              </w:rPr>
              <w:t>继续保留消息内工具调用、人工确认和执行轨迹</w:t>
            </w:r>
          </w:p>
        </w:tc>
      </w:tr>
    </w:tbl>
    <w:p>
      <w:pPr>
        <w:spacing w:after="40"/>
      </w:pPr>
    </w:p>
    <w:p>
      <w:pPr>
        <w:pStyle w:val="Heading1"/>
      </w:pPr>
      <w:r>
        <w:t>6. 租户模型边界与安全要求</w:t>
      </w:r>
    </w:p>
    <w:p>
      <w:r>
        <w:rPr>
          <w:rFonts w:ascii="Calibri" w:hAnsi="Calibri" w:eastAsia="Microsoft YaHei"/>
          <w:sz w:val="22"/>
        </w:rPr>
        <w:t>当前没有独立组织租户表，因此 tenantForUser(userId) 是明确的过渡策略：数据模型保留 tenant_id，未来引入组织后只替换这一映射，不迁移模型配置表。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API Key 通过 AES-GCM 加密后写入 MySQL，接口只返回 apiKeyConfigured，不回显原文。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生产环境必须设置 DATAAGENT_CREDENTIAL_ENCRYPTION_KEY；更换该值会使已有密钥无法解密。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租户连接变更会失效当前用户的个人 Agent 缓存，新的个人 Agent 重建后使用新配置。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没有租户配置时继续解析现有 static local / longcat；全局 Data Agent 也保持现有静态注册，以控制迁移风险。</w:t>
      </w:r>
    </w:p>
    <w:p>
      <w:pPr>
        <w:pStyle w:val="Heading1"/>
      </w:pPr>
      <w:r>
        <w:t>7. 验收与运行手册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完成一段含模型和工具调用的对话，确认 /usage 出现 token、缓存 token、模型、耗时和成本记录。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打开 /traces，展开最新运行记录，确认 Agent、模型、工具 span 串在同一 trace 下。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点击聊天停止，确认本次 trace 和 usage 的 outcome 为 CANCELLED。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/models 新增 OpenAI-compatible 连接并保存，确认密钥不回显；新建或重建个人 Agent 后验证新连接。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执行 mvn test 与 frontend 下 npm run build。当前验收基线为后端 40 通过、11 个既有跳过，以及 TypeScript/Vite 生产构建通过。</w:t>
      </w:r>
    </w:p>
    <w:p>
      <w:pPr>
        <w:pStyle w:val="Heading1"/>
      </w:pPr>
      <w:r>
        <w:t>8. 后续建议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引入正式 tenant/organization 领域模型后，将 tenantForUser 映射替换为成员归属解析，并补充管理员级跨租户用量和 trace 查询。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为 trace_run 与 usage_event 增加保留策略和分区/归档策略，避免长期高频请求导致主库膨胀。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在确认某个兼容端点完整支持 tools + JSON Schema 后，再以显式 capability flag 逐模型启用 native structured output。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6"/>
      </w:rPr>
      <w:t>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4748B"/>
        <w:sz w:val="16"/>
      </w:rPr>
      <w:t>AgentScope DataAgent | Internal Implementation Note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