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E9E4D3">
      <w:pPr>
        <w:spacing w:before="240"/>
        <w:jc w:val="right"/>
        <w:rPr>
          <w:sz w:val="22"/>
        </w:rPr>
      </w:pPr>
      <w:bookmarkStart w:id="185" w:name="_GoBack"/>
      <w:bookmarkEnd w:id="185"/>
      <w:r>
        <w:rPr>
          <w:sz w:val="22"/>
        </w:rPr>
        <w:t>项目编号：CLF25MY00JG42</w:t>
      </w:r>
    </w:p>
    <w:p w14:paraId="17FC4227">
      <w:pPr>
        <w:spacing w:before="240"/>
        <w:jc w:val="right"/>
        <w:rPr>
          <w:sz w:val="22"/>
        </w:rPr>
      </w:pPr>
    </w:p>
    <w:p w14:paraId="4382A14B">
      <w:pPr>
        <w:spacing w:before="1900" w:after="240"/>
        <w:jc w:val="center"/>
      </w:pPr>
      <w:r>
        <w:rPr>
          <w:rFonts w:eastAsia="黑体"/>
          <w:b/>
          <w:sz w:val="44"/>
        </w:rPr>
        <w:t>超声波全波形温度场重构理论及方法研究</w:t>
      </w:r>
    </w:p>
    <w:p w14:paraId="05728CE5">
      <w:pPr>
        <w:spacing w:before="700"/>
        <w:jc w:val="center"/>
        <w:rPr>
          <w:rFonts w:eastAsia="黑体"/>
          <w:b/>
          <w:sz w:val="60"/>
        </w:rPr>
      </w:pPr>
      <w:r>
        <w:rPr>
          <w:rFonts w:eastAsia="黑体"/>
          <w:b/>
          <w:sz w:val="60"/>
        </w:rPr>
        <w:t>技 术 报 告</w:t>
      </w:r>
    </w:p>
    <w:p w14:paraId="1693EE15">
      <w:pPr>
        <w:spacing w:before="700"/>
        <w:jc w:val="center"/>
        <w:rPr>
          <w:rFonts w:eastAsia="黑体"/>
          <w:b/>
          <w:sz w:val="60"/>
        </w:rPr>
      </w:pPr>
    </w:p>
    <w:p w14:paraId="44215AA5">
      <w:pPr>
        <w:spacing w:after="1100"/>
        <w:jc w:val="center"/>
      </w:pPr>
    </w:p>
    <w:p w14:paraId="4E9F3C90">
      <w:pPr>
        <w:jc w:val="center"/>
        <w:rPr>
          <w:sz w:val="28"/>
          <w:szCs w:val="28"/>
        </w:rPr>
      </w:pPr>
      <w:r>
        <w:rPr>
          <w:sz w:val="32"/>
          <w:szCs w:val="28"/>
        </w:rPr>
        <w:t>委托单位：中国人民解放军63821部队</w:t>
      </w:r>
    </w:p>
    <w:p w14:paraId="4DE34B3C">
      <w:pPr>
        <w:spacing w:after="560"/>
        <w:jc w:val="center"/>
        <w:rPr>
          <w:sz w:val="32"/>
          <w:szCs w:val="28"/>
        </w:rPr>
      </w:pPr>
      <w:r>
        <w:rPr>
          <w:sz w:val="32"/>
          <w:szCs w:val="28"/>
        </w:rPr>
        <w:t>承研单位：四川大学</w:t>
      </w:r>
    </w:p>
    <w:p w14:paraId="23CA1E5B">
      <w:pPr>
        <w:spacing w:after="560"/>
        <w:jc w:val="center"/>
        <w:rPr>
          <w:sz w:val="32"/>
          <w:szCs w:val="28"/>
        </w:rPr>
      </w:pPr>
    </w:p>
    <w:p w14:paraId="1BFB4F92">
      <w:pPr>
        <w:jc w:val="center"/>
        <w:rPr>
          <w:sz w:val="28"/>
          <w:szCs w:val="28"/>
          <w:u w:val="single"/>
        </w:rPr>
      </w:pPr>
      <w:r>
        <w:rPr>
          <w:sz w:val="28"/>
          <w:szCs w:val="28"/>
        </w:rPr>
        <w:t>编</w:t>
      </w:r>
      <w:r>
        <w:rPr>
          <w:rFonts w:hint="eastAsia"/>
          <w:sz w:val="28"/>
          <w:szCs w:val="28"/>
        </w:rPr>
        <w:t xml:space="preserve">  </w:t>
      </w:r>
      <w:r>
        <w:rPr>
          <w:sz w:val="28"/>
          <w:szCs w:val="28"/>
        </w:rPr>
        <w:t>制：</w:t>
      </w:r>
      <w:r>
        <w:rPr>
          <w:rFonts w:hint="eastAsia"/>
          <w:sz w:val="28"/>
          <w:szCs w:val="28"/>
          <w:u w:val="single"/>
        </w:rPr>
        <w:t xml:space="preserve">    宁 芊     </w:t>
      </w:r>
    </w:p>
    <w:p w14:paraId="13284498">
      <w:pPr>
        <w:jc w:val="center"/>
        <w:rPr>
          <w:sz w:val="28"/>
          <w:szCs w:val="28"/>
        </w:rPr>
      </w:pPr>
      <w:r>
        <w:rPr>
          <w:sz w:val="28"/>
          <w:szCs w:val="28"/>
        </w:rPr>
        <w:t>校</w:t>
      </w:r>
      <w:r>
        <w:rPr>
          <w:rFonts w:hint="eastAsia"/>
          <w:sz w:val="28"/>
          <w:szCs w:val="28"/>
        </w:rPr>
        <w:t xml:space="preserve">  </w:t>
      </w:r>
      <w:r>
        <w:rPr>
          <w:sz w:val="28"/>
          <w:szCs w:val="28"/>
        </w:rPr>
        <w:t>对：</w:t>
      </w:r>
      <w:r>
        <w:rPr>
          <w:rFonts w:hint="eastAsia"/>
          <w:sz w:val="28"/>
          <w:szCs w:val="28"/>
          <w:u w:val="single"/>
        </w:rPr>
        <w:t xml:space="preserve">   樊奕欣     </w:t>
      </w:r>
      <w:r>
        <w:rPr>
          <w:rFonts w:hint="eastAsia"/>
          <w:sz w:val="28"/>
          <w:szCs w:val="28"/>
        </w:rPr>
        <w:t xml:space="preserve"> </w:t>
      </w:r>
    </w:p>
    <w:p w14:paraId="0ADC49AC">
      <w:pPr>
        <w:jc w:val="center"/>
        <w:rPr>
          <w:sz w:val="28"/>
          <w:szCs w:val="28"/>
        </w:rPr>
      </w:pPr>
      <w:r>
        <w:rPr>
          <w:sz w:val="28"/>
          <w:szCs w:val="28"/>
        </w:rPr>
        <w:t>审</w:t>
      </w:r>
      <w:r>
        <w:rPr>
          <w:rFonts w:hint="eastAsia"/>
          <w:sz w:val="28"/>
          <w:szCs w:val="28"/>
        </w:rPr>
        <w:t xml:space="preserve">  </w:t>
      </w:r>
      <w:r>
        <w:rPr>
          <w:sz w:val="28"/>
          <w:szCs w:val="28"/>
        </w:rPr>
        <w:t>核：</w:t>
      </w:r>
      <w:r>
        <w:rPr>
          <w:rFonts w:hint="eastAsia"/>
          <w:sz w:val="28"/>
          <w:szCs w:val="28"/>
          <w:u w:val="single"/>
        </w:rPr>
        <w:t xml:space="preserve">   熊武涛     </w:t>
      </w:r>
    </w:p>
    <w:p w14:paraId="400305C7">
      <w:pPr>
        <w:spacing w:before="1300"/>
        <w:jc w:val="center"/>
        <w:rPr>
          <w:rFonts w:eastAsia="黑体"/>
          <w:b/>
          <w:sz w:val="36"/>
          <w:szCs w:val="28"/>
        </w:rPr>
      </w:pPr>
    </w:p>
    <w:p w14:paraId="4F018945">
      <w:pPr>
        <w:pStyle w:val="20"/>
        <w:rPr>
          <w:rFonts w:hint="eastAsia"/>
        </w:rPr>
      </w:pPr>
    </w:p>
    <w:p w14:paraId="08FBFE14">
      <w:pPr>
        <w:pStyle w:val="33"/>
      </w:pPr>
    </w:p>
    <w:p w14:paraId="464EE8DB">
      <w:pPr>
        <w:pStyle w:val="33"/>
      </w:pPr>
    </w:p>
    <w:p w14:paraId="5C47FE1C">
      <w:pPr>
        <w:pStyle w:val="33"/>
      </w:pPr>
    </w:p>
    <w:p w14:paraId="50EC6F3B">
      <w:pPr>
        <w:pStyle w:val="33"/>
      </w:pPr>
    </w:p>
    <w:p w14:paraId="19741C54">
      <w:pPr>
        <w:pStyle w:val="33"/>
      </w:pPr>
    </w:p>
    <w:p w14:paraId="166F7997">
      <w:pPr>
        <w:pStyle w:val="33"/>
      </w:pPr>
    </w:p>
    <w:p w14:paraId="4D985CBD">
      <w:pPr>
        <w:pStyle w:val="33"/>
      </w:pPr>
    </w:p>
    <w:p w14:paraId="692A920E">
      <w:pPr>
        <w:pStyle w:val="33"/>
      </w:pPr>
    </w:p>
    <w:p w14:paraId="2132034C">
      <w:pPr>
        <w:pStyle w:val="33"/>
      </w:pPr>
    </w:p>
    <w:p w14:paraId="16B536C8">
      <w:pPr>
        <w:pStyle w:val="18"/>
        <w:rPr>
          <w:sz w:val="32"/>
          <w:szCs w:val="32"/>
        </w:rPr>
      </w:pPr>
      <w:r>
        <w:rPr>
          <w:rFonts w:hint="eastAsia"/>
          <w:sz w:val="32"/>
          <w:szCs w:val="32"/>
        </w:rPr>
        <w:t>四川大学</w:t>
      </w:r>
    </w:p>
    <w:p w14:paraId="410344AA">
      <w:pPr>
        <w:pStyle w:val="18"/>
        <w:rPr>
          <w:sz w:val="32"/>
          <w:szCs w:val="32"/>
        </w:rPr>
        <w:sectPr>
          <w:footerReference r:id="rId5" w:type="default"/>
          <w:pgSz w:w="11906" w:h="16838"/>
          <w:pgMar w:top="1440" w:right="1701" w:bottom="1440" w:left="1701" w:header="851" w:footer="992" w:gutter="0"/>
          <w:cols w:space="425" w:num="1"/>
          <w:docGrid w:type="lines" w:linePitch="312" w:charSpace="0"/>
        </w:sectPr>
      </w:pPr>
      <w:r>
        <w:rPr>
          <w:rFonts w:hint="eastAsia"/>
          <w:sz w:val="32"/>
          <w:szCs w:val="32"/>
        </w:rPr>
        <w:t>二O二六年七月二十五日</w:t>
      </w:r>
    </w:p>
    <w:sdt>
      <w:sdtPr>
        <w:rPr>
          <w:rFonts w:ascii="Times New Roman" w:hAnsi="Times New Roman" w:eastAsia="宋体" w:cstheme="minorBidi"/>
          <w:color w:val="auto"/>
          <w:kern w:val="2"/>
          <w:sz w:val="24"/>
          <w:szCs w:val="24"/>
          <w:lang w:val="zh-CN"/>
          <w14:ligatures w14:val="standardContextual"/>
        </w:rPr>
        <w:id w:val="-931429674"/>
        <w:docPartObj>
          <w:docPartGallery w:val="Table of Contents"/>
          <w:docPartUnique/>
        </w:docPartObj>
      </w:sdtPr>
      <w:sdtEndPr>
        <w:rPr>
          <w:rFonts w:ascii="Times New Roman" w:hAnsi="Times New Roman" w:eastAsia="宋体" w:cstheme="minorBidi"/>
          <w:b/>
          <w:bCs/>
          <w:color w:val="auto"/>
          <w:kern w:val="2"/>
          <w:sz w:val="24"/>
          <w:szCs w:val="24"/>
          <w:lang w:val="zh-CN"/>
          <w14:ligatures w14:val="standardContextual"/>
        </w:rPr>
      </w:sdtEndPr>
      <w:sdtContent>
        <w:p w14:paraId="356DF577">
          <w:pPr>
            <w:pStyle w:val="61"/>
            <w:jc w:val="center"/>
            <w:rPr>
              <w:rFonts w:hint="eastAsia"/>
            </w:rPr>
          </w:pPr>
          <w:r>
            <w:rPr>
              <w:lang w:val="zh-CN"/>
            </w:rPr>
            <w:t>目录</w:t>
          </w:r>
        </w:p>
        <w:p w14:paraId="2527F6E4">
          <w:pPr>
            <w:pStyle w:val="17"/>
            <w:tabs>
              <w:tab w:val="left" w:pos="420"/>
              <w:tab w:val="right" w:leader="dot" w:pos="8494"/>
            </w:tabs>
            <w:rPr>
              <w:rFonts w:hint="eastAsia" w:asciiTheme="minorHAnsi" w:hAnsiTheme="minorHAnsi" w:eastAsiaTheme="minorEastAsia"/>
              <w:sz w:val="22"/>
            </w:rPr>
          </w:pPr>
          <w:r>
            <w:fldChar w:fldCharType="begin"/>
          </w:r>
          <w:r>
            <w:instrText xml:space="preserve"> TOC \o "1-3" \h \z \u </w:instrText>
          </w:r>
          <w:r>
            <w:fldChar w:fldCharType="separate"/>
          </w:r>
          <w:r>
            <w:fldChar w:fldCharType="begin"/>
          </w:r>
          <w:r>
            <w:instrText xml:space="preserve"> HYPERLINK \l "_Toc235910431" </w:instrText>
          </w:r>
          <w:r>
            <w:fldChar w:fldCharType="separate"/>
          </w:r>
          <w:r>
            <w:rPr>
              <w:rStyle w:val="26"/>
            </w:rPr>
            <w:t>1</w:t>
          </w:r>
          <w:r>
            <w:rPr>
              <w:rFonts w:hint="eastAsia" w:asciiTheme="minorHAnsi" w:hAnsiTheme="minorHAnsi" w:eastAsiaTheme="minorEastAsia"/>
              <w:sz w:val="22"/>
            </w:rPr>
            <w:tab/>
          </w:r>
          <w:r>
            <w:rPr>
              <w:rStyle w:val="26"/>
            </w:rPr>
            <w:t>项目概况</w:t>
          </w:r>
          <w:r>
            <w:rPr>
              <w:rFonts w:hint="eastAsia"/>
            </w:rPr>
            <w:tab/>
          </w:r>
          <w:r>
            <w:rPr>
              <w:rFonts w:hint="eastAsia"/>
            </w:rPr>
            <w:fldChar w:fldCharType="begin"/>
          </w:r>
          <w:r>
            <w:rPr>
              <w:rFonts w:hint="eastAsia"/>
            </w:rPr>
            <w:instrText xml:space="preserve"> </w:instrText>
          </w:r>
          <w:r>
            <w:instrText xml:space="preserve">PAGEREF _Toc235910431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9376020">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"_Toc235910432" </w:instrText>
          </w:r>
          <w:r>
            <w:fldChar w:fldCharType="separate"/>
          </w:r>
          <w:r>
            <w:rPr>
              <w:rStyle w:val="26"/>
            </w:rPr>
            <w:t>1.1</w:t>
          </w:r>
          <w:r>
            <w:rPr>
              <w:rFonts w:hint="eastAsia" w:asciiTheme="minorHAnsi" w:hAnsiTheme="minorHAnsi" w:eastAsiaTheme="minorEastAsia"/>
              <w:sz w:val="22"/>
            </w:rPr>
            <w:tab/>
          </w:r>
          <w:r>
            <w:rPr>
              <w:rStyle w:val="26"/>
            </w:rPr>
            <w:t>项目内容</w:t>
          </w:r>
          <w:r>
            <w:rPr>
              <w:rFonts w:hint="eastAsia"/>
            </w:rPr>
            <w:tab/>
          </w:r>
          <w:r>
            <w:rPr>
              <w:rFonts w:hint="eastAsia"/>
            </w:rPr>
            <w:fldChar w:fldCharType="begin"/>
          </w:r>
          <w:r>
            <w:rPr>
              <w:rFonts w:hint="eastAsia"/>
            </w:rPr>
            <w:instrText xml:space="preserve"> </w:instrText>
          </w:r>
          <w:r>
            <w:instrText xml:space="preserve">PAGEREF _Toc235910432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C6F5031">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"_Toc235910433" </w:instrText>
          </w:r>
          <w:r>
            <w:fldChar w:fldCharType="separate"/>
          </w:r>
          <w:r>
            <w:rPr>
              <w:rStyle w:val="26"/>
            </w:rPr>
            <w:t>1.2</w:t>
          </w:r>
          <w:r>
            <w:rPr>
              <w:rFonts w:hint="eastAsia" w:asciiTheme="minorHAnsi" w:hAnsiTheme="minorHAnsi" w:eastAsiaTheme="minorEastAsia"/>
              <w:sz w:val="22"/>
            </w:rPr>
            <w:tab/>
          </w:r>
          <w:r>
            <w:rPr>
              <w:rStyle w:val="26"/>
            </w:rPr>
            <w:t>合同基本情况</w:t>
          </w:r>
          <w:r>
            <w:rPr>
              <w:rFonts w:hint="eastAsia"/>
            </w:rPr>
            <w:tab/>
          </w:r>
          <w:r>
            <w:rPr>
              <w:rFonts w:hint="eastAsia"/>
            </w:rPr>
            <w:fldChar w:fldCharType="begin"/>
          </w:r>
          <w:r>
            <w:rPr>
              <w:rFonts w:hint="eastAsia"/>
            </w:rPr>
            <w:instrText xml:space="preserve"> </w:instrText>
          </w:r>
          <w:r>
            <w:instrText xml:space="preserve">PAGEREF _Toc235910433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56433DA">
          <w:pPr>
            <w:pStyle w:val="17"/>
            <w:tabs>
              <w:tab w:val="left" w:pos="420"/>
              <w:tab w:val="right" w:leader="dot" w:pos="8494"/>
            </w:tabs>
            <w:rPr>
              <w:rFonts w:hint="eastAsia" w:asciiTheme="minorHAnsi" w:hAnsiTheme="minorHAnsi" w:eastAsiaTheme="minorEastAsia"/>
              <w:sz w:val="22"/>
            </w:rPr>
          </w:pPr>
          <w:r>
            <w:fldChar w:fldCharType="begin"/>
          </w:r>
          <w:r>
            <w:instrText xml:space="preserve"> HYPERLINK \l "_Toc235910434" </w:instrText>
          </w:r>
          <w:r>
            <w:fldChar w:fldCharType="separate"/>
          </w:r>
          <w:r>
            <w:rPr>
              <w:rStyle w:val="26"/>
            </w:rPr>
            <w:t>2</w:t>
          </w:r>
          <w:r>
            <w:rPr>
              <w:rFonts w:hint="eastAsia" w:asciiTheme="minorHAnsi" w:hAnsiTheme="minorHAnsi" w:eastAsiaTheme="minorEastAsia"/>
              <w:sz w:val="22"/>
            </w:rPr>
            <w:tab/>
          </w:r>
          <w:r>
            <w:rPr>
              <w:rStyle w:val="26"/>
            </w:rPr>
            <w:t>项目实施情况</w:t>
          </w:r>
          <w:r>
            <w:rPr>
              <w:rFonts w:hint="eastAsia"/>
            </w:rPr>
            <w:tab/>
          </w:r>
          <w:r>
            <w:rPr>
              <w:rFonts w:hint="eastAsia"/>
            </w:rPr>
            <w:fldChar w:fldCharType="begin"/>
          </w:r>
          <w:r>
            <w:rPr>
              <w:rFonts w:hint="eastAsia"/>
            </w:rPr>
            <w:instrText xml:space="preserve"> </w:instrText>
          </w:r>
          <w:r>
            <w:instrText xml:space="preserve">PAGEREF _Toc235910434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0261A0C">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"_Toc235910435" </w:instrText>
          </w:r>
          <w:r>
            <w:fldChar w:fldCharType="separate"/>
          </w:r>
          <w:r>
            <w:rPr>
              <w:rStyle w:val="26"/>
            </w:rPr>
            <w:t>2.1</w:t>
          </w:r>
          <w:r>
            <w:rPr>
              <w:rFonts w:hint="eastAsia" w:asciiTheme="minorHAnsi" w:hAnsiTheme="minorHAnsi" w:eastAsiaTheme="minorEastAsia"/>
              <w:sz w:val="22"/>
            </w:rPr>
            <w:tab/>
          </w:r>
          <w:r>
            <w:rPr>
              <w:rStyle w:val="26"/>
            </w:rPr>
            <w:t>交付物清单</w:t>
          </w:r>
          <w:r>
            <w:rPr>
              <w:rFonts w:hint="eastAsia"/>
            </w:rPr>
            <w:tab/>
          </w:r>
          <w:r>
            <w:rPr>
              <w:rFonts w:hint="eastAsia"/>
            </w:rPr>
            <w:fldChar w:fldCharType="begin"/>
          </w:r>
          <w:r>
            <w:rPr>
              <w:rFonts w:hint="eastAsia"/>
            </w:rPr>
            <w:instrText xml:space="preserve"> </w:instrText>
          </w:r>
          <w:r>
            <w:instrText xml:space="preserve">PAGEREF _Toc235910435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0C20EC2">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"_Toc235910436" </w:instrText>
          </w:r>
          <w:r>
            <w:fldChar w:fldCharType="separate"/>
          </w:r>
          <w:r>
            <w:rPr>
              <w:rStyle w:val="26"/>
            </w:rPr>
            <w:t>2.2</w:t>
          </w:r>
          <w:r>
            <w:rPr>
              <w:rFonts w:hint="eastAsia" w:asciiTheme="minorHAnsi" w:hAnsiTheme="minorHAnsi" w:eastAsiaTheme="minorEastAsia"/>
              <w:sz w:val="22"/>
            </w:rPr>
            <w:tab/>
          </w:r>
          <w:r>
            <w:rPr>
              <w:rStyle w:val="26"/>
            </w:rPr>
            <w:t>技术指标对比表</w:t>
          </w:r>
          <w:r>
            <w:rPr>
              <w:rFonts w:hint="eastAsia"/>
            </w:rPr>
            <w:tab/>
          </w:r>
          <w:r>
            <w:rPr>
              <w:rFonts w:hint="eastAsia"/>
            </w:rPr>
            <w:fldChar w:fldCharType="begin"/>
          </w:r>
          <w:r>
            <w:rPr>
              <w:rFonts w:hint="eastAsia"/>
            </w:rPr>
            <w:instrText xml:space="preserve"> </w:instrText>
          </w:r>
          <w:r>
            <w:instrText xml:space="preserve">PAGEREF _Toc235910436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FBCFE7E">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"_Toc235910437" </w:instrText>
          </w:r>
          <w:r>
            <w:fldChar w:fldCharType="separate"/>
          </w:r>
          <w:r>
            <w:rPr>
              <w:rStyle w:val="26"/>
            </w:rPr>
            <w:t>2.3</w:t>
          </w:r>
          <w:r>
            <w:rPr>
              <w:rFonts w:hint="eastAsia" w:asciiTheme="minorHAnsi" w:hAnsiTheme="minorHAnsi" w:eastAsiaTheme="minorEastAsia"/>
              <w:sz w:val="22"/>
            </w:rPr>
            <w:tab/>
          </w:r>
          <w:r>
            <w:rPr>
              <w:rStyle w:val="26"/>
            </w:rPr>
            <w:t>资料清单，资料整理及提交情况，含归档资料清单</w:t>
          </w:r>
          <w:r>
            <w:rPr>
              <w:rFonts w:hint="eastAsia"/>
            </w:rPr>
            <w:tab/>
          </w:r>
          <w:r>
            <w:rPr>
              <w:rFonts w:hint="eastAsia"/>
            </w:rPr>
            <w:fldChar w:fldCharType="begin"/>
          </w:r>
          <w:r>
            <w:rPr>
              <w:rFonts w:hint="eastAsia"/>
            </w:rPr>
            <w:instrText xml:space="preserve"> </w:instrText>
          </w:r>
          <w:r>
            <w:instrText xml:space="preserve">PAGEREF _Toc235910437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07C15B2">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"_Toc235910438" </w:instrText>
          </w:r>
          <w:r>
            <w:fldChar w:fldCharType="separate"/>
          </w:r>
          <w:r>
            <w:rPr>
              <w:rStyle w:val="26"/>
            </w:rPr>
            <w:t>2.4</w:t>
          </w:r>
          <w:r>
            <w:rPr>
              <w:rFonts w:hint="eastAsia" w:asciiTheme="minorHAnsi" w:hAnsiTheme="minorHAnsi" w:eastAsiaTheme="minorEastAsia"/>
              <w:sz w:val="22"/>
            </w:rPr>
            <w:tab/>
          </w:r>
          <w:r>
            <w:rPr>
              <w:rStyle w:val="26"/>
            </w:rPr>
            <w:t>进度对比表</w:t>
          </w:r>
          <w:r>
            <w:rPr>
              <w:rFonts w:hint="eastAsia"/>
            </w:rPr>
            <w:tab/>
          </w:r>
          <w:r>
            <w:rPr>
              <w:rFonts w:hint="eastAsia"/>
            </w:rPr>
            <w:fldChar w:fldCharType="begin"/>
          </w:r>
          <w:r>
            <w:rPr>
              <w:rFonts w:hint="eastAsia"/>
            </w:rPr>
            <w:instrText xml:space="preserve"> </w:instrText>
          </w:r>
          <w:r>
            <w:instrText xml:space="preserve">PAGEREF _Toc235910438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7359131F">
          <w:pPr>
            <w:pStyle w:val="17"/>
            <w:tabs>
              <w:tab w:val="left" w:pos="420"/>
              <w:tab w:val="right" w:leader="dot" w:pos="8494"/>
            </w:tabs>
            <w:rPr>
              <w:rFonts w:hint="eastAsia" w:asciiTheme="minorHAnsi" w:hAnsiTheme="minorHAnsi" w:eastAsiaTheme="minorEastAsia"/>
              <w:sz w:val="22"/>
            </w:rPr>
          </w:pPr>
          <w:r>
            <w:fldChar w:fldCharType="begin"/>
          </w:r>
          <w:r>
            <w:instrText xml:space="preserve"> HYPERLINK \l "_Toc235910439" </w:instrText>
          </w:r>
          <w:r>
            <w:fldChar w:fldCharType="separate"/>
          </w:r>
          <w:r>
            <w:rPr>
              <w:rStyle w:val="26"/>
            </w:rPr>
            <w:t>3</w:t>
          </w:r>
          <w:r>
            <w:rPr>
              <w:rFonts w:hint="eastAsia" w:asciiTheme="minorHAnsi" w:hAnsiTheme="minorHAnsi" w:eastAsiaTheme="minorEastAsia"/>
              <w:sz w:val="22"/>
            </w:rPr>
            <w:tab/>
          </w:r>
          <w:r>
            <w:rPr>
              <w:rStyle w:val="26"/>
            </w:rPr>
            <w:t>项目过程情况</w:t>
          </w:r>
          <w:r>
            <w:rPr>
              <w:rFonts w:hint="eastAsia"/>
            </w:rPr>
            <w:tab/>
          </w:r>
          <w:r>
            <w:rPr>
              <w:rFonts w:hint="eastAsia"/>
            </w:rPr>
            <w:fldChar w:fldCharType="begin"/>
          </w:r>
          <w:r>
            <w:rPr>
              <w:rFonts w:hint="eastAsia"/>
            </w:rPr>
            <w:instrText xml:space="preserve"> </w:instrText>
          </w:r>
          <w:r>
            <w:instrText xml:space="preserve">PAGEREF _Toc235910439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B3F74B6">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"_Toc235910440" </w:instrText>
          </w:r>
          <w:r>
            <w:fldChar w:fldCharType="separate"/>
          </w:r>
          <w:r>
            <w:rPr>
              <w:rStyle w:val="26"/>
            </w:rPr>
            <w:t>3.1</w:t>
          </w:r>
          <w:r>
            <w:rPr>
              <w:rFonts w:hint="eastAsia" w:asciiTheme="minorHAnsi" w:hAnsiTheme="minorHAnsi" w:eastAsiaTheme="minorEastAsia"/>
              <w:sz w:val="22"/>
            </w:rPr>
            <w:tab/>
          </w:r>
          <w:r>
            <w:rPr>
              <w:rStyle w:val="26"/>
            </w:rPr>
            <w:t>总体设计方案</w:t>
          </w:r>
          <w:r>
            <w:rPr>
              <w:rFonts w:hint="eastAsia"/>
            </w:rPr>
            <w:tab/>
          </w:r>
          <w:r>
            <w:rPr>
              <w:rFonts w:hint="eastAsia"/>
            </w:rPr>
            <w:fldChar w:fldCharType="begin"/>
          </w:r>
          <w:r>
            <w:rPr>
              <w:rFonts w:hint="eastAsia"/>
            </w:rPr>
            <w:instrText xml:space="preserve"> </w:instrText>
          </w:r>
          <w:r>
            <w:instrText xml:space="preserve">PAGEREF _Toc235910440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C6D4C0D">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"_Toc235910441" </w:instrText>
          </w:r>
          <w:r>
            <w:fldChar w:fldCharType="separate"/>
          </w:r>
          <w:r>
            <w:rPr>
              <w:rStyle w:val="26"/>
            </w:rPr>
            <w:t>3.1.1</w:t>
          </w:r>
          <w:r>
            <w:rPr>
              <w:rFonts w:hint="eastAsia" w:asciiTheme="minorHAnsi" w:hAnsiTheme="minorHAnsi" w:eastAsiaTheme="minorEastAsia"/>
              <w:sz w:val="22"/>
            </w:rPr>
            <w:tab/>
          </w:r>
          <w:r>
            <w:rPr>
              <w:rStyle w:val="26"/>
            </w:rPr>
            <w:t>设计目标与原则</w:t>
          </w:r>
          <w:r>
            <w:rPr>
              <w:rFonts w:hint="eastAsia"/>
            </w:rPr>
            <w:tab/>
          </w:r>
          <w:r>
            <w:rPr>
              <w:rFonts w:hint="eastAsia"/>
            </w:rPr>
            <w:fldChar w:fldCharType="begin"/>
          </w:r>
          <w:r>
            <w:rPr>
              <w:rFonts w:hint="eastAsia"/>
            </w:rPr>
            <w:instrText xml:space="preserve"> </w:instrText>
          </w:r>
          <w:r>
            <w:instrText xml:space="preserve">PAGEREF _Toc235910441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580B51B5">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"_Toc235910442" </w:instrText>
          </w:r>
          <w:r>
            <w:fldChar w:fldCharType="separate"/>
          </w:r>
          <w:r>
            <w:rPr>
              <w:rStyle w:val="26"/>
            </w:rPr>
            <w:t>3.1.2</w:t>
          </w:r>
          <w:r>
            <w:rPr>
              <w:rFonts w:hint="eastAsia" w:asciiTheme="minorHAnsi" w:hAnsiTheme="minorHAnsi" w:eastAsiaTheme="minorEastAsia"/>
              <w:sz w:val="22"/>
            </w:rPr>
            <w:tab/>
          </w:r>
          <w:r>
            <w:rPr>
              <w:rStyle w:val="26"/>
            </w:rPr>
            <w:t>系统总体架构</w:t>
          </w:r>
          <w:r>
            <w:rPr>
              <w:rFonts w:hint="eastAsia"/>
            </w:rPr>
            <w:tab/>
          </w:r>
          <w:r>
            <w:rPr>
              <w:rFonts w:hint="eastAsia"/>
            </w:rPr>
            <w:fldChar w:fldCharType="begin"/>
          </w:r>
          <w:r>
            <w:rPr>
              <w:rFonts w:hint="eastAsia"/>
            </w:rPr>
            <w:instrText xml:space="preserve"> </w:instrText>
          </w:r>
          <w:r>
            <w:instrText xml:space="preserve">PAGEREF _Toc235910442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454A756E">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"_Toc235910443" </w:instrText>
          </w:r>
          <w:r>
            <w:fldChar w:fldCharType="separate"/>
          </w:r>
          <w:r>
            <w:rPr>
              <w:rStyle w:val="26"/>
            </w:rPr>
            <w:t>3.1.3</w:t>
          </w:r>
          <w:r>
            <w:rPr>
              <w:rFonts w:hint="eastAsia" w:asciiTheme="minorHAnsi" w:hAnsiTheme="minorHAnsi" w:eastAsiaTheme="minorEastAsia"/>
              <w:sz w:val="22"/>
            </w:rPr>
            <w:tab/>
          </w:r>
          <w:r>
            <w:rPr>
              <w:rStyle w:val="26"/>
            </w:rPr>
            <w:t>三个研究模块的组成及功能关系</w:t>
          </w:r>
          <w:r>
            <w:rPr>
              <w:rFonts w:hint="eastAsia"/>
            </w:rPr>
            <w:tab/>
          </w:r>
          <w:r>
            <w:rPr>
              <w:rFonts w:hint="eastAsia"/>
            </w:rPr>
            <w:fldChar w:fldCharType="begin"/>
          </w:r>
          <w:r>
            <w:rPr>
              <w:rFonts w:hint="eastAsia"/>
            </w:rPr>
            <w:instrText xml:space="preserve"> </w:instrText>
          </w:r>
          <w:r>
            <w:instrText xml:space="preserve">PAGEREF _Toc235910443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5487CD48">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"_Toc235910444" </w:instrText>
          </w:r>
          <w:r>
            <w:fldChar w:fldCharType="separate"/>
          </w:r>
          <w:r>
            <w:rPr>
              <w:rStyle w:val="26"/>
            </w:rPr>
            <w:t>3.1.4</w:t>
          </w:r>
          <w:r>
            <w:rPr>
              <w:rFonts w:hint="eastAsia" w:asciiTheme="minorHAnsi" w:hAnsiTheme="minorHAnsi" w:eastAsiaTheme="minorEastAsia"/>
              <w:sz w:val="22"/>
            </w:rPr>
            <w:tab/>
          </w:r>
          <w:r>
            <w:rPr>
              <w:rStyle w:val="26"/>
            </w:rPr>
            <w:t>系统工作流程与数据闭环</w:t>
          </w:r>
          <w:r>
            <w:rPr>
              <w:rFonts w:hint="eastAsia"/>
            </w:rPr>
            <w:tab/>
          </w:r>
          <w:r>
            <w:rPr>
              <w:rFonts w:hint="eastAsia"/>
            </w:rPr>
            <w:fldChar w:fldCharType="begin"/>
          </w:r>
          <w:r>
            <w:rPr>
              <w:rFonts w:hint="eastAsia"/>
            </w:rPr>
            <w:instrText xml:space="preserve"> </w:instrText>
          </w:r>
          <w:r>
            <w:instrText xml:space="preserve">PAGEREF _Toc235910444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78DB3891">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"_Toc235910445" </w:instrText>
          </w:r>
          <w:r>
            <w:fldChar w:fldCharType="separate"/>
          </w:r>
          <w:r>
            <w:rPr>
              <w:rStyle w:val="26"/>
            </w:rPr>
            <w:t>3.1.5</w:t>
          </w:r>
          <w:r>
            <w:rPr>
              <w:rFonts w:hint="eastAsia" w:asciiTheme="minorHAnsi" w:hAnsiTheme="minorHAnsi" w:eastAsiaTheme="minorEastAsia"/>
              <w:sz w:val="22"/>
            </w:rPr>
            <w:tab/>
          </w:r>
          <w:r>
            <w:rPr>
              <w:rStyle w:val="26"/>
            </w:rPr>
            <w:t>软件结构与接口设计</w:t>
          </w:r>
          <w:r>
            <w:rPr>
              <w:rFonts w:hint="eastAsia"/>
            </w:rPr>
            <w:tab/>
          </w:r>
          <w:r>
            <w:rPr>
              <w:rFonts w:hint="eastAsia"/>
            </w:rPr>
            <w:fldChar w:fldCharType="begin"/>
          </w:r>
          <w:r>
            <w:rPr>
              <w:rFonts w:hint="eastAsia"/>
            </w:rPr>
            <w:instrText xml:space="preserve"> </w:instrText>
          </w:r>
          <w:r>
            <w:instrText xml:space="preserve">PAGEREF _Toc235910445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0D1604B8">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"_Toc235910446" </w:instrText>
          </w:r>
          <w:r>
            <w:fldChar w:fldCharType="separate"/>
          </w:r>
          <w:r>
            <w:rPr>
              <w:rStyle w:val="26"/>
            </w:rPr>
            <w:t>3.1.6</w:t>
          </w:r>
          <w:r>
            <w:rPr>
              <w:rFonts w:hint="eastAsia" w:asciiTheme="minorHAnsi" w:hAnsiTheme="minorHAnsi" w:eastAsiaTheme="minorEastAsia"/>
              <w:sz w:val="22"/>
            </w:rPr>
            <w:tab/>
          </w:r>
          <w:r>
            <w:rPr>
              <w:rStyle w:val="26"/>
            </w:rPr>
            <w:t>仿真与试验验证设计</w:t>
          </w:r>
          <w:r>
            <w:rPr>
              <w:rFonts w:hint="eastAsia"/>
            </w:rPr>
            <w:tab/>
          </w:r>
          <w:r>
            <w:rPr>
              <w:rFonts w:hint="eastAsia"/>
            </w:rPr>
            <w:fldChar w:fldCharType="begin"/>
          </w:r>
          <w:r>
            <w:rPr>
              <w:rFonts w:hint="eastAsia"/>
            </w:rPr>
            <w:instrText xml:space="preserve"> </w:instrText>
          </w:r>
          <w:r>
            <w:instrText xml:space="preserve">PAGEREF _Toc235910446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20BFCC01">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"_Toc235910447" </w:instrText>
          </w:r>
          <w:r>
            <w:fldChar w:fldCharType="separate"/>
          </w:r>
          <w:r>
            <w:rPr>
              <w:rStyle w:val="26"/>
            </w:rPr>
            <w:t>3.2</w:t>
          </w:r>
          <w:r>
            <w:rPr>
              <w:rFonts w:hint="eastAsia" w:asciiTheme="minorHAnsi" w:hAnsiTheme="minorHAnsi" w:eastAsiaTheme="minorEastAsia"/>
              <w:sz w:val="22"/>
            </w:rPr>
            <w:tab/>
          </w:r>
          <w:r>
            <w:rPr>
              <w:rStyle w:val="26"/>
            </w:rPr>
            <w:t>复合材料中的热声固耦合分析方法研究情况</w:t>
          </w:r>
          <w:r>
            <w:rPr>
              <w:rFonts w:hint="eastAsia"/>
            </w:rPr>
            <w:tab/>
          </w:r>
          <w:r>
            <w:rPr>
              <w:rFonts w:hint="eastAsia"/>
            </w:rPr>
            <w:fldChar w:fldCharType="begin"/>
          </w:r>
          <w:r>
            <w:rPr>
              <w:rFonts w:hint="eastAsia"/>
            </w:rPr>
            <w:instrText xml:space="preserve"> </w:instrText>
          </w:r>
          <w:r>
            <w:instrText xml:space="preserve">PAGEREF _Toc235910447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79020EF0">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"_Toc235910448" </w:instrText>
          </w:r>
          <w:r>
            <w:fldChar w:fldCharType="separate"/>
          </w:r>
          <w:r>
            <w:rPr>
              <w:rStyle w:val="26"/>
            </w:rPr>
            <w:t>3.2.1</w:t>
          </w:r>
          <w:r>
            <w:rPr>
              <w:rFonts w:hint="eastAsia" w:asciiTheme="minorHAnsi" w:hAnsiTheme="minorHAnsi" w:eastAsiaTheme="minorEastAsia"/>
              <w:sz w:val="22"/>
            </w:rPr>
            <w:tab/>
          </w:r>
          <w:r>
            <w:rPr>
              <w:rStyle w:val="26"/>
            </w:rPr>
            <w:t>研究目标与总体技术路线</w:t>
          </w:r>
          <w:r>
            <w:rPr>
              <w:rFonts w:hint="eastAsia"/>
            </w:rPr>
            <w:tab/>
          </w:r>
          <w:r>
            <w:rPr>
              <w:rFonts w:hint="eastAsia"/>
            </w:rPr>
            <w:fldChar w:fldCharType="begin"/>
          </w:r>
          <w:r>
            <w:rPr>
              <w:rFonts w:hint="eastAsia"/>
            </w:rPr>
            <w:instrText xml:space="preserve"> </w:instrText>
          </w:r>
          <w:r>
            <w:instrText xml:space="preserve">PAGEREF _Toc235910448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5F03FF74">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"_Toc235910449" </w:instrText>
          </w:r>
          <w:r>
            <w:fldChar w:fldCharType="separate"/>
          </w:r>
          <w:r>
            <w:rPr>
              <w:rStyle w:val="26"/>
            </w:rPr>
            <w:t>3.2.2</w:t>
          </w:r>
          <w:r>
            <w:rPr>
              <w:rFonts w:hint="eastAsia" w:asciiTheme="minorHAnsi" w:hAnsiTheme="minorHAnsi" w:eastAsiaTheme="minorEastAsia"/>
              <w:sz w:val="22"/>
            </w:rPr>
            <w:tab/>
          </w:r>
          <w:r>
            <w:rPr>
              <w:rStyle w:val="26"/>
            </w:rPr>
            <w:t>热声固耦合理论模型及数值求解方法</w:t>
          </w:r>
          <w:r>
            <w:rPr>
              <w:rFonts w:hint="eastAsia"/>
            </w:rPr>
            <w:tab/>
          </w:r>
          <w:r>
            <w:rPr>
              <w:rFonts w:hint="eastAsia"/>
            </w:rPr>
            <w:fldChar w:fldCharType="begin"/>
          </w:r>
          <w:r>
            <w:rPr>
              <w:rFonts w:hint="eastAsia"/>
            </w:rPr>
            <w:instrText xml:space="preserve"> </w:instrText>
          </w:r>
          <w:r>
            <w:instrText xml:space="preserve">PAGEREF _Toc235910449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376BDF21">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"_Toc235910450" </w:instrText>
          </w:r>
          <w:r>
            <w:fldChar w:fldCharType="separate"/>
          </w:r>
          <w:r>
            <w:rPr>
              <w:rStyle w:val="26"/>
            </w:rPr>
            <w:t>3.2.3</w:t>
          </w:r>
          <w:r>
            <w:rPr>
              <w:rFonts w:hint="eastAsia" w:asciiTheme="minorHAnsi" w:hAnsiTheme="minorHAnsi" w:eastAsiaTheme="minorEastAsia"/>
              <w:sz w:val="22"/>
            </w:rPr>
            <w:tab/>
          </w:r>
          <w:r>
            <w:rPr>
              <w:rStyle w:val="26"/>
            </w:rPr>
            <w:t>程序开发及计算流程</w:t>
          </w:r>
          <w:r>
            <w:rPr>
              <w:rFonts w:hint="eastAsia"/>
            </w:rPr>
            <w:tab/>
          </w:r>
          <w:r>
            <w:rPr>
              <w:rFonts w:hint="eastAsia"/>
            </w:rPr>
            <w:fldChar w:fldCharType="begin"/>
          </w:r>
          <w:r>
            <w:rPr>
              <w:rFonts w:hint="eastAsia"/>
            </w:rPr>
            <w:instrText xml:space="preserve"> </w:instrText>
          </w:r>
          <w:r>
            <w:instrText xml:space="preserve">PAGEREF _Toc235910450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405BD499">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"_Toc235910451" </w:instrText>
          </w:r>
          <w:r>
            <w:fldChar w:fldCharType="separate"/>
          </w:r>
          <w:r>
            <w:rPr>
              <w:rStyle w:val="26"/>
            </w:rPr>
            <w:t>3.2.4</w:t>
          </w:r>
          <w:r>
            <w:rPr>
              <w:rFonts w:hint="eastAsia" w:asciiTheme="minorHAnsi" w:hAnsiTheme="minorHAnsi" w:eastAsiaTheme="minorEastAsia"/>
              <w:sz w:val="22"/>
            </w:rPr>
            <w:tab/>
          </w:r>
          <w:r>
            <w:rPr>
              <w:rStyle w:val="26"/>
            </w:rPr>
            <w:t>两层W30Mo70多层材料研究</w:t>
          </w:r>
          <w:r>
            <w:rPr>
              <w:rFonts w:hint="eastAsia"/>
            </w:rPr>
            <w:tab/>
          </w:r>
          <w:r>
            <w:rPr>
              <w:rFonts w:hint="eastAsia"/>
            </w:rPr>
            <w:fldChar w:fldCharType="begin"/>
          </w:r>
          <w:r>
            <w:rPr>
              <w:rFonts w:hint="eastAsia"/>
            </w:rPr>
            <w:instrText xml:space="preserve"> </w:instrText>
          </w:r>
          <w:r>
            <w:instrText xml:space="preserve">PAGEREF _Toc235910451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1DF7C2BB">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"_Toc235910452" </w:instrText>
          </w:r>
          <w:r>
            <w:fldChar w:fldCharType="separate"/>
          </w:r>
          <w:r>
            <w:rPr>
              <w:rStyle w:val="26"/>
            </w:rPr>
            <w:t>3.2.5</w:t>
          </w:r>
          <w:r>
            <w:rPr>
              <w:rFonts w:hint="eastAsia" w:asciiTheme="minorHAnsi" w:hAnsiTheme="minorHAnsi" w:eastAsiaTheme="minorEastAsia"/>
              <w:sz w:val="22"/>
            </w:rPr>
            <w:tab/>
          </w:r>
          <w:r>
            <w:rPr>
              <w:rStyle w:val="26"/>
            </w:rPr>
            <w:t>W基体/SiC纤维金属基复合材料研究</w:t>
          </w:r>
          <w:r>
            <w:rPr>
              <w:rFonts w:hint="eastAsia"/>
            </w:rPr>
            <w:tab/>
          </w:r>
          <w:r>
            <w:rPr>
              <w:rFonts w:hint="eastAsia"/>
            </w:rPr>
            <w:fldChar w:fldCharType="begin"/>
          </w:r>
          <w:r>
            <w:rPr>
              <w:rFonts w:hint="eastAsia"/>
            </w:rPr>
            <w:instrText xml:space="preserve"> </w:instrText>
          </w:r>
          <w:r>
            <w:instrText xml:space="preserve">PAGEREF _Toc235910452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44F64EE8">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"_Toc235910453" </w:instrText>
          </w:r>
          <w:r>
            <w:fldChar w:fldCharType="separate"/>
          </w:r>
          <w:r>
            <w:rPr>
              <w:rStyle w:val="26"/>
            </w:rPr>
            <w:t>3.2.6</w:t>
          </w:r>
          <w:r>
            <w:rPr>
              <w:rFonts w:hint="eastAsia" w:asciiTheme="minorHAnsi" w:hAnsiTheme="minorHAnsi" w:eastAsiaTheme="minorEastAsia"/>
              <w:sz w:val="22"/>
            </w:rPr>
            <w:tab/>
          </w:r>
          <w:r>
            <w:rPr>
              <w:rStyle w:val="26"/>
            </w:rPr>
            <w:t>SiC纤维/CVI-SiC基体硅基复合材料研究</w:t>
          </w:r>
          <w:r>
            <w:rPr>
              <w:rFonts w:hint="eastAsia"/>
            </w:rPr>
            <w:tab/>
          </w:r>
          <w:r>
            <w:rPr>
              <w:rFonts w:hint="eastAsia"/>
            </w:rPr>
            <w:fldChar w:fldCharType="begin"/>
          </w:r>
          <w:r>
            <w:rPr>
              <w:rFonts w:hint="eastAsia"/>
            </w:rPr>
            <w:instrText xml:space="preserve"> </w:instrText>
          </w:r>
          <w:r>
            <w:instrText xml:space="preserve">PAGEREF _Toc235910453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383E055B">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"_Toc235910454" </w:instrText>
          </w:r>
          <w:r>
            <w:fldChar w:fldCharType="separate"/>
          </w:r>
          <w:r>
            <w:rPr>
              <w:rStyle w:val="26"/>
            </w:rPr>
            <w:t>3.2.7</w:t>
          </w:r>
          <w:r>
            <w:rPr>
              <w:rFonts w:hint="eastAsia" w:asciiTheme="minorHAnsi" w:hAnsiTheme="minorHAnsi" w:eastAsiaTheme="minorEastAsia"/>
              <w:sz w:val="22"/>
            </w:rPr>
            <w:tab/>
          </w:r>
          <w:r>
            <w:rPr>
              <w:rStyle w:val="26"/>
            </w:rPr>
            <w:t>声学特征及温度敏感性分析</w:t>
          </w:r>
          <w:r>
            <w:rPr>
              <w:rFonts w:hint="eastAsia"/>
            </w:rPr>
            <w:tab/>
          </w:r>
          <w:r>
            <w:rPr>
              <w:rFonts w:hint="eastAsia"/>
            </w:rPr>
            <w:fldChar w:fldCharType="begin"/>
          </w:r>
          <w:r>
            <w:rPr>
              <w:rFonts w:hint="eastAsia"/>
            </w:rPr>
            <w:instrText xml:space="preserve"> </w:instrText>
          </w:r>
          <w:r>
            <w:instrText xml:space="preserve">PAGEREF _Toc235910454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3E603D30">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"_Toc235910455" </w:instrText>
          </w:r>
          <w:r>
            <w:fldChar w:fldCharType="separate"/>
          </w:r>
          <w:r>
            <w:rPr>
              <w:rStyle w:val="26"/>
            </w:rPr>
            <w:t>3.2.8</w:t>
          </w:r>
          <w:r>
            <w:rPr>
              <w:rFonts w:hint="eastAsia" w:asciiTheme="minorHAnsi" w:hAnsiTheme="minorHAnsi" w:eastAsiaTheme="minorEastAsia"/>
              <w:sz w:val="22"/>
            </w:rPr>
            <w:tab/>
          </w:r>
          <w:r>
            <w:rPr>
              <w:rStyle w:val="26"/>
            </w:rPr>
            <w:t>本模块研究结果及数据输出</w:t>
          </w:r>
          <w:r>
            <w:rPr>
              <w:rFonts w:hint="eastAsia"/>
            </w:rPr>
            <w:tab/>
          </w:r>
          <w:r>
            <w:rPr>
              <w:rFonts w:hint="eastAsia"/>
            </w:rPr>
            <w:fldChar w:fldCharType="begin"/>
          </w:r>
          <w:r>
            <w:rPr>
              <w:rFonts w:hint="eastAsia"/>
            </w:rPr>
            <w:instrText xml:space="preserve"> </w:instrText>
          </w:r>
          <w:r>
            <w:instrText xml:space="preserve">PAGEREF _Toc235910455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0D183F12">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"_Toc235910456" </w:instrText>
          </w:r>
          <w:r>
            <w:fldChar w:fldCharType="separate"/>
          </w:r>
          <w:r>
            <w:rPr>
              <w:rStyle w:val="26"/>
            </w:rPr>
            <w:t>3.3</w:t>
          </w:r>
          <w:r>
            <w:rPr>
              <w:rFonts w:hint="eastAsia" w:asciiTheme="minorHAnsi" w:hAnsiTheme="minorHAnsi" w:eastAsiaTheme="minorEastAsia"/>
              <w:sz w:val="22"/>
            </w:rPr>
            <w:tab/>
          </w:r>
          <w:r>
            <w:rPr>
              <w:rStyle w:val="26"/>
            </w:rPr>
            <w:t>声学多参数融合的温度场反演方法研究情况</w:t>
          </w:r>
          <w:r>
            <w:rPr>
              <w:rFonts w:hint="eastAsia"/>
            </w:rPr>
            <w:tab/>
          </w:r>
          <w:r>
            <w:rPr>
              <w:rFonts w:hint="eastAsia"/>
            </w:rPr>
            <w:fldChar w:fldCharType="begin"/>
          </w:r>
          <w:r>
            <w:rPr>
              <w:rFonts w:hint="eastAsia"/>
            </w:rPr>
            <w:instrText xml:space="preserve"> </w:instrText>
          </w:r>
          <w:r>
            <w:instrText xml:space="preserve">PAGEREF _Toc235910456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763846D7">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"_Toc235910457" </w:instrText>
          </w:r>
          <w:r>
            <w:fldChar w:fldCharType="separate"/>
          </w:r>
          <w:r>
            <w:rPr>
              <w:rStyle w:val="26"/>
            </w:rPr>
            <w:t>3.3.1</w:t>
          </w:r>
          <w:r>
            <w:rPr>
              <w:rFonts w:hint="eastAsia" w:asciiTheme="minorHAnsi" w:hAnsiTheme="minorHAnsi" w:eastAsiaTheme="minorEastAsia"/>
              <w:sz w:val="22"/>
            </w:rPr>
            <w:tab/>
          </w:r>
          <w:r>
            <w:rPr>
              <w:rStyle w:val="26"/>
            </w:rPr>
            <w:t>研究目标与总体技术路线</w:t>
          </w:r>
          <w:r>
            <w:rPr>
              <w:rFonts w:hint="eastAsia"/>
            </w:rPr>
            <w:tab/>
          </w:r>
          <w:r>
            <w:rPr>
              <w:rFonts w:hint="eastAsia"/>
            </w:rPr>
            <w:fldChar w:fldCharType="begin"/>
          </w:r>
          <w:r>
            <w:rPr>
              <w:rFonts w:hint="eastAsia"/>
            </w:rPr>
            <w:instrText xml:space="preserve"> </w:instrText>
          </w:r>
          <w:r>
            <w:instrText xml:space="preserve">PAGEREF _Toc235910457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680293E0">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"_Toc235910458" </w:instrText>
          </w:r>
          <w:r>
            <w:fldChar w:fldCharType="separate"/>
          </w:r>
          <w:r>
            <w:rPr>
              <w:rStyle w:val="26"/>
            </w:rPr>
            <w:t>3.3.2</w:t>
          </w:r>
          <w:r>
            <w:rPr>
              <w:rFonts w:hint="eastAsia" w:asciiTheme="minorHAnsi" w:hAnsiTheme="minorHAnsi" w:eastAsiaTheme="minorEastAsia"/>
              <w:sz w:val="22"/>
            </w:rPr>
            <w:tab/>
          </w:r>
          <w:r>
            <w:rPr>
              <w:rStyle w:val="26"/>
            </w:rPr>
            <w:t>声学多参数反演模型及程序实现</w:t>
          </w:r>
          <w:r>
            <w:rPr>
              <w:rFonts w:hint="eastAsia"/>
            </w:rPr>
            <w:tab/>
          </w:r>
          <w:r>
            <w:rPr>
              <w:rFonts w:hint="eastAsia"/>
            </w:rPr>
            <w:fldChar w:fldCharType="begin"/>
          </w:r>
          <w:r>
            <w:rPr>
              <w:rFonts w:hint="eastAsia"/>
            </w:rPr>
            <w:instrText xml:space="preserve"> </w:instrText>
          </w:r>
          <w:r>
            <w:instrText xml:space="preserve">PAGEREF _Toc235910458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45EFD643">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"_Toc235910459" </w:instrText>
          </w:r>
          <w:r>
            <w:fldChar w:fldCharType="separate"/>
          </w:r>
          <w:r>
            <w:rPr>
              <w:rStyle w:val="26"/>
            </w:rPr>
            <w:t>3.3.3</w:t>
          </w:r>
          <w:r>
            <w:rPr>
              <w:rFonts w:hint="eastAsia" w:asciiTheme="minorHAnsi" w:hAnsiTheme="minorHAnsi" w:eastAsiaTheme="minorEastAsia"/>
              <w:sz w:val="22"/>
            </w:rPr>
            <w:tab/>
          </w:r>
          <w:r>
            <w:rPr>
              <w:rStyle w:val="26"/>
            </w:rPr>
            <w:t>两层W30Mo70试验及温度场反演研究</w:t>
          </w:r>
          <w:r>
            <w:rPr>
              <w:rFonts w:hint="eastAsia"/>
            </w:rPr>
            <w:tab/>
          </w:r>
          <w:r>
            <w:rPr>
              <w:rFonts w:hint="eastAsia"/>
            </w:rPr>
            <w:fldChar w:fldCharType="begin"/>
          </w:r>
          <w:r>
            <w:rPr>
              <w:rFonts w:hint="eastAsia"/>
            </w:rPr>
            <w:instrText xml:space="preserve"> </w:instrText>
          </w:r>
          <w:r>
            <w:instrText xml:space="preserve">PAGEREF _Toc235910459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1CFB92AC">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"_Toc235910460" </w:instrText>
          </w:r>
          <w:r>
            <w:fldChar w:fldCharType="separate"/>
          </w:r>
          <w:r>
            <w:rPr>
              <w:rStyle w:val="26"/>
            </w:rPr>
            <w:t>3.3.4</w:t>
          </w:r>
          <w:r>
            <w:rPr>
              <w:rFonts w:hint="eastAsia" w:asciiTheme="minorHAnsi" w:hAnsiTheme="minorHAnsi" w:eastAsiaTheme="minorEastAsia"/>
              <w:sz w:val="22"/>
            </w:rPr>
            <w:tab/>
          </w:r>
          <w:r>
            <w:rPr>
              <w:rStyle w:val="26"/>
            </w:rPr>
            <w:t>金属基复合材料反演研究</w:t>
          </w:r>
          <w:r>
            <w:rPr>
              <w:rFonts w:hint="eastAsia"/>
            </w:rPr>
            <w:tab/>
          </w:r>
          <w:r>
            <w:rPr>
              <w:rFonts w:hint="eastAsia"/>
            </w:rPr>
            <w:fldChar w:fldCharType="begin"/>
          </w:r>
          <w:r>
            <w:rPr>
              <w:rFonts w:hint="eastAsia"/>
            </w:rPr>
            <w:instrText xml:space="preserve"> </w:instrText>
          </w:r>
          <w:r>
            <w:instrText xml:space="preserve">PAGEREF _Toc235910460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7A368B26">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"_Toc235910461" </w:instrText>
          </w:r>
          <w:r>
            <w:fldChar w:fldCharType="separate"/>
          </w:r>
          <w:r>
            <w:rPr>
              <w:rStyle w:val="26"/>
            </w:rPr>
            <w:t>3.3.5</w:t>
          </w:r>
          <w:r>
            <w:rPr>
              <w:rFonts w:hint="eastAsia" w:asciiTheme="minorHAnsi" w:hAnsiTheme="minorHAnsi" w:eastAsiaTheme="minorEastAsia"/>
              <w:sz w:val="22"/>
            </w:rPr>
            <w:tab/>
          </w:r>
          <w:r>
            <w:rPr>
              <w:rStyle w:val="26"/>
            </w:rPr>
            <w:t>硅基复合材料反演研究</w:t>
          </w:r>
          <w:r>
            <w:rPr>
              <w:rFonts w:hint="eastAsia"/>
            </w:rPr>
            <w:tab/>
          </w:r>
          <w:r>
            <w:rPr>
              <w:rFonts w:hint="eastAsia"/>
            </w:rPr>
            <w:fldChar w:fldCharType="begin"/>
          </w:r>
          <w:r>
            <w:rPr>
              <w:rFonts w:hint="eastAsia"/>
            </w:rPr>
            <w:instrText xml:space="preserve"> </w:instrText>
          </w:r>
          <w:r>
            <w:instrText xml:space="preserve">PAGEREF _Toc235910461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198539A0">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"_Toc235910462" </w:instrText>
          </w:r>
          <w:r>
            <w:fldChar w:fldCharType="separate"/>
          </w:r>
          <w:r>
            <w:rPr>
              <w:rStyle w:val="26"/>
            </w:rPr>
            <w:t>3.3.6</w:t>
          </w:r>
          <w:r>
            <w:rPr>
              <w:rFonts w:hint="eastAsia" w:asciiTheme="minorHAnsi" w:hAnsiTheme="minorHAnsi" w:eastAsiaTheme="minorEastAsia"/>
              <w:sz w:val="22"/>
            </w:rPr>
            <w:tab/>
          </w:r>
          <w:r>
            <w:rPr>
              <w:rStyle w:val="26"/>
            </w:rPr>
            <w:t>不同反演算法的比较分析</w:t>
          </w:r>
          <w:r>
            <w:rPr>
              <w:rFonts w:hint="eastAsia"/>
            </w:rPr>
            <w:tab/>
          </w:r>
          <w:r>
            <w:rPr>
              <w:rFonts w:hint="eastAsia"/>
            </w:rPr>
            <w:fldChar w:fldCharType="begin"/>
          </w:r>
          <w:r>
            <w:rPr>
              <w:rFonts w:hint="eastAsia"/>
            </w:rPr>
            <w:instrText xml:space="preserve"> </w:instrText>
          </w:r>
          <w:r>
            <w:instrText xml:space="preserve">PAGEREF _Toc235910462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14:paraId="27007CAD">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"_Toc235910463" </w:instrText>
          </w:r>
          <w:r>
            <w:fldChar w:fldCharType="separate"/>
          </w:r>
          <w:r>
            <w:rPr>
              <w:rStyle w:val="26"/>
            </w:rPr>
            <w:t>3.3.7</w:t>
          </w:r>
          <w:r>
            <w:rPr>
              <w:rFonts w:hint="eastAsia" w:asciiTheme="minorHAnsi" w:hAnsiTheme="minorHAnsi" w:eastAsiaTheme="minorEastAsia"/>
              <w:sz w:val="22"/>
            </w:rPr>
            <w:tab/>
          </w:r>
          <w:r>
            <w:rPr>
              <w:rStyle w:val="26"/>
            </w:rPr>
            <w:t>程序实现、模块接口及研究结果</w:t>
          </w:r>
          <w:r>
            <w:rPr>
              <w:rFonts w:hint="eastAsia"/>
            </w:rPr>
            <w:tab/>
          </w:r>
          <w:r>
            <w:rPr>
              <w:rFonts w:hint="eastAsia"/>
            </w:rPr>
            <w:fldChar w:fldCharType="begin"/>
          </w:r>
          <w:r>
            <w:rPr>
              <w:rFonts w:hint="eastAsia"/>
            </w:rPr>
            <w:instrText xml:space="preserve"> </w:instrText>
          </w:r>
          <w:r>
            <w:instrText xml:space="preserve">PAGEREF _Toc235910463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58BBD29C">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"_Toc235910464" </w:instrText>
          </w:r>
          <w:r>
            <w:fldChar w:fldCharType="separate"/>
          </w:r>
          <w:r>
            <w:rPr>
              <w:rStyle w:val="26"/>
            </w:rPr>
            <w:t>3.4</w:t>
          </w:r>
          <w:r>
            <w:rPr>
              <w:rFonts w:hint="eastAsia" w:asciiTheme="minorHAnsi" w:hAnsiTheme="minorHAnsi" w:eastAsiaTheme="minorEastAsia"/>
              <w:sz w:val="22"/>
            </w:rPr>
            <w:tab/>
          </w:r>
          <w:r>
            <w:rPr>
              <w:rStyle w:val="26"/>
            </w:rPr>
            <w:t>基于人工智能的温度场反演方法研究情况</w:t>
          </w:r>
          <w:r>
            <w:rPr>
              <w:rFonts w:hint="eastAsia"/>
            </w:rPr>
            <w:tab/>
          </w:r>
          <w:r>
            <w:rPr>
              <w:rFonts w:hint="eastAsia"/>
            </w:rPr>
            <w:fldChar w:fldCharType="begin"/>
          </w:r>
          <w:r>
            <w:rPr>
              <w:rFonts w:hint="eastAsia"/>
            </w:rPr>
            <w:instrText xml:space="preserve"> </w:instrText>
          </w:r>
          <w:r>
            <w:instrText xml:space="preserve">PAGEREF _Toc235910464 \h</w:instrText>
          </w:r>
          <w:r>
            <w:rPr>
              <w:rFonts w:hint="eastAsia"/>
            </w:rPr>
            <w:instrText xml:space="preserve"> </w:instrText>
          </w:r>
          <w:r>
            <w:rPr>
              <w:rFonts w:hint="eastAsia"/>
            </w:rPr>
            <w:fldChar w:fldCharType="separate"/>
          </w:r>
          <w:r>
            <w:t>84</w:t>
          </w:r>
          <w:r>
            <w:rPr>
              <w:rFonts w:hint="eastAsia"/>
            </w:rPr>
            <w:fldChar w:fldCharType="end"/>
          </w:r>
          <w:r>
            <w:rPr>
              <w:rFonts w:hint="eastAsia"/>
            </w:rPr>
            <w:fldChar w:fldCharType="end"/>
          </w:r>
        </w:p>
        <w:p w14:paraId="388B9BBD">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"_Toc235910465" </w:instrText>
          </w:r>
          <w:r>
            <w:fldChar w:fldCharType="separate"/>
          </w:r>
          <w:r>
            <w:rPr>
              <w:rStyle w:val="26"/>
            </w:rPr>
            <w:t>3.4.1</w:t>
          </w:r>
          <w:r>
            <w:rPr>
              <w:rFonts w:hint="eastAsia" w:asciiTheme="minorHAnsi" w:hAnsiTheme="minorHAnsi" w:eastAsiaTheme="minorEastAsia"/>
              <w:sz w:val="22"/>
            </w:rPr>
            <w:tab/>
          </w:r>
          <w:r>
            <w:rPr>
              <w:rStyle w:val="26"/>
            </w:rPr>
            <w:t>研究目标与总体技术路线</w:t>
          </w:r>
          <w:r>
            <w:rPr>
              <w:rFonts w:hint="eastAsia"/>
            </w:rPr>
            <w:tab/>
          </w:r>
          <w:r>
            <w:rPr>
              <w:rFonts w:hint="eastAsia"/>
            </w:rPr>
            <w:fldChar w:fldCharType="begin"/>
          </w:r>
          <w:r>
            <w:rPr>
              <w:rFonts w:hint="eastAsia"/>
            </w:rPr>
            <w:instrText xml:space="preserve"> </w:instrText>
          </w:r>
          <w:r>
            <w:instrText xml:space="preserve">PAGEREF _Toc235910465 \h</w:instrText>
          </w:r>
          <w:r>
            <w:rPr>
              <w:rFonts w:hint="eastAsia"/>
            </w:rPr>
            <w:instrText xml:space="preserve"> </w:instrText>
          </w:r>
          <w:r>
            <w:rPr>
              <w:rFonts w:hint="eastAsia"/>
            </w:rPr>
            <w:fldChar w:fldCharType="separate"/>
          </w:r>
          <w:r>
            <w:t>87</w:t>
          </w:r>
          <w:r>
            <w:rPr>
              <w:rFonts w:hint="eastAsia"/>
            </w:rPr>
            <w:fldChar w:fldCharType="end"/>
          </w:r>
          <w:r>
            <w:rPr>
              <w:rFonts w:hint="eastAsia"/>
            </w:rPr>
            <w:fldChar w:fldCharType="end"/>
          </w:r>
        </w:p>
        <w:p w14:paraId="5EE27F2B">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"_Toc235910466" </w:instrText>
          </w:r>
          <w:r>
            <w:fldChar w:fldCharType="separate"/>
          </w:r>
          <w:r>
            <w:rPr>
              <w:rStyle w:val="26"/>
            </w:rPr>
            <w:t>3.4.2</w:t>
          </w:r>
          <w:r>
            <w:rPr>
              <w:rFonts w:hint="eastAsia" w:asciiTheme="minorHAnsi" w:hAnsiTheme="minorHAnsi" w:eastAsiaTheme="minorEastAsia"/>
              <w:sz w:val="22"/>
            </w:rPr>
            <w:tab/>
          </w:r>
          <w:r>
            <w:rPr>
              <w:rStyle w:val="26"/>
            </w:rPr>
            <w:t>人工智能温度场重构模型与训练方法</w:t>
          </w:r>
          <w:r>
            <w:rPr>
              <w:rFonts w:hint="eastAsia"/>
            </w:rPr>
            <w:tab/>
          </w:r>
          <w:r>
            <w:rPr>
              <w:rFonts w:hint="eastAsia"/>
            </w:rPr>
            <w:fldChar w:fldCharType="begin"/>
          </w:r>
          <w:r>
            <w:rPr>
              <w:rFonts w:hint="eastAsia"/>
            </w:rPr>
            <w:instrText xml:space="preserve"> </w:instrText>
          </w:r>
          <w:r>
            <w:instrText xml:space="preserve">PAGEREF _Toc235910466 \h</w:instrText>
          </w:r>
          <w:r>
            <w:rPr>
              <w:rFonts w:hint="eastAsia"/>
            </w:rPr>
            <w:instrText xml:space="preserve"> </w:instrText>
          </w:r>
          <w:r>
            <w:rPr>
              <w:rFonts w:hint="eastAsia"/>
            </w:rPr>
            <w:fldChar w:fldCharType="separate"/>
          </w:r>
          <w:r>
            <w:t>88</w:t>
          </w:r>
          <w:r>
            <w:rPr>
              <w:rFonts w:hint="eastAsia"/>
            </w:rPr>
            <w:fldChar w:fldCharType="end"/>
          </w:r>
          <w:r>
            <w:rPr>
              <w:rFonts w:hint="eastAsia"/>
            </w:rPr>
            <w:fldChar w:fldCharType="end"/>
          </w:r>
        </w:p>
        <w:p w14:paraId="323588D6">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"_Toc235910467" </w:instrText>
          </w:r>
          <w:r>
            <w:fldChar w:fldCharType="separate"/>
          </w:r>
          <w:r>
            <w:rPr>
              <w:rStyle w:val="26"/>
            </w:rPr>
            <w:t>3.4.3</w:t>
          </w:r>
          <w:r>
            <w:rPr>
              <w:rFonts w:hint="eastAsia" w:asciiTheme="minorHAnsi" w:hAnsiTheme="minorHAnsi" w:eastAsiaTheme="minorEastAsia"/>
              <w:sz w:val="22"/>
            </w:rPr>
            <w:tab/>
          </w:r>
          <w:r>
            <w:rPr>
              <w:rStyle w:val="26"/>
            </w:rPr>
            <w:t>温度—声学参数数据库构建</w:t>
          </w:r>
          <w:r>
            <w:rPr>
              <w:rFonts w:hint="eastAsia"/>
            </w:rPr>
            <w:tab/>
          </w:r>
          <w:r>
            <w:rPr>
              <w:rFonts w:hint="eastAsia"/>
            </w:rPr>
            <w:fldChar w:fldCharType="begin"/>
          </w:r>
          <w:r>
            <w:rPr>
              <w:rFonts w:hint="eastAsia"/>
            </w:rPr>
            <w:instrText xml:space="preserve"> </w:instrText>
          </w:r>
          <w:r>
            <w:instrText xml:space="preserve">PAGEREF _Toc235910467 \h</w:instrText>
          </w:r>
          <w:r>
            <w:rPr>
              <w:rFonts w:hint="eastAsia"/>
            </w:rPr>
            <w:instrText xml:space="preserve"> </w:instrText>
          </w:r>
          <w:r>
            <w:rPr>
              <w:rFonts w:hint="eastAsia"/>
            </w:rPr>
            <w:fldChar w:fldCharType="separate"/>
          </w:r>
          <w:r>
            <w:t>90</w:t>
          </w:r>
          <w:r>
            <w:rPr>
              <w:rFonts w:hint="eastAsia"/>
            </w:rPr>
            <w:fldChar w:fldCharType="end"/>
          </w:r>
          <w:r>
            <w:rPr>
              <w:rFonts w:hint="eastAsia"/>
            </w:rPr>
            <w:fldChar w:fldCharType="end"/>
          </w:r>
        </w:p>
        <w:p w14:paraId="4ACF4904">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"_Toc235910468" </w:instrText>
          </w:r>
          <w:r>
            <w:fldChar w:fldCharType="separate"/>
          </w:r>
          <w:r>
            <w:rPr>
              <w:rStyle w:val="26"/>
            </w:rPr>
            <w:t>3.4.4</w:t>
          </w:r>
          <w:r>
            <w:rPr>
              <w:rFonts w:hint="eastAsia" w:asciiTheme="minorHAnsi" w:hAnsiTheme="minorHAnsi" w:eastAsiaTheme="minorEastAsia"/>
              <w:sz w:val="22"/>
            </w:rPr>
            <w:tab/>
          </w:r>
          <w:r>
            <w:rPr>
              <w:rStyle w:val="26"/>
            </w:rPr>
            <w:t>程序开发及智能重构流程</w:t>
          </w:r>
          <w:r>
            <w:rPr>
              <w:rFonts w:hint="eastAsia"/>
            </w:rPr>
            <w:tab/>
          </w:r>
          <w:r>
            <w:rPr>
              <w:rFonts w:hint="eastAsia"/>
            </w:rPr>
            <w:fldChar w:fldCharType="begin"/>
          </w:r>
          <w:r>
            <w:rPr>
              <w:rFonts w:hint="eastAsia"/>
            </w:rPr>
            <w:instrText xml:space="preserve"> </w:instrText>
          </w:r>
          <w:r>
            <w:instrText xml:space="preserve">PAGEREF _Toc235910468 \h</w:instrText>
          </w:r>
          <w:r>
            <w:rPr>
              <w:rFonts w:hint="eastAsia"/>
            </w:rPr>
            <w:instrText xml:space="preserve"> </w:instrText>
          </w:r>
          <w:r>
            <w:rPr>
              <w:rFonts w:hint="eastAsia"/>
            </w:rPr>
            <w:fldChar w:fldCharType="separate"/>
          </w:r>
          <w:r>
            <w:t>92</w:t>
          </w:r>
          <w:r>
            <w:rPr>
              <w:rFonts w:hint="eastAsia"/>
            </w:rPr>
            <w:fldChar w:fldCharType="end"/>
          </w:r>
          <w:r>
            <w:rPr>
              <w:rFonts w:hint="eastAsia"/>
            </w:rPr>
            <w:fldChar w:fldCharType="end"/>
          </w:r>
        </w:p>
        <w:p w14:paraId="0D30FF0A">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"_Toc235910469" </w:instrText>
          </w:r>
          <w:r>
            <w:fldChar w:fldCharType="separate"/>
          </w:r>
          <w:r>
            <w:rPr>
              <w:rStyle w:val="26"/>
            </w:rPr>
            <w:t>3.4.5</w:t>
          </w:r>
          <w:r>
            <w:rPr>
              <w:rFonts w:hint="eastAsia" w:asciiTheme="minorHAnsi" w:hAnsiTheme="minorHAnsi" w:eastAsiaTheme="minorEastAsia"/>
              <w:sz w:val="22"/>
            </w:rPr>
            <w:tab/>
          </w:r>
          <w:r>
            <w:rPr>
              <w:rStyle w:val="26"/>
            </w:rPr>
            <w:t>两层W30Mo70多层材料研究</w:t>
          </w:r>
          <w:r>
            <w:rPr>
              <w:rFonts w:hint="eastAsia"/>
            </w:rPr>
            <w:tab/>
          </w:r>
          <w:r>
            <w:rPr>
              <w:rFonts w:hint="eastAsia"/>
            </w:rPr>
            <w:fldChar w:fldCharType="begin"/>
          </w:r>
          <w:r>
            <w:rPr>
              <w:rFonts w:hint="eastAsia"/>
            </w:rPr>
            <w:instrText xml:space="preserve"> </w:instrText>
          </w:r>
          <w:r>
            <w:instrText xml:space="preserve">PAGEREF _Toc235910469 \h</w:instrText>
          </w:r>
          <w:r>
            <w:rPr>
              <w:rFonts w:hint="eastAsia"/>
            </w:rPr>
            <w:instrText xml:space="preserve"> </w:instrText>
          </w:r>
          <w:r>
            <w:rPr>
              <w:rFonts w:hint="eastAsia"/>
            </w:rPr>
            <w:fldChar w:fldCharType="separate"/>
          </w:r>
          <w:r>
            <w:t>95</w:t>
          </w:r>
          <w:r>
            <w:rPr>
              <w:rFonts w:hint="eastAsia"/>
            </w:rPr>
            <w:fldChar w:fldCharType="end"/>
          </w:r>
          <w:r>
            <w:rPr>
              <w:rFonts w:hint="eastAsia"/>
            </w:rPr>
            <w:fldChar w:fldCharType="end"/>
          </w:r>
        </w:p>
        <w:p w14:paraId="2BB4DB48">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"_Toc235910470" </w:instrText>
          </w:r>
          <w:r>
            <w:fldChar w:fldCharType="separate"/>
          </w:r>
          <w:r>
            <w:rPr>
              <w:rStyle w:val="26"/>
            </w:rPr>
            <w:t>3.4.6</w:t>
          </w:r>
          <w:r>
            <w:rPr>
              <w:rFonts w:hint="eastAsia" w:asciiTheme="minorHAnsi" w:hAnsiTheme="minorHAnsi" w:eastAsiaTheme="minorEastAsia"/>
              <w:sz w:val="22"/>
            </w:rPr>
            <w:tab/>
          </w:r>
          <w:r>
            <w:rPr>
              <w:rStyle w:val="26"/>
            </w:rPr>
            <w:t>W基体/SiC纤维金属基复合材料研究</w:t>
          </w:r>
          <w:r>
            <w:rPr>
              <w:rFonts w:hint="eastAsia"/>
            </w:rPr>
            <w:tab/>
          </w:r>
          <w:r>
            <w:rPr>
              <w:rFonts w:hint="eastAsia"/>
            </w:rPr>
            <w:fldChar w:fldCharType="begin"/>
          </w:r>
          <w:r>
            <w:rPr>
              <w:rFonts w:hint="eastAsia"/>
            </w:rPr>
            <w:instrText xml:space="preserve"> </w:instrText>
          </w:r>
          <w:r>
            <w:instrText xml:space="preserve">PAGEREF _Toc235910470 \h</w:instrText>
          </w:r>
          <w:r>
            <w:rPr>
              <w:rFonts w:hint="eastAsia"/>
            </w:rPr>
            <w:instrText xml:space="preserve"> </w:instrText>
          </w:r>
          <w:r>
            <w:rPr>
              <w:rFonts w:hint="eastAsia"/>
            </w:rPr>
            <w:fldChar w:fldCharType="separate"/>
          </w:r>
          <w:r>
            <w:t>98</w:t>
          </w:r>
          <w:r>
            <w:rPr>
              <w:rFonts w:hint="eastAsia"/>
            </w:rPr>
            <w:fldChar w:fldCharType="end"/>
          </w:r>
          <w:r>
            <w:rPr>
              <w:rFonts w:hint="eastAsia"/>
            </w:rPr>
            <w:fldChar w:fldCharType="end"/>
          </w:r>
        </w:p>
        <w:p w14:paraId="544D18EB">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"_Toc235910471" </w:instrText>
          </w:r>
          <w:r>
            <w:fldChar w:fldCharType="separate"/>
          </w:r>
          <w:r>
            <w:rPr>
              <w:rStyle w:val="26"/>
            </w:rPr>
            <w:t>3.4.7</w:t>
          </w:r>
          <w:r>
            <w:rPr>
              <w:rFonts w:hint="eastAsia" w:asciiTheme="minorHAnsi" w:hAnsiTheme="minorHAnsi" w:eastAsiaTheme="minorEastAsia"/>
              <w:sz w:val="22"/>
            </w:rPr>
            <w:tab/>
          </w:r>
          <w:r>
            <w:rPr>
              <w:rStyle w:val="26"/>
            </w:rPr>
            <w:t>SiC纤维/CVI-SiC基体硅基复合材料研究</w:t>
          </w:r>
          <w:r>
            <w:rPr>
              <w:rFonts w:hint="eastAsia"/>
            </w:rPr>
            <w:tab/>
          </w:r>
          <w:r>
            <w:rPr>
              <w:rFonts w:hint="eastAsia"/>
            </w:rPr>
            <w:fldChar w:fldCharType="begin"/>
          </w:r>
          <w:r>
            <w:rPr>
              <w:rFonts w:hint="eastAsia"/>
            </w:rPr>
            <w:instrText xml:space="preserve"> </w:instrText>
          </w:r>
          <w:r>
            <w:instrText xml:space="preserve">PAGEREF _Toc235910471 \h</w:instrText>
          </w:r>
          <w:r>
            <w:rPr>
              <w:rFonts w:hint="eastAsia"/>
            </w:rPr>
            <w:instrText xml:space="preserve"> </w:instrText>
          </w:r>
          <w:r>
            <w:rPr>
              <w:rFonts w:hint="eastAsia"/>
            </w:rPr>
            <w:fldChar w:fldCharType="separate"/>
          </w:r>
          <w:r>
            <w:t>99</w:t>
          </w:r>
          <w:r>
            <w:rPr>
              <w:rFonts w:hint="eastAsia"/>
            </w:rPr>
            <w:fldChar w:fldCharType="end"/>
          </w:r>
          <w:r>
            <w:rPr>
              <w:rFonts w:hint="eastAsia"/>
            </w:rPr>
            <w:fldChar w:fldCharType="end"/>
          </w:r>
        </w:p>
        <w:p w14:paraId="2CC1DF51">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"_Toc235910472" </w:instrText>
          </w:r>
          <w:r>
            <w:fldChar w:fldCharType="separate"/>
          </w:r>
          <w:r>
            <w:rPr>
              <w:rStyle w:val="26"/>
            </w:rPr>
            <w:t>3.4.8</w:t>
          </w:r>
          <w:r>
            <w:rPr>
              <w:rFonts w:hint="eastAsia" w:asciiTheme="minorHAnsi" w:hAnsiTheme="minorHAnsi" w:eastAsiaTheme="minorEastAsia"/>
              <w:sz w:val="22"/>
            </w:rPr>
            <w:tab/>
          </w:r>
          <w:r>
            <w:rPr>
              <w:rStyle w:val="26"/>
            </w:rPr>
            <w:t>本模块研究结果及系统输出</w:t>
          </w:r>
          <w:r>
            <w:rPr>
              <w:rFonts w:hint="eastAsia"/>
            </w:rPr>
            <w:tab/>
          </w:r>
          <w:r>
            <w:rPr>
              <w:rFonts w:hint="eastAsia"/>
            </w:rPr>
            <w:fldChar w:fldCharType="begin"/>
          </w:r>
          <w:r>
            <w:rPr>
              <w:rFonts w:hint="eastAsia"/>
            </w:rPr>
            <w:instrText xml:space="preserve"> </w:instrText>
          </w:r>
          <w:r>
            <w:instrText xml:space="preserve">PAGEREF _Toc235910472 \h</w:instrText>
          </w:r>
          <w:r>
            <w:rPr>
              <w:rFonts w:hint="eastAsia"/>
            </w:rPr>
            <w:instrText xml:space="preserve"> </w:instrText>
          </w:r>
          <w:r>
            <w:rPr>
              <w:rFonts w:hint="eastAsia"/>
            </w:rPr>
            <w:fldChar w:fldCharType="separate"/>
          </w:r>
          <w:r>
            <w:t>100</w:t>
          </w:r>
          <w:r>
            <w:rPr>
              <w:rFonts w:hint="eastAsia"/>
            </w:rPr>
            <w:fldChar w:fldCharType="end"/>
          </w:r>
          <w:r>
            <w:rPr>
              <w:rFonts w:hint="eastAsia"/>
            </w:rPr>
            <w:fldChar w:fldCharType="end"/>
          </w:r>
        </w:p>
        <w:p w14:paraId="24A0E824">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"_Toc235910473" </w:instrText>
          </w:r>
          <w:r>
            <w:fldChar w:fldCharType="separate"/>
          </w:r>
          <w:r>
            <w:rPr>
              <w:rStyle w:val="26"/>
            </w:rPr>
            <w:t>3.5</w:t>
          </w:r>
          <w:r>
            <w:rPr>
              <w:rFonts w:hint="eastAsia" w:asciiTheme="minorHAnsi" w:hAnsiTheme="minorHAnsi" w:eastAsiaTheme="minorEastAsia"/>
              <w:sz w:val="22"/>
            </w:rPr>
            <w:tab/>
          </w:r>
          <w:r>
            <w:rPr>
              <w:rStyle w:val="26"/>
            </w:rPr>
            <w:t>组织管理</w:t>
          </w:r>
          <w:r>
            <w:rPr>
              <w:rFonts w:hint="eastAsia"/>
            </w:rPr>
            <w:tab/>
          </w:r>
          <w:r>
            <w:rPr>
              <w:rFonts w:hint="eastAsia"/>
            </w:rPr>
            <w:fldChar w:fldCharType="begin"/>
          </w:r>
          <w:r>
            <w:rPr>
              <w:rFonts w:hint="eastAsia"/>
            </w:rPr>
            <w:instrText xml:space="preserve"> </w:instrText>
          </w:r>
          <w:r>
            <w:instrText xml:space="preserve">PAGEREF _Toc235910473 \h</w:instrText>
          </w:r>
          <w:r>
            <w:rPr>
              <w:rFonts w:hint="eastAsia"/>
            </w:rPr>
            <w:instrText xml:space="preserve"> </w:instrText>
          </w:r>
          <w:r>
            <w:rPr>
              <w:rFonts w:hint="eastAsia"/>
            </w:rPr>
            <w:fldChar w:fldCharType="separate"/>
          </w:r>
          <w:r>
            <w:t>101</w:t>
          </w:r>
          <w:r>
            <w:rPr>
              <w:rFonts w:hint="eastAsia"/>
            </w:rPr>
            <w:fldChar w:fldCharType="end"/>
          </w:r>
          <w:r>
            <w:rPr>
              <w:rFonts w:hint="eastAsia"/>
            </w:rPr>
            <w:fldChar w:fldCharType="end"/>
          </w:r>
        </w:p>
        <w:p w14:paraId="4BF66C04">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"_Toc235910474" </w:instrText>
          </w:r>
          <w:r>
            <w:fldChar w:fldCharType="separate"/>
          </w:r>
          <w:r>
            <w:rPr>
              <w:rStyle w:val="26"/>
            </w:rPr>
            <w:t>3.6</w:t>
          </w:r>
          <w:r>
            <w:rPr>
              <w:rFonts w:hint="eastAsia" w:asciiTheme="minorHAnsi" w:hAnsiTheme="minorHAnsi" w:eastAsiaTheme="minorEastAsia"/>
              <w:sz w:val="22"/>
            </w:rPr>
            <w:tab/>
          </w:r>
          <w:r>
            <w:rPr>
              <w:rStyle w:val="26"/>
            </w:rPr>
            <w:t>质量管理</w:t>
          </w:r>
          <w:r>
            <w:rPr>
              <w:rFonts w:hint="eastAsia"/>
            </w:rPr>
            <w:tab/>
          </w:r>
          <w:r>
            <w:rPr>
              <w:rFonts w:hint="eastAsia"/>
            </w:rPr>
            <w:fldChar w:fldCharType="begin"/>
          </w:r>
          <w:r>
            <w:rPr>
              <w:rFonts w:hint="eastAsia"/>
            </w:rPr>
            <w:instrText xml:space="preserve"> </w:instrText>
          </w:r>
          <w:r>
            <w:instrText xml:space="preserve">PAGEREF _Toc235910474 \h</w:instrText>
          </w:r>
          <w:r>
            <w:rPr>
              <w:rFonts w:hint="eastAsia"/>
            </w:rPr>
            <w:instrText xml:space="preserve"> </w:instrText>
          </w:r>
          <w:r>
            <w:rPr>
              <w:rFonts w:hint="eastAsia"/>
            </w:rPr>
            <w:fldChar w:fldCharType="separate"/>
          </w:r>
          <w:r>
            <w:t>103</w:t>
          </w:r>
          <w:r>
            <w:rPr>
              <w:rFonts w:hint="eastAsia"/>
            </w:rPr>
            <w:fldChar w:fldCharType="end"/>
          </w:r>
          <w:r>
            <w:rPr>
              <w:rFonts w:hint="eastAsia"/>
            </w:rPr>
            <w:fldChar w:fldCharType="end"/>
          </w:r>
        </w:p>
        <w:p w14:paraId="479AC579">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"_Toc235910475" </w:instrText>
          </w:r>
          <w:r>
            <w:fldChar w:fldCharType="separate"/>
          </w:r>
          <w:r>
            <w:rPr>
              <w:rStyle w:val="26"/>
            </w:rPr>
            <w:t>3.7</w:t>
          </w:r>
          <w:r>
            <w:rPr>
              <w:rFonts w:hint="eastAsia" w:asciiTheme="minorHAnsi" w:hAnsiTheme="minorHAnsi" w:eastAsiaTheme="minorEastAsia"/>
              <w:sz w:val="22"/>
            </w:rPr>
            <w:tab/>
          </w:r>
          <w:r>
            <w:rPr>
              <w:rStyle w:val="26"/>
            </w:rPr>
            <w:t>进度管理</w:t>
          </w:r>
          <w:r>
            <w:rPr>
              <w:rFonts w:hint="eastAsia"/>
            </w:rPr>
            <w:tab/>
          </w:r>
          <w:r>
            <w:rPr>
              <w:rFonts w:hint="eastAsia"/>
            </w:rPr>
            <w:fldChar w:fldCharType="begin"/>
          </w:r>
          <w:r>
            <w:rPr>
              <w:rFonts w:hint="eastAsia"/>
            </w:rPr>
            <w:instrText xml:space="preserve"> </w:instrText>
          </w:r>
          <w:r>
            <w:instrText xml:space="preserve">PAGEREF _Toc235910475 \h</w:instrText>
          </w:r>
          <w:r>
            <w:rPr>
              <w:rFonts w:hint="eastAsia"/>
            </w:rPr>
            <w:instrText xml:space="preserve"> </w:instrText>
          </w:r>
          <w:r>
            <w:rPr>
              <w:rFonts w:hint="eastAsia"/>
            </w:rPr>
            <w:fldChar w:fldCharType="separate"/>
          </w:r>
          <w:r>
            <w:t>106</w:t>
          </w:r>
          <w:r>
            <w:rPr>
              <w:rFonts w:hint="eastAsia"/>
            </w:rPr>
            <w:fldChar w:fldCharType="end"/>
          </w:r>
          <w:r>
            <w:rPr>
              <w:rFonts w:hint="eastAsia"/>
            </w:rPr>
            <w:fldChar w:fldCharType="end"/>
          </w:r>
        </w:p>
        <w:p w14:paraId="17967BA4">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"_Toc235910476" </w:instrText>
          </w:r>
          <w:r>
            <w:fldChar w:fldCharType="separate"/>
          </w:r>
          <w:r>
            <w:rPr>
              <w:rStyle w:val="26"/>
            </w:rPr>
            <w:t>3.8</w:t>
          </w:r>
          <w:r>
            <w:rPr>
              <w:rFonts w:hint="eastAsia" w:asciiTheme="minorHAnsi" w:hAnsiTheme="minorHAnsi" w:eastAsiaTheme="minorEastAsia"/>
              <w:sz w:val="22"/>
            </w:rPr>
            <w:tab/>
          </w:r>
          <w:r>
            <w:rPr>
              <w:rStyle w:val="26"/>
            </w:rPr>
            <w:t>安全管理</w:t>
          </w:r>
          <w:r>
            <w:rPr>
              <w:rFonts w:hint="eastAsia"/>
            </w:rPr>
            <w:tab/>
          </w:r>
          <w:r>
            <w:rPr>
              <w:rFonts w:hint="eastAsia"/>
            </w:rPr>
            <w:fldChar w:fldCharType="begin"/>
          </w:r>
          <w:r>
            <w:rPr>
              <w:rFonts w:hint="eastAsia"/>
            </w:rPr>
            <w:instrText xml:space="preserve"> </w:instrText>
          </w:r>
          <w:r>
            <w:instrText xml:space="preserve">PAGEREF _Toc235910476 \h</w:instrText>
          </w:r>
          <w:r>
            <w:rPr>
              <w:rFonts w:hint="eastAsia"/>
            </w:rPr>
            <w:instrText xml:space="preserve"> </w:instrText>
          </w:r>
          <w:r>
            <w:rPr>
              <w:rFonts w:hint="eastAsia"/>
            </w:rPr>
            <w:fldChar w:fldCharType="separate"/>
          </w:r>
          <w:r>
            <w:t>107</w:t>
          </w:r>
          <w:r>
            <w:rPr>
              <w:rFonts w:hint="eastAsia"/>
            </w:rPr>
            <w:fldChar w:fldCharType="end"/>
          </w:r>
          <w:r>
            <w:rPr>
              <w:rFonts w:hint="eastAsia"/>
            </w:rPr>
            <w:fldChar w:fldCharType="end"/>
          </w:r>
        </w:p>
        <w:p w14:paraId="0311FD67">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"_Toc235910477" </w:instrText>
          </w:r>
          <w:r>
            <w:fldChar w:fldCharType="separate"/>
          </w:r>
          <w:r>
            <w:rPr>
              <w:rStyle w:val="26"/>
            </w:rPr>
            <w:t>3.9</w:t>
          </w:r>
          <w:r>
            <w:rPr>
              <w:rFonts w:hint="eastAsia" w:asciiTheme="minorHAnsi" w:hAnsiTheme="minorHAnsi" w:eastAsiaTheme="minorEastAsia"/>
              <w:sz w:val="22"/>
            </w:rPr>
            <w:tab/>
          </w:r>
          <w:r>
            <w:rPr>
              <w:rStyle w:val="26"/>
            </w:rPr>
            <w:t>资料</w:t>
          </w:r>
          <w:r>
            <w:rPr>
              <w:rFonts w:hint="eastAsia"/>
            </w:rPr>
            <w:tab/>
          </w:r>
          <w:r>
            <w:rPr>
              <w:rFonts w:hint="eastAsia"/>
            </w:rPr>
            <w:fldChar w:fldCharType="begin"/>
          </w:r>
          <w:r>
            <w:rPr>
              <w:rFonts w:hint="eastAsia"/>
            </w:rPr>
            <w:instrText xml:space="preserve"> </w:instrText>
          </w:r>
          <w:r>
            <w:instrText xml:space="preserve">PAGEREF _Toc235910477 \h</w:instrText>
          </w:r>
          <w:r>
            <w:rPr>
              <w:rFonts w:hint="eastAsia"/>
            </w:rPr>
            <w:instrText xml:space="preserve"> </w:instrText>
          </w:r>
          <w:r>
            <w:rPr>
              <w:rFonts w:hint="eastAsia"/>
            </w:rPr>
            <w:fldChar w:fldCharType="separate"/>
          </w:r>
          <w:r>
            <w:t>109</w:t>
          </w:r>
          <w:r>
            <w:rPr>
              <w:rFonts w:hint="eastAsia"/>
            </w:rPr>
            <w:fldChar w:fldCharType="end"/>
          </w:r>
          <w:r>
            <w:rPr>
              <w:rFonts w:hint="eastAsia"/>
            </w:rPr>
            <w:fldChar w:fldCharType="end"/>
          </w:r>
        </w:p>
        <w:p w14:paraId="6432FC15">
          <w:pPr>
            <w:pStyle w:val="19"/>
            <w:tabs>
              <w:tab w:val="left" w:pos="1320"/>
              <w:tab w:val="right" w:leader="dot" w:pos="8494"/>
            </w:tabs>
            <w:ind w:left="480"/>
            <w:rPr>
              <w:rFonts w:hint="eastAsia" w:asciiTheme="minorHAnsi" w:hAnsiTheme="minorHAnsi" w:eastAsiaTheme="minorEastAsia"/>
              <w:sz w:val="22"/>
            </w:rPr>
          </w:pPr>
          <w:r>
            <w:fldChar w:fldCharType="begin"/>
          </w:r>
          <w:r>
            <w:instrText xml:space="preserve"> HYPERLINK \l "_Toc235910478" </w:instrText>
          </w:r>
          <w:r>
            <w:fldChar w:fldCharType="separate"/>
          </w:r>
          <w:r>
            <w:rPr>
              <w:rStyle w:val="26"/>
            </w:rPr>
            <w:t>3.10</w:t>
          </w:r>
          <w:r>
            <w:rPr>
              <w:rFonts w:hint="eastAsia" w:asciiTheme="minorHAnsi" w:hAnsiTheme="minorHAnsi" w:eastAsiaTheme="minorEastAsia"/>
              <w:sz w:val="22"/>
            </w:rPr>
            <w:tab/>
          </w:r>
          <w:r>
            <w:rPr>
              <w:rStyle w:val="26"/>
            </w:rPr>
            <w:t>经费</w:t>
          </w:r>
          <w:r>
            <w:rPr>
              <w:rFonts w:hint="eastAsia"/>
            </w:rPr>
            <w:tab/>
          </w:r>
          <w:r>
            <w:rPr>
              <w:rFonts w:hint="eastAsia"/>
            </w:rPr>
            <w:fldChar w:fldCharType="begin"/>
          </w:r>
          <w:r>
            <w:rPr>
              <w:rFonts w:hint="eastAsia"/>
            </w:rPr>
            <w:instrText xml:space="preserve"> </w:instrText>
          </w:r>
          <w:r>
            <w:instrText xml:space="preserve">PAGEREF _Toc235910478 \h</w:instrText>
          </w:r>
          <w:r>
            <w:rPr>
              <w:rFonts w:hint="eastAsia"/>
            </w:rPr>
            <w:instrText xml:space="preserve"> </w:instrText>
          </w:r>
          <w:r>
            <w:rPr>
              <w:rFonts w:hint="eastAsia"/>
            </w:rPr>
            <w:fldChar w:fldCharType="separate"/>
          </w:r>
          <w:r>
            <w:t>111</w:t>
          </w:r>
          <w:r>
            <w:rPr>
              <w:rFonts w:hint="eastAsia"/>
            </w:rPr>
            <w:fldChar w:fldCharType="end"/>
          </w:r>
          <w:r>
            <w:rPr>
              <w:rFonts w:hint="eastAsia"/>
            </w:rPr>
            <w:fldChar w:fldCharType="end"/>
          </w:r>
        </w:p>
        <w:p w14:paraId="12FD9D28">
          <w:pPr>
            <w:pStyle w:val="19"/>
            <w:tabs>
              <w:tab w:val="left" w:pos="1320"/>
              <w:tab w:val="right" w:leader="dot" w:pos="8494"/>
            </w:tabs>
            <w:ind w:left="480"/>
            <w:rPr>
              <w:rFonts w:hint="eastAsia" w:asciiTheme="minorHAnsi" w:hAnsiTheme="minorHAnsi" w:eastAsiaTheme="minorEastAsia"/>
              <w:sz w:val="22"/>
            </w:rPr>
          </w:pPr>
          <w:r>
            <w:fldChar w:fldCharType="begin"/>
          </w:r>
          <w:r>
            <w:instrText xml:space="preserve"> HYPERLINK \l "_Toc235910479" </w:instrText>
          </w:r>
          <w:r>
            <w:fldChar w:fldCharType="separate"/>
          </w:r>
          <w:r>
            <w:rPr>
              <w:rStyle w:val="26"/>
            </w:rPr>
            <w:t>3.11</w:t>
          </w:r>
          <w:r>
            <w:rPr>
              <w:rFonts w:hint="eastAsia" w:asciiTheme="minorHAnsi" w:hAnsiTheme="minorHAnsi" w:eastAsiaTheme="minorEastAsia"/>
              <w:sz w:val="22"/>
            </w:rPr>
            <w:tab/>
          </w:r>
          <w:r>
            <w:rPr>
              <w:rStyle w:val="26"/>
            </w:rPr>
            <w:t>变更情况</w:t>
          </w:r>
          <w:r>
            <w:rPr>
              <w:rFonts w:hint="eastAsia"/>
            </w:rPr>
            <w:tab/>
          </w:r>
          <w:r>
            <w:rPr>
              <w:rFonts w:hint="eastAsia"/>
            </w:rPr>
            <w:fldChar w:fldCharType="begin"/>
          </w:r>
          <w:r>
            <w:rPr>
              <w:rFonts w:hint="eastAsia"/>
            </w:rPr>
            <w:instrText xml:space="preserve"> </w:instrText>
          </w:r>
          <w:r>
            <w:instrText xml:space="preserve">PAGEREF _Toc235910479 \h</w:instrText>
          </w:r>
          <w:r>
            <w:rPr>
              <w:rFonts w:hint="eastAsia"/>
            </w:rPr>
            <w:instrText xml:space="preserve"> </w:instrText>
          </w:r>
          <w:r>
            <w:rPr>
              <w:rFonts w:hint="eastAsia"/>
            </w:rPr>
            <w:fldChar w:fldCharType="separate"/>
          </w:r>
          <w:r>
            <w:t>112</w:t>
          </w:r>
          <w:r>
            <w:rPr>
              <w:rFonts w:hint="eastAsia"/>
            </w:rPr>
            <w:fldChar w:fldCharType="end"/>
          </w:r>
          <w:r>
            <w:rPr>
              <w:rFonts w:hint="eastAsia"/>
            </w:rPr>
            <w:fldChar w:fldCharType="end"/>
          </w:r>
        </w:p>
        <w:p w14:paraId="2682C4C0">
          <w:pPr>
            <w:pStyle w:val="17"/>
            <w:tabs>
              <w:tab w:val="left" w:pos="420"/>
              <w:tab w:val="right" w:leader="dot" w:pos="8494"/>
            </w:tabs>
            <w:rPr>
              <w:rFonts w:hint="eastAsia" w:asciiTheme="minorHAnsi" w:hAnsiTheme="minorHAnsi" w:eastAsiaTheme="minorEastAsia"/>
              <w:sz w:val="22"/>
            </w:rPr>
          </w:pPr>
          <w:r>
            <w:fldChar w:fldCharType="begin"/>
          </w:r>
          <w:r>
            <w:instrText xml:space="preserve"> HYPERLINK \l "_Toc235910480" </w:instrText>
          </w:r>
          <w:r>
            <w:fldChar w:fldCharType="separate"/>
          </w:r>
          <w:r>
            <w:rPr>
              <w:rStyle w:val="26"/>
            </w:rPr>
            <w:t>4</w:t>
          </w:r>
          <w:r>
            <w:rPr>
              <w:rFonts w:hint="eastAsia" w:asciiTheme="minorHAnsi" w:hAnsiTheme="minorHAnsi" w:eastAsiaTheme="minorEastAsia"/>
              <w:sz w:val="22"/>
            </w:rPr>
            <w:tab/>
          </w:r>
          <w:r>
            <w:rPr>
              <w:rStyle w:val="26"/>
            </w:rPr>
            <w:t>遗留问题处理情况</w:t>
          </w:r>
          <w:r>
            <w:rPr>
              <w:rFonts w:hint="eastAsia"/>
            </w:rPr>
            <w:tab/>
          </w:r>
          <w:r>
            <w:rPr>
              <w:rFonts w:hint="eastAsia"/>
            </w:rPr>
            <w:fldChar w:fldCharType="begin"/>
          </w:r>
          <w:r>
            <w:rPr>
              <w:rFonts w:hint="eastAsia"/>
            </w:rPr>
            <w:instrText xml:space="preserve"> </w:instrText>
          </w:r>
          <w:r>
            <w:instrText xml:space="preserve">PAGEREF _Toc235910480 \h</w:instrText>
          </w:r>
          <w:r>
            <w:rPr>
              <w:rFonts w:hint="eastAsia"/>
            </w:rPr>
            <w:instrText xml:space="preserve"> </w:instrText>
          </w:r>
          <w:r>
            <w:rPr>
              <w:rFonts w:hint="eastAsia"/>
            </w:rPr>
            <w:fldChar w:fldCharType="separate"/>
          </w:r>
          <w:r>
            <w:t>112</w:t>
          </w:r>
          <w:r>
            <w:rPr>
              <w:rFonts w:hint="eastAsia"/>
            </w:rPr>
            <w:fldChar w:fldCharType="end"/>
          </w:r>
          <w:r>
            <w:rPr>
              <w:rFonts w:hint="eastAsia"/>
            </w:rPr>
            <w:fldChar w:fldCharType="end"/>
          </w:r>
        </w:p>
        <w:p w14:paraId="01C2BC97">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"_Toc235910481" </w:instrText>
          </w:r>
          <w:r>
            <w:fldChar w:fldCharType="separate"/>
          </w:r>
          <w:r>
            <w:rPr>
              <w:rStyle w:val="26"/>
            </w:rPr>
            <w:t>4.1</w:t>
          </w:r>
          <w:r>
            <w:rPr>
              <w:rFonts w:hint="eastAsia" w:asciiTheme="minorHAnsi" w:hAnsiTheme="minorHAnsi" w:eastAsiaTheme="minorEastAsia"/>
              <w:sz w:val="22"/>
            </w:rPr>
            <w:tab/>
          </w:r>
          <w:r>
            <w:rPr>
              <w:rStyle w:val="26"/>
            </w:rPr>
            <w:t>文档规范性与术语统稿</w:t>
          </w:r>
          <w:r>
            <w:rPr>
              <w:rFonts w:hint="eastAsia"/>
            </w:rPr>
            <w:tab/>
          </w:r>
          <w:r>
            <w:rPr>
              <w:rFonts w:hint="eastAsia"/>
            </w:rPr>
            <w:fldChar w:fldCharType="begin"/>
          </w:r>
          <w:r>
            <w:rPr>
              <w:rFonts w:hint="eastAsia"/>
            </w:rPr>
            <w:instrText xml:space="preserve"> </w:instrText>
          </w:r>
          <w:r>
            <w:instrText xml:space="preserve">PAGEREF _Toc235910481 \h</w:instrText>
          </w:r>
          <w:r>
            <w:rPr>
              <w:rFonts w:hint="eastAsia"/>
            </w:rPr>
            <w:instrText xml:space="preserve"> </w:instrText>
          </w:r>
          <w:r>
            <w:rPr>
              <w:rFonts w:hint="eastAsia"/>
            </w:rPr>
            <w:fldChar w:fldCharType="separate"/>
          </w:r>
          <w:r>
            <w:t>113</w:t>
          </w:r>
          <w:r>
            <w:rPr>
              <w:rFonts w:hint="eastAsia"/>
            </w:rPr>
            <w:fldChar w:fldCharType="end"/>
          </w:r>
          <w:r>
            <w:rPr>
              <w:rFonts w:hint="eastAsia"/>
            </w:rPr>
            <w:fldChar w:fldCharType="end"/>
          </w:r>
        </w:p>
        <w:p w14:paraId="26C9A13B">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"_Toc235910482" </w:instrText>
          </w:r>
          <w:r>
            <w:fldChar w:fldCharType="separate"/>
          </w:r>
          <w:r>
            <w:rPr>
              <w:rStyle w:val="26"/>
            </w:rPr>
            <w:t>4.2</w:t>
          </w:r>
          <w:r>
            <w:rPr>
              <w:rFonts w:hint="eastAsia" w:asciiTheme="minorHAnsi" w:hAnsiTheme="minorHAnsi" w:eastAsiaTheme="minorEastAsia"/>
              <w:sz w:val="22"/>
            </w:rPr>
            <w:tab/>
          </w:r>
          <w:r>
            <w:rPr>
              <w:rStyle w:val="26"/>
            </w:rPr>
            <w:t>内容完整性与技术深度补充</w:t>
          </w:r>
          <w:r>
            <w:rPr>
              <w:rFonts w:hint="eastAsia"/>
            </w:rPr>
            <w:tab/>
          </w:r>
          <w:r>
            <w:rPr>
              <w:rFonts w:hint="eastAsia"/>
            </w:rPr>
            <w:fldChar w:fldCharType="begin"/>
          </w:r>
          <w:r>
            <w:rPr>
              <w:rFonts w:hint="eastAsia"/>
            </w:rPr>
            <w:instrText xml:space="preserve"> </w:instrText>
          </w:r>
          <w:r>
            <w:instrText xml:space="preserve">PAGEREF _Toc235910482 \h</w:instrText>
          </w:r>
          <w:r>
            <w:rPr>
              <w:rFonts w:hint="eastAsia"/>
            </w:rPr>
            <w:instrText xml:space="preserve"> </w:instrText>
          </w:r>
          <w:r>
            <w:rPr>
              <w:rFonts w:hint="eastAsia"/>
            </w:rPr>
            <w:fldChar w:fldCharType="separate"/>
          </w:r>
          <w:r>
            <w:t>113</w:t>
          </w:r>
          <w:r>
            <w:rPr>
              <w:rFonts w:hint="eastAsia"/>
            </w:rPr>
            <w:fldChar w:fldCharType="end"/>
          </w:r>
          <w:r>
            <w:rPr>
              <w:rFonts w:hint="eastAsia"/>
            </w:rPr>
            <w:fldChar w:fldCharType="end"/>
          </w:r>
        </w:p>
        <w:p w14:paraId="203B2D01">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"_Toc235910483" </w:instrText>
          </w:r>
          <w:r>
            <w:fldChar w:fldCharType="separate"/>
          </w:r>
          <w:r>
            <w:rPr>
              <w:rStyle w:val="26"/>
            </w:rPr>
            <w:t>4.3</w:t>
          </w:r>
          <w:r>
            <w:rPr>
              <w:rFonts w:hint="eastAsia" w:asciiTheme="minorHAnsi" w:hAnsiTheme="minorHAnsi" w:eastAsiaTheme="minorEastAsia"/>
              <w:sz w:val="22"/>
            </w:rPr>
            <w:tab/>
          </w:r>
          <w:r>
            <w:rPr>
              <w:rStyle w:val="26"/>
            </w:rPr>
            <w:t>表述精简与可读性提升</w:t>
          </w:r>
          <w:r>
            <w:rPr>
              <w:rFonts w:hint="eastAsia"/>
            </w:rPr>
            <w:tab/>
          </w:r>
          <w:r>
            <w:rPr>
              <w:rFonts w:hint="eastAsia"/>
            </w:rPr>
            <w:fldChar w:fldCharType="begin"/>
          </w:r>
          <w:r>
            <w:rPr>
              <w:rFonts w:hint="eastAsia"/>
            </w:rPr>
            <w:instrText xml:space="preserve"> </w:instrText>
          </w:r>
          <w:r>
            <w:instrText xml:space="preserve">PAGEREF _Toc235910483 \h</w:instrText>
          </w:r>
          <w:r>
            <w:rPr>
              <w:rFonts w:hint="eastAsia"/>
            </w:rPr>
            <w:instrText xml:space="preserve"> </w:instrText>
          </w:r>
          <w:r>
            <w:rPr>
              <w:rFonts w:hint="eastAsia"/>
            </w:rPr>
            <w:fldChar w:fldCharType="separate"/>
          </w:r>
          <w:r>
            <w:t>114</w:t>
          </w:r>
          <w:r>
            <w:rPr>
              <w:rFonts w:hint="eastAsia"/>
            </w:rPr>
            <w:fldChar w:fldCharType="end"/>
          </w:r>
          <w:r>
            <w:rPr>
              <w:rFonts w:hint="eastAsia"/>
            </w:rPr>
            <w:fldChar w:fldCharType="end"/>
          </w:r>
        </w:p>
        <w:p w14:paraId="193A3E4E">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"_Toc235910484" </w:instrText>
          </w:r>
          <w:r>
            <w:fldChar w:fldCharType="separate"/>
          </w:r>
          <w:r>
            <w:rPr>
              <w:rStyle w:val="26"/>
            </w:rPr>
            <w:t>4.4</w:t>
          </w:r>
          <w:r>
            <w:rPr>
              <w:rFonts w:hint="eastAsia" w:asciiTheme="minorHAnsi" w:hAnsiTheme="minorHAnsi" w:eastAsiaTheme="minorEastAsia"/>
              <w:sz w:val="22"/>
            </w:rPr>
            <w:tab/>
          </w:r>
          <w:r>
            <w:rPr>
              <w:rStyle w:val="26"/>
            </w:rPr>
            <w:t>测试分类标准及模块关系统一</w:t>
          </w:r>
          <w:r>
            <w:rPr>
              <w:rFonts w:hint="eastAsia"/>
            </w:rPr>
            <w:tab/>
          </w:r>
          <w:r>
            <w:rPr>
              <w:rFonts w:hint="eastAsia"/>
            </w:rPr>
            <w:fldChar w:fldCharType="begin"/>
          </w:r>
          <w:r>
            <w:rPr>
              <w:rFonts w:hint="eastAsia"/>
            </w:rPr>
            <w:instrText xml:space="preserve"> </w:instrText>
          </w:r>
          <w:r>
            <w:instrText xml:space="preserve">PAGEREF _Toc235910484 \h</w:instrText>
          </w:r>
          <w:r>
            <w:rPr>
              <w:rFonts w:hint="eastAsia"/>
            </w:rPr>
            <w:instrText xml:space="preserve"> </w:instrText>
          </w:r>
          <w:r>
            <w:rPr>
              <w:rFonts w:hint="eastAsia"/>
            </w:rPr>
            <w:fldChar w:fldCharType="separate"/>
          </w:r>
          <w:r>
            <w:t>114</w:t>
          </w:r>
          <w:r>
            <w:rPr>
              <w:rFonts w:hint="eastAsia"/>
            </w:rPr>
            <w:fldChar w:fldCharType="end"/>
          </w:r>
          <w:r>
            <w:rPr>
              <w:rFonts w:hint="eastAsia"/>
            </w:rPr>
            <w:fldChar w:fldCharType="end"/>
          </w:r>
        </w:p>
        <w:p w14:paraId="6A74FFFD">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"_Toc235910485" </w:instrText>
          </w:r>
          <w:r>
            <w:fldChar w:fldCharType="separate"/>
          </w:r>
          <w:r>
            <w:rPr>
              <w:rStyle w:val="26"/>
            </w:rPr>
            <w:t>4.5</w:t>
          </w:r>
          <w:r>
            <w:rPr>
              <w:rFonts w:hint="eastAsia" w:asciiTheme="minorHAnsi" w:hAnsiTheme="minorHAnsi" w:eastAsiaTheme="minorEastAsia"/>
              <w:sz w:val="22"/>
            </w:rPr>
            <w:tab/>
          </w:r>
          <w:r>
            <w:rPr>
              <w:rStyle w:val="26"/>
            </w:rPr>
            <w:t>专家意见处理情况汇总</w:t>
          </w:r>
          <w:r>
            <w:rPr>
              <w:rFonts w:hint="eastAsia"/>
            </w:rPr>
            <w:tab/>
          </w:r>
          <w:r>
            <w:rPr>
              <w:rFonts w:hint="eastAsia"/>
            </w:rPr>
            <w:fldChar w:fldCharType="begin"/>
          </w:r>
          <w:r>
            <w:rPr>
              <w:rFonts w:hint="eastAsia"/>
            </w:rPr>
            <w:instrText xml:space="preserve"> </w:instrText>
          </w:r>
          <w:r>
            <w:instrText xml:space="preserve">PAGEREF _Toc235910485 \h</w:instrText>
          </w:r>
          <w:r>
            <w:rPr>
              <w:rFonts w:hint="eastAsia"/>
            </w:rPr>
            <w:instrText xml:space="preserve"> </w:instrText>
          </w:r>
          <w:r>
            <w:rPr>
              <w:rFonts w:hint="eastAsia"/>
            </w:rPr>
            <w:fldChar w:fldCharType="separate"/>
          </w:r>
          <w:r>
            <w:t>115</w:t>
          </w:r>
          <w:r>
            <w:rPr>
              <w:rFonts w:hint="eastAsia"/>
            </w:rPr>
            <w:fldChar w:fldCharType="end"/>
          </w:r>
          <w:r>
            <w:rPr>
              <w:rFonts w:hint="eastAsia"/>
            </w:rPr>
            <w:fldChar w:fldCharType="end"/>
          </w:r>
        </w:p>
        <w:p w14:paraId="258D7BF5">
          <w:pPr>
            <w:pStyle w:val="17"/>
            <w:tabs>
              <w:tab w:val="left" w:pos="420"/>
              <w:tab w:val="right" w:leader="dot" w:pos="8494"/>
            </w:tabs>
            <w:rPr>
              <w:rFonts w:hint="eastAsia" w:asciiTheme="minorHAnsi" w:hAnsiTheme="minorHAnsi" w:eastAsiaTheme="minorEastAsia"/>
              <w:sz w:val="22"/>
            </w:rPr>
          </w:pPr>
          <w:r>
            <w:fldChar w:fldCharType="begin"/>
          </w:r>
          <w:r>
            <w:instrText xml:space="preserve"> HYPERLINK \l "_Toc235910486" </w:instrText>
          </w:r>
          <w:r>
            <w:fldChar w:fldCharType="separate"/>
          </w:r>
          <w:r>
            <w:rPr>
              <w:rStyle w:val="26"/>
            </w:rPr>
            <w:t>5</w:t>
          </w:r>
          <w:r>
            <w:rPr>
              <w:rFonts w:hint="eastAsia" w:asciiTheme="minorHAnsi" w:hAnsiTheme="minorHAnsi" w:eastAsiaTheme="minorEastAsia"/>
              <w:sz w:val="22"/>
            </w:rPr>
            <w:tab/>
          </w:r>
          <w:r>
            <w:rPr>
              <w:rStyle w:val="26"/>
            </w:rPr>
            <w:t>关键技术攻关</w:t>
          </w:r>
          <w:r>
            <w:rPr>
              <w:rFonts w:hint="eastAsia"/>
            </w:rPr>
            <w:tab/>
          </w:r>
          <w:r>
            <w:rPr>
              <w:rFonts w:hint="eastAsia"/>
            </w:rPr>
            <w:fldChar w:fldCharType="begin"/>
          </w:r>
          <w:r>
            <w:rPr>
              <w:rFonts w:hint="eastAsia"/>
            </w:rPr>
            <w:instrText xml:space="preserve"> </w:instrText>
          </w:r>
          <w:r>
            <w:instrText xml:space="preserve">PAGEREF _Toc235910486 \h</w:instrText>
          </w:r>
          <w:r>
            <w:rPr>
              <w:rFonts w:hint="eastAsia"/>
            </w:rPr>
            <w:instrText xml:space="preserve"> </w:instrText>
          </w:r>
          <w:r>
            <w:rPr>
              <w:rFonts w:hint="eastAsia"/>
            </w:rPr>
            <w:fldChar w:fldCharType="separate"/>
          </w:r>
          <w:r>
            <w:t>117</w:t>
          </w:r>
          <w:r>
            <w:rPr>
              <w:rFonts w:hint="eastAsia"/>
            </w:rPr>
            <w:fldChar w:fldCharType="end"/>
          </w:r>
          <w:r>
            <w:rPr>
              <w:rFonts w:hint="eastAsia"/>
            </w:rPr>
            <w:fldChar w:fldCharType="end"/>
          </w:r>
        </w:p>
        <w:p w14:paraId="3FD920D3">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"_Toc235910487" </w:instrText>
          </w:r>
          <w:r>
            <w:fldChar w:fldCharType="separate"/>
          </w:r>
          <w:r>
            <w:rPr>
              <w:rStyle w:val="26"/>
            </w:rPr>
            <w:t>5.1</w:t>
          </w:r>
          <w:r>
            <w:rPr>
              <w:rFonts w:hint="eastAsia" w:asciiTheme="minorHAnsi" w:hAnsiTheme="minorHAnsi" w:eastAsiaTheme="minorEastAsia"/>
              <w:sz w:val="22"/>
            </w:rPr>
            <w:tab/>
          </w:r>
          <w:r>
            <w:rPr>
              <w:rStyle w:val="26"/>
            </w:rPr>
            <w:t>关键技术及解决措施</w:t>
          </w:r>
          <w:r>
            <w:rPr>
              <w:rFonts w:hint="eastAsia"/>
            </w:rPr>
            <w:tab/>
          </w:r>
          <w:r>
            <w:rPr>
              <w:rFonts w:hint="eastAsia"/>
            </w:rPr>
            <w:fldChar w:fldCharType="begin"/>
          </w:r>
          <w:r>
            <w:rPr>
              <w:rFonts w:hint="eastAsia"/>
            </w:rPr>
            <w:instrText xml:space="preserve"> </w:instrText>
          </w:r>
          <w:r>
            <w:instrText xml:space="preserve">PAGEREF _Toc235910487 \h</w:instrText>
          </w:r>
          <w:r>
            <w:rPr>
              <w:rFonts w:hint="eastAsia"/>
            </w:rPr>
            <w:instrText xml:space="preserve"> </w:instrText>
          </w:r>
          <w:r>
            <w:rPr>
              <w:rFonts w:hint="eastAsia"/>
            </w:rPr>
            <w:fldChar w:fldCharType="separate"/>
          </w:r>
          <w:r>
            <w:t>117</w:t>
          </w:r>
          <w:r>
            <w:rPr>
              <w:rFonts w:hint="eastAsia"/>
            </w:rPr>
            <w:fldChar w:fldCharType="end"/>
          </w:r>
          <w:r>
            <w:rPr>
              <w:rFonts w:hint="eastAsia"/>
            </w:rPr>
            <w:fldChar w:fldCharType="end"/>
          </w:r>
        </w:p>
        <w:p w14:paraId="07CD08AF">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"_Toc235910488" </w:instrText>
          </w:r>
          <w:r>
            <w:fldChar w:fldCharType="separate"/>
          </w:r>
          <w:r>
            <w:rPr>
              <w:rStyle w:val="26"/>
            </w:rPr>
            <w:t>5.1.1</w:t>
          </w:r>
          <w:r>
            <w:rPr>
              <w:rFonts w:hint="eastAsia" w:asciiTheme="minorHAnsi" w:hAnsiTheme="minorHAnsi" w:eastAsiaTheme="minorEastAsia"/>
              <w:sz w:val="22"/>
            </w:rPr>
            <w:tab/>
          </w:r>
          <w:r>
            <w:rPr>
              <w:rStyle w:val="26"/>
            </w:rPr>
            <w:t>复合材料热声固耦合分析关键技术及解决措施</w:t>
          </w:r>
          <w:r>
            <w:rPr>
              <w:rFonts w:hint="eastAsia"/>
            </w:rPr>
            <w:tab/>
          </w:r>
          <w:r>
            <w:rPr>
              <w:rFonts w:hint="eastAsia"/>
            </w:rPr>
            <w:fldChar w:fldCharType="begin"/>
          </w:r>
          <w:r>
            <w:rPr>
              <w:rFonts w:hint="eastAsia"/>
            </w:rPr>
            <w:instrText xml:space="preserve"> </w:instrText>
          </w:r>
          <w:r>
            <w:instrText xml:space="preserve">PAGEREF _Toc235910488 \h</w:instrText>
          </w:r>
          <w:r>
            <w:rPr>
              <w:rFonts w:hint="eastAsia"/>
            </w:rPr>
            <w:instrText xml:space="preserve"> </w:instrText>
          </w:r>
          <w:r>
            <w:rPr>
              <w:rFonts w:hint="eastAsia"/>
            </w:rPr>
            <w:fldChar w:fldCharType="separate"/>
          </w:r>
          <w:r>
            <w:t>117</w:t>
          </w:r>
          <w:r>
            <w:rPr>
              <w:rFonts w:hint="eastAsia"/>
            </w:rPr>
            <w:fldChar w:fldCharType="end"/>
          </w:r>
          <w:r>
            <w:rPr>
              <w:rFonts w:hint="eastAsia"/>
            </w:rPr>
            <w:fldChar w:fldCharType="end"/>
          </w:r>
        </w:p>
        <w:p w14:paraId="5FD2E6BB">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"_Toc235910489" </w:instrText>
          </w:r>
          <w:r>
            <w:fldChar w:fldCharType="separate"/>
          </w:r>
          <w:r>
            <w:rPr>
              <w:rStyle w:val="26"/>
            </w:rPr>
            <w:t>5.1.2</w:t>
          </w:r>
          <w:r>
            <w:rPr>
              <w:rFonts w:hint="eastAsia" w:asciiTheme="minorHAnsi" w:hAnsiTheme="minorHAnsi" w:eastAsiaTheme="minorEastAsia"/>
              <w:sz w:val="22"/>
            </w:rPr>
            <w:tab/>
          </w:r>
          <w:r>
            <w:rPr>
              <w:rStyle w:val="26"/>
            </w:rPr>
            <w:t>声学多参数融合温度场反演关键技术及解决措施</w:t>
          </w:r>
          <w:r>
            <w:rPr>
              <w:rFonts w:hint="eastAsia"/>
            </w:rPr>
            <w:tab/>
          </w:r>
          <w:r>
            <w:rPr>
              <w:rFonts w:hint="eastAsia"/>
            </w:rPr>
            <w:fldChar w:fldCharType="begin"/>
          </w:r>
          <w:r>
            <w:rPr>
              <w:rFonts w:hint="eastAsia"/>
            </w:rPr>
            <w:instrText xml:space="preserve"> </w:instrText>
          </w:r>
          <w:r>
            <w:instrText xml:space="preserve">PAGEREF _Toc235910489 \h</w:instrText>
          </w:r>
          <w:r>
            <w:rPr>
              <w:rFonts w:hint="eastAsia"/>
            </w:rPr>
            <w:instrText xml:space="preserve"> </w:instrText>
          </w:r>
          <w:r>
            <w:rPr>
              <w:rFonts w:hint="eastAsia"/>
            </w:rPr>
            <w:fldChar w:fldCharType="separate"/>
          </w:r>
          <w:r>
            <w:t>122</w:t>
          </w:r>
          <w:r>
            <w:rPr>
              <w:rFonts w:hint="eastAsia"/>
            </w:rPr>
            <w:fldChar w:fldCharType="end"/>
          </w:r>
          <w:r>
            <w:rPr>
              <w:rFonts w:hint="eastAsia"/>
            </w:rPr>
            <w:fldChar w:fldCharType="end"/>
          </w:r>
        </w:p>
        <w:p w14:paraId="38EA86E0">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"_Toc235910490" </w:instrText>
          </w:r>
          <w:r>
            <w:fldChar w:fldCharType="separate"/>
          </w:r>
          <w:r>
            <w:rPr>
              <w:rStyle w:val="26"/>
            </w:rPr>
            <w:t>5.1.3</w:t>
          </w:r>
          <w:r>
            <w:rPr>
              <w:rFonts w:hint="eastAsia" w:asciiTheme="minorHAnsi" w:hAnsiTheme="minorHAnsi" w:eastAsiaTheme="minorEastAsia"/>
              <w:sz w:val="22"/>
            </w:rPr>
            <w:tab/>
          </w:r>
          <w:r>
            <w:rPr>
              <w:rStyle w:val="26"/>
            </w:rPr>
            <w:t>基于人工智能的温度场反演关键技术及解决措施</w:t>
          </w:r>
          <w:r>
            <w:rPr>
              <w:rFonts w:hint="eastAsia"/>
            </w:rPr>
            <w:tab/>
          </w:r>
          <w:r>
            <w:rPr>
              <w:rFonts w:hint="eastAsia"/>
            </w:rPr>
            <w:fldChar w:fldCharType="begin"/>
          </w:r>
          <w:r>
            <w:rPr>
              <w:rFonts w:hint="eastAsia"/>
            </w:rPr>
            <w:instrText xml:space="preserve"> </w:instrText>
          </w:r>
          <w:r>
            <w:instrText xml:space="preserve">PAGEREF _Toc235910490 \h</w:instrText>
          </w:r>
          <w:r>
            <w:rPr>
              <w:rFonts w:hint="eastAsia"/>
            </w:rPr>
            <w:instrText xml:space="preserve"> </w:instrText>
          </w:r>
          <w:r>
            <w:rPr>
              <w:rFonts w:hint="eastAsia"/>
            </w:rPr>
            <w:fldChar w:fldCharType="separate"/>
          </w:r>
          <w:r>
            <w:t>130</w:t>
          </w:r>
          <w:r>
            <w:rPr>
              <w:rFonts w:hint="eastAsia"/>
            </w:rPr>
            <w:fldChar w:fldCharType="end"/>
          </w:r>
          <w:r>
            <w:rPr>
              <w:rFonts w:hint="eastAsia"/>
            </w:rPr>
            <w:fldChar w:fldCharType="end"/>
          </w:r>
        </w:p>
        <w:p w14:paraId="18450B48">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"_Toc235910491" </w:instrText>
          </w:r>
          <w:r>
            <w:fldChar w:fldCharType="separate"/>
          </w:r>
          <w:r>
            <w:rPr>
              <w:rStyle w:val="26"/>
            </w:rPr>
            <w:t>5.2</w:t>
          </w:r>
          <w:r>
            <w:rPr>
              <w:rFonts w:hint="eastAsia" w:asciiTheme="minorHAnsi" w:hAnsiTheme="minorHAnsi" w:eastAsiaTheme="minorEastAsia"/>
              <w:sz w:val="22"/>
            </w:rPr>
            <w:tab/>
          </w:r>
          <w:r>
            <w:rPr>
              <w:rStyle w:val="26"/>
            </w:rPr>
            <w:t>取得成就</w:t>
          </w:r>
          <w:r>
            <w:rPr>
              <w:rFonts w:hint="eastAsia"/>
            </w:rPr>
            <w:tab/>
          </w:r>
          <w:r>
            <w:rPr>
              <w:rFonts w:hint="eastAsia"/>
            </w:rPr>
            <w:fldChar w:fldCharType="begin"/>
          </w:r>
          <w:r>
            <w:rPr>
              <w:rFonts w:hint="eastAsia"/>
            </w:rPr>
            <w:instrText xml:space="preserve"> </w:instrText>
          </w:r>
          <w:r>
            <w:instrText xml:space="preserve">PAGEREF _Toc235910491 \h</w:instrText>
          </w:r>
          <w:r>
            <w:rPr>
              <w:rFonts w:hint="eastAsia"/>
            </w:rPr>
            <w:instrText xml:space="preserve"> </w:instrText>
          </w:r>
          <w:r>
            <w:rPr>
              <w:rFonts w:hint="eastAsia"/>
            </w:rPr>
            <w:fldChar w:fldCharType="separate"/>
          </w:r>
          <w:r>
            <w:t>136</w:t>
          </w:r>
          <w:r>
            <w:rPr>
              <w:rFonts w:hint="eastAsia"/>
            </w:rPr>
            <w:fldChar w:fldCharType="end"/>
          </w:r>
          <w:r>
            <w:rPr>
              <w:rFonts w:hint="eastAsia"/>
            </w:rPr>
            <w:fldChar w:fldCharType="end"/>
          </w:r>
        </w:p>
        <w:p w14:paraId="2BCE7CB5">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"_Toc235910492" </w:instrText>
          </w:r>
          <w:r>
            <w:fldChar w:fldCharType="separate"/>
          </w:r>
          <w:r>
            <w:rPr>
              <w:rStyle w:val="26"/>
            </w:rPr>
            <w:t>5.2.1</w:t>
          </w:r>
          <w:r>
            <w:rPr>
              <w:rFonts w:hint="eastAsia" w:asciiTheme="minorHAnsi" w:hAnsiTheme="minorHAnsi" w:eastAsiaTheme="minorEastAsia"/>
              <w:sz w:val="22"/>
            </w:rPr>
            <w:tab/>
          </w:r>
          <w:r>
            <w:rPr>
              <w:rStyle w:val="26"/>
            </w:rPr>
            <w:t>复合材料热声固耦合分析模块取得的成就</w:t>
          </w:r>
          <w:r>
            <w:rPr>
              <w:rFonts w:hint="eastAsia"/>
            </w:rPr>
            <w:tab/>
          </w:r>
          <w:r>
            <w:rPr>
              <w:rFonts w:hint="eastAsia"/>
            </w:rPr>
            <w:fldChar w:fldCharType="begin"/>
          </w:r>
          <w:r>
            <w:rPr>
              <w:rFonts w:hint="eastAsia"/>
            </w:rPr>
            <w:instrText xml:space="preserve"> </w:instrText>
          </w:r>
          <w:r>
            <w:instrText xml:space="preserve">PAGEREF _Toc235910492 \h</w:instrText>
          </w:r>
          <w:r>
            <w:rPr>
              <w:rFonts w:hint="eastAsia"/>
            </w:rPr>
            <w:instrText xml:space="preserve"> </w:instrText>
          </w:r>
          <w:r>
            <w:rPr>
              <w:rFonts w:hint="eastAsia"/>
            </w:rPr>
            <w:fldChar w:fldCharType="separate"/>
          </w:r>
          <w:r>
            <w:t>136</w:t>
          </w:r>
          <w:r>
            <w:rPr>
              <w:rFonts w:hint="eastAsia"/>
            </w:rPr>
            <w:fldChar w:fldCharType="end"/>
          </w:r>
          <w:r>
            <w:rPr>
              <w:rFonts w:hint="eastAsia"/>
            </w:rPr>
            <w:fldChar w:fldCharType="end"/>
          </w:r>
        </w:p>
        <w:p w14:paraId="2B930465">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"_Toc235910493" </w:instrText>
          </w:r>
          <w:r>
            <w:fldChar w:fldCharType="separate"/>
          </w:r>
          <w:r>
            <w:rPr>
              <w:rStyle w:val="26"/>
            </w:rPr>
            <w:t>5.2.2</w:t>
          </w:r>
          <w:r>
            <w:rPr>
              <w:rFonts w:hint="eastAsia" w:asciiTheme="minorHAnsi" w:hAnsiTheme="minorHAnsi" w:eastAsiaTheme="minorEastAsia"/>
              <w:sz w:val="22"/>
            </w:rPr>
            <w:tab/>
          </w:r>
          <w:r>
            <w:rPr>
              <w:rStyle w:val="26"/>
            </w:rPr>
            <w:t>声学多参数融合温度场反演模块取得的成就</w:t>
          </w:r>
          <w:r>
            <w:rPr>
              <w:rFonts w:hint="eastAsia"/>
            </w:rPr>
            <w:tab/>
          </w:r>
          <w:r>
            <w:rPr>
              <w:rFonts w:hint="eastAsia"/>
            </w:rPr>
            <w:fldChar w:fldCharType="begin"/>
          </w:r>
          <w:r>
            <w:rPr>
              <w:rFonts w:hint="eastAsia"/>
            </w:rPr>
            <w:instrText xml:space="preserve"> </w:instrText>
          </w:r>
          <w:r>
            <w:instrText xml:space="preserve">PAGEREF _Toc235910493 \h</w:instrText>
          </w:r>
          <w:r>
            <w:rPr>
              <w:rFonts w:hint="eastAsia"/>
            </w:rPr>
            <w:instrText xml:space="preserve"> </w:instrText>
          </w:r>
          <w:r>
            <w:rPr>
              <w:rFonts w:hint="eastAsia"/>
            </w:rPr>
            <w:fldChar w:fldCharType="separate"/>
          </w:r>
          <w:r>
            <w:t>137</w:t>
          </w:r>
          <w:r>
            <w:rPr>
              <w:rFonts w:hint="eastAsia"/>
            </w:rPr>
            <w:fldChar w:fldCharType="end"/>
          </w:r>
          <w:r>
            <w:rPr>
              <w:rFonts w:hint="eastAsia"/>
            </w:rPr>
            <w:fldChar w:fldCharType="end"/>
          </w:r>
        </w:p>
        <w:p w14:paraId="421C6BF6">
          <w:pPr>
            <w:pStyle w:val="13"/>
            <w:tabs>
              <w:tab w:val="left" w:pos="1760"/>
              <w:tab w:val="right" w:leader="dot" w:pos="8494"/>
            </w:tabs>
            <w:ind w:left="960"/>
            <w:rPr>
              <w:rFonts w:hint="eastAsia" w:asciiTheme="minorHAnsi" w:hAnsiTheme="minorHAnsi" w:eastAsiaTheme="minorEastAsia"/>
              <w:sz w:val="22"/>
            </w:rPr>
          </w:pPr>
          <w:r>
            <w:fldChar w:fldCharType="begin"/>
          </w:r>
          <w:r>
            <w:instrText xml:space="preserve"> HYPERLINK \l "_Toc235910494" </w:instrText>
          </w:r>
          <w:r>
            <w:fldChar w:fldCharType="separate"/>
          </w:r>
          <w:r>
            <w:rPr>
              <w:rStyle w:val="26"/>
            </w:rPr>
            <w:t>5.2.3</w:t>
          </w:r>
          <w:r>
            <w:rPr>
              <w:rFonts w:hint="eastAsia" w:asciiTheme="minorHAnsi" w:hAnsiTheme="minorHAnsi" w:eastAsiaTheme="minorEastAsia"/>
              <w:sz w:val="22"/>
            </w:rPr>
            <w:tab/>
          </w:r>
          <w:r>
            <w:rPr>
              <w:rStyle w:val="26"/>
            </w:rPr>
            <w:t>基于人工智能的温度场反演模块取得的成就</w:t>
          </w:r>
          <w:r>
            <w:rPr>
              <w:rFonts w:hint="eastAsia"/>
            </w:rPr>
            <w:tab/>
          </w:r>
          <w:r>
            <w:rPr>
              <w:rFonts w:hint="eastAsia"/>
            </w:rPr>
            <w:fldChar w:fldCharType="begin"/>
          </w:r>
          <w:r>
            <w:rPr>
              <w:rFonts w:hint="eastAsia"/>
            </w:rPr>
            <w:instrText xml:space="preserve"> </w:instrText>
          </w:r>
          <w:r>
            <w:instrText xml:space="preserve">PAGEREF _Toc235910494 \h</w:instrText>
          </w:r>
          <w:r>
            <w:rPr>
              <w:rFonts w:hint="eastAsia"/>
            </w:rPr>
            <w:instrText xml:space="preserve"> </w:instrText>
          </w:r>
          <w:r>
            <w:rPr>
              <w:rFonts w:hint="eastAsia"/>
            </w:rPr>
            <w:fldChar w:fldCharType="separate"/>
          </w:r>
          <w:r>
            <w:t>140</w:t>
          </w:r>
          <w:r>
            <w:rPr>
              <w:rFonts w:hint="eastAsia"/>
            </w:rPr>
            <w:fldChar w:fldCharType="end"/>
          </w:r>
          <w:r>
            <w:rPr>
              <w:rFonts w:hint="eastAsia"/>
            </w:rPr>
            <w:fldChar w:fldCharType="end"/>
          </w:r>
        </w:p>
        <w:p w14:paraId="57668AF7">
          <w:pPr>
            <w:pStyle w:val="17"/>
            <w:tabs>
              <w:tab w:val="left" w:pos="420"/>
              <w:tab w:val="right" w:leader="dot" w:pos="8494"/>
            </w:tabs>
            <w:rPr>
              <w:rFonts w:hint="eastAsia" w:asciiTheme="minorHAnsi" w:hAnsiTheme="minorHAnsi" w:eastAsiaTheme="minorEastAsia"/>
              <w:sz w:val="22"/>
            </w:rPr>
          </w:pPr>
          <w:r>
            <w:fldChar w:fldCharType="begin"/>
          </w:r>
          <w:r>
            <w:instrText xml:space="preserve"> HYPERLINK \l "_Toc235910495" </w:instrText>
          </w:r>
          <w:r>
            <w:fldChar w:fldCharType="separate"/>
          </w:r>
          <w:r>
            <w:rPr>
              <w:rStyle w:val="26"/>
            </w:rPr>
            <w:t>6</w:t>
          </w:r>
          <w:r>
            <w:rPr>
              <w:rFonts w:hint="eastAsia" w:asciiTheme="minorHAnsi" w:hAnsiTheme="minorHAnsi" w:eastAsiaTheme="minorEastAsia"/>
              <w:sz w:val="22"/>
            </w:rPr>
            <w:tab/>
          </w:r>
          <w:r>
            <w:rPr>
              <w:rStyle w:val="26"/>
            </w:rPr>
            <w:t>项目完成情况</w:t>
          </w:r>
          <w:r>
            <w:rPr>
              <w:rFonts w:hint="eastAsia"/>
            </w:rPr>
            <w:tab/>
          </w:r>
          <w:r>
            <w:rPr>
              <w:rFonts w:hint="eastAsia"/>
            </w:rPr>
            <w:fldChar w:fldCharType="begin"/>
          </w:r>
          <w:r>
            <w:rPr>
              <w:rFonts w:hint="eastAsia"/>
            </w:rPr>
            <w:instrText xml:space="preserve"> </w:instrText>
          </w:r>
          <w:r>
            <w:instrText xml:space="preserve">PAGEREF _Toc235910495 \h</w:instrText>
          </w:r>
          <w:r>
            <w:rPr>
              <w:rFonts w:hint="eastAsia"/>
            </w:rPr>
            <w:instrText xml:space="preserve"> </w:instrText>
          </w:r>
          <w:r>
            <w:rPr>
              <w:rFonts w:hint="eastAsia"/>
            </w:rPr>
            <w:fldChar w:fldCharType="separate"/>
          </w:r>
          <w:r>
            <w:t>143</w:t>
          </w:r>
          <w:r>
            <w:rPr>
              <w:rFonts w:hint="eastAsia"/>
            </w:rPr>
            <w:fldChar w:fldCharType="end"/>
          </w:r>
          <w:r>
            <w:rPr>
              <w:rFonts w:hint="eastAsia"/>
            </w:rPr>
            <w:fldChar w:fldCharType="end"/>
          </w:r>
        </w:p>
        <w:p w14:paraId="13EE1454">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"_Toc235910496" </w:instrText>
          </w:r>
          <w:r>
            <w:fldChar w:fldCharType="separate"/>
          </w:r>
          <w:r>
            <w:rPr>
              <w:rStyle w:val="26"/>
            </w:rPr>
            <w:t>6.1</w:t>
          </w:r>
          <w:r>
            <w:rPr>
              <w:rFonts w:hint="eastAsia" w:asciiTheme="minorHAnsi" w:hAnsiTheme="minorHAnsi" w:eastAsiaTheme="minorEastAsia"/>
              <w:sz w:val="22"/>
            </w:rPr>
            <w:tab/>
          </w:r>
          <w:r>
            <w:rPr>
              <w:rStyle w:val="26"/>
            </w:rPr>
            <w:t>项目研究情况</w:t>
          </w:r>
          <w:r>
            <w:rPr>
              <w:rFonts w:hint="eastAsia"/>
            </w:rPr>
            <w:tab/>
          </w:r>
          <w:r>
            <w:rPr>
              <w:rFonts w:hint="eastAsia"/>
            </w:rPr>
            <w:fldChar w:fldCharType="begin"/>
          </w:r>
          <w:r>
            <w:rPr>
              <w:rFonts w:hint="eastAsia"/>
            </w:rPr>
            <w:instrText xml:space="preserve"> </w:instrText>
          </w:r>
          <w:r>
            <w:instrText xml:space="preserve">PAGEREF _Toc235910496 \h</w:instrText>
          </w:r>
          <w:r>
            <w:rPr>
              <w:rFonts w:hint="eastAsia"/>
            </w:rPr>
            <w:instrText xml:space="preserve"> </w:instrText>
          </w:r>
          <w:r>
            <w:rPr>
              <w:rFonts w:hint="eastAsia"/>
            </w:rPr>
            <w:fldChar w:fldCharType="separate"/>
          </w:r>
          <w:r>
            <w:t>143</w:t>
          </w:r>
          <w:r>
            <w:rPr>
              <w:rFonts w:hint="eastAsia"/>
            </w:rPr>
            <w:fldChar w:fldCharType="end"/>
          </w:r>
          <w:r>
            <w:rPr>
              <w:rFonts w:hint="eastAsia"/>
            </w:rPr>
            <w:fldChar w:fldCharType="end"/>
          </w:r>
        </w:p>
        <w:p w14:paraId="2F8E91E4">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"_Toc235910497" </w:instrText>
          </w:r>
          <w:r>
            <w:fldChar w:fldCharType="separate"/>
          </w:r>
          <w:r>
            <w:rPr>
              <w:rStyle w:val="26"/>
            </w:rPr>
            <w:t>6.2</w:t>
          </w:r>
          <w:r>
            <w:rPr>
              <w:rFonts w:hint="eastAsia" w:asciiTheme="minorHAnsi" w:hAnsiTheme="minorHAnsi" w:eastAsiaTheme="minorEastAsia"/>
              <w:sz w:val="22"/>
            </w:rPr>
            <w:tab/>
          </w:r>
          <w:r>
            <w:rPr>
              <w:rStyle w:val="26"/>
            </w:rPr>
            <w:t>安装调试情况</w:t>
          </w:r>
          <w:r>
            <w:rPr>
              <w:rFonts w:hint="eastAsia"/>
            </w:rPr>
            <w:tab/>
          </w:r>
          <w:r>
            <w:rPr>
              <w:rFonts w:hint="eastAsia"/>
            </w:rPr>
            <w:fldChar w:fldCharType="begin"/>
          </w:r>
          <w:r>
            <w:rPr>
              <w:rFonts w:hint="eastAsia"/>
            </w:rPr>
            <w:instrText xml:space="preserve"> </w:instrText>
          </w:r>
          <w:r>
            <w:instrText xml:space="preserve">PAGEREF _Toc235910497 \h</w:instrText>
          </w:r>
          <w:r>
            <w:rPr>
              <w:rFonts w:hint="eastAsia"/>
            </w:rPr>
            <w:instrText xml:space="preserve"> </w:instrText>
          </w:r>
          <w:r>
            <w:rPr>
              <w:rFonts w:hint="eastAsia"/>
            </w:rPr>
            <w:fldChar w:fldCharType="separate"/>
          </w:r>
          <w:r>
            <w:t>143</w:t>
          </w:r>
          <w:r>
            <w:rPr>
              <w:rFonts w:hint="eastAsia"/>
            </w:rPr>
            <w:fldChar w:fldCharType="end"/>
          </w:r>
          <w:r>
            <w:rPr>
              <w:rFonts w:hint="eastAsia"/>
            </w:rPr>
            <w:fldChar w:fldCharType="end"/>
          </w:r>
        </w:p>
        <w:p w14:paraId="0B7F9439">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"_Toc235910498" </w:instrText>
          </w:r>
          <w:r>
            <w:fldChar w:fldCharType="separate"/>
          </w:r>
          <w:r>
            <w:rPr>
              <w:rStyle w:val="26"/>
            </w:rPr>
            <w:t>6.3</w:t>
          </w:r>
          <w:r>
            <w:rPr>
              <w:rFonts w:hint="eastAsia" w:asciiTheme="minorHAnsi" w:hAnsiTheme="minorHAnsi" w:eastAsiaTheme="minorEastAsia"/>
              <w:sz w:val="22"/>
            </w:rPr>
            <w:tab/>
          </w:r>
          <w:r>
            <w:rPr>
              <w:rStyle w:val="26"/>
            </w:rPr>
            <w:t>技术指标完成情况</w:t>
          </w:r>
          <w:r>
            <w:rPr>
              <w:rFonts w:hint="eastAsia"/>
            </w:rPr>
            <w:tab/>
          </w:r>
          <w:r>
            <w:rPr>
              <w:rFonts w:hint="eastAsia"/>
            </w:rPr>
            <w:fldChar w:fldCharType="begin"/>
          </w:r>
          <w:r>
            <w:rPr>
              <w:rFonts w:hint="eastAsia"/>
            </w:rPr>
            <w:instrText xml:space="preserve"> </w:instrText>
          </w:r>
          <w:r>
            <w:instrText xml:space="preserve">PAGEREF _Toc235910498 \h</w:instrText>
          </w:r>
          <w:r>
            <w:rPr>
              <w:rFonts w:hint="eastAsia"/>
            </w:rPr>
            <w:instrText xml:space="preserve"> </w:instrText>
          </w:r>
          <w:r>
            <w:rPr>
              <w:rFonts w:hint="eastAsia"/>
            </w:rPr>
            <w:fldChar w:fldCharType="separate"/>
          </w:r>
          <w:r>
            <w:t>143</w:t>
          </w:r>
          <w:r>
            <w:rPr>
              <w:rFonts w:hint="eastAsia"/>
            </w:rPr>
            <w:fldChar w:fldCharType="end"/>
          </w:r>
          <w:r>
            <w:rPr>
              <w:rFonts w:hint="eastAsia"/>
            </w:rPr>
            <w:fldChar w:fldCharType="end"/>
          </w:r>
        </w:p>
        <w:p w14:paraId="3866119E">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"_Toc235910499" </w:instrText>
          </w:r>
          <w:r>
            <w:fldChar w:fldCharType="separate"/>
          </w:r>
          <w:r>
            <w:rPr>
              <w:rStyle w:val="26"/>
            </w:rPr>
            <w:t>6.4</w:t>
          </w:r>
          <w:r>
            <w:rPr>
              <w:rFonts w:hint="eastAsia" w:asciiTheme="minorHAnsi" w:hAnsiTheme="minorHAnsi" w:eastAsiaTheme="minorEastAsia"/>
              <w:sz w:val="22"/>
            </w:rPr>
            <w:tab/>
          </w:r>
          <w:r>
            <w:rPr>
              <w:rStyle w:val="26"/>
            </w:rPr>
            <w:t>交付物情况</w:t>
          </w:r>
          <w:r>
            <w:rPr>
              <w:rFonts w:hint="eastAsia"/>
            </w:rPr>
            <w:tab/>
          </w:r>
          <w:r>
            <w:rPr>
              <w:rFonts w:hint="eastAsia"/>
            </w:rPr>
            <w:fldChar w:fldCharType="begin"/>
          </w:r>
          <w:r>
            <w:rPr>
              <w:rFonts w:hint="eastAsia"/>
            </w:rPr>
            <w:instrText xml:space="preserve"> </w:instrText>
          </w:r>
          <w:r>
            <w:instrText xml:space="preserve">PAGEREF _Toc235910499 \h</w:instrText>
          </w:r>
          <w:r>
            <w:rPr>
              <w:rFonts w:hint="eastAsia"/>
            </w:rPr>
            <w:instrText xml:space="preserve"> </w:instrText>
          </w:r>
          <w:r>
            <w:rPr>
              <w:rFonts w:hint="eastAsia"/>
            </w:rPr>
            <w:fldChar w:fldCharType="separate"/>
          </w:r>
          <w:r>
            <w:t>152</w:t>
          </w:r>
          <w:r>
            <w:rPr>
              <w:rFonts w:hint="eastAsia"/>
            </w:rPr>
            <w:fldChar w:fldCharType="end"/>
          </w:r>
          <w:r>
            <w:rPr>
              <w:rFonts w:hint="eastAsia"/>
            </w:rPr>
            <w:fldChar w:fldCharType="end"/>
          </w:r>
        </w:p>
        <w:p w14:paraId="3EBEBC1B">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"_Toc235910500" </w:instrText>
          </w:r>
          <w:r>
            <w:fldChar w:fldCharType="separate"/>
          </w:r>
          <w:r>
            <w:rPr>
              <w:rStyle w:val="26"/>
            </w:rPr>
            <w:t>6.5</w:t>
          </w:r>
          <w:r>
            <w:rPr>
              <w:rFonts w:hint="eastAsia" w:asciiTheme="minorHAnsi" w:hAnsiTheme="minorHAnsi" w:eastAsiaTheme="minorEastAsia"/>
              <w:sz w:val="22"/>
            </w:rPr>
            <w:tab/>
          </w:r>
          <w:r>
            <w:rPr>
              <w:rStyle w:val="26"/>
            </w:rPr>
            <w:t>资料整理及提交情况表</w:t>
          </w:r>
          <w:r>
            <w:rPr>
              <w:rFonts w:hint="eastAsia"/>
            </w:rPr>
            <w:tab/>
          </w:r>
          <w:r>
            <w:rPr>
              <w:rFonts w:hint="eastAsia"/>
            </w:rPr>
            <w:fldChar w:fldCharType="begin"/>
          </w:r>
          <w:r>
            <w:rPr>
              <w:rFonts w:hint="eastAsia"/>
            </w:rPr>
            <w:instrText xml:space="preserve"> </w:instrText>
          </w:r>
          <w:r>
            <w:instrText xml:space="preserve">PAGEREF _Toc235910500 \h</w:instrText>
          </w:r>
          <w:r>
            <w:rPr>
              <w:rFonts w:hint="eastAsia"/>
            </w:rPr>
            <w:instrText xml:space="preserve"> </w:instrText>
          </w:r>
          <w:r>
            <w:rPr>
              <w:rFonts w:hint="eastAsia"/>
            </w:rPr>
            <w:fldChar w:fldCharType="separate"/>
          </w:r>
          <w:r>
            <w:t>152</w:t>
          </w:r>
          <w:r>
            <w:rPr>
              <w:rFonts w:hint="eastAsia"/>
            </w:rPr>
            <w:fldChar w:fldCharType="end"/>
          </w:r>
          <w:r>
            <w:rPr>
              <w:rFonts w:hint="eastAsia"/>
            </w:rPr>
            <w:fldChar w:fldCharType="end"/>
          </w:r>
        </w:p>
        <w:p w14:paraId="36432C41">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"_Toc235910501" </w:instrText>
          </w:r>
          <w:r>
            <w:fldChar w:fldCharType="separate"/>
          </w:r>
          <w:r>
            <w:rPr>
              <w:rStyle w:val="26"/>
            </w:rPr>
            <w:t>6.6</w:t>
          </w:r>
          <w:r>
            <w:rPr>
              <w:rFonts w:hint="eastAsia" w:asciiTheme="minorHAnsi" w:hAnsiTheme="minorHAnsi" w:eastAsiaTheme="minorEastAsia"/>
              <w:sz w:val="22"/>
            </w:rPr>
            <w:tab/>
          </w:r>
          <w:r>
            <w:rPr>
              <w:rStyle w:val="26"/>
            </w:rPr>
            <w:t>验收及遗留问题整改情况</w:t>
          </w:r>
          <w:r>
            <w:rPr>
              <w:rFonts w:hint="eastAsia"/>
            </w:rPr>
            <w:tab/>
          </w:r>
          <w:r>
            <w:rPr>
              <w:rFonts w:hint="eastAsia"/>
            </w:rPr>
            <w:fldChar w:fldCharType="begin"/>
          </w:r>
          <w:r>
            <w:rPr>
              <w:rFonts w:hint="eastAsia"/>
            </w:rPr>
            <w:instrText xml:space="preserve"> </w:instrText>
          </w:r>
          <w:r>
            <w:instrText xml:space="preserve">PAGEREF _Toc235910501 \h</w:instrText>
          </w:r>
          <w:r>
            <w:rPr>
              <w:rFonts w:hint="eastAsia"/>
            </w:rPr>
            <w:instrText xml:space="preserve"> </w:instrText>
          </w:r>
          <w:r>
            <w:rPr>
              <w:rFonts w:hint="eastAsia"/>
            </w:rPr>
            <w:fldChar w:fldCharType="separate"/>
          </w:r>
          <w:r>
            <w:t>153</w:t>
          </w:r>
          <w:r>
            <w:rPr>
              <w:rFonts w:hint="eastAsia"/>
            </w:rPr>
            <w:fldChar w:fldCharType="end"/>
          </w:r>
          <w:r>
            <w:rPr>
              <w:rFonts w:hint="eastAsia"/>
            </w:rPr>
            <w:fldChar w:fldCharType="end"/>
          </w:r>
        </w:p>
        <w:p w14:paraId="4A05884A">
          <w:pPr>
            <w:pStyle w:val="19"/>
            <w:tabs>
              <w:tab w:val="left" w:pos="1100"/>
              <w:tab w:val="right" w:leader="dot" w:pos="8494"/>
            </w:tabs>
            <w:ind w:left="480"/>
            <w:rPr>
              <w:rFonts w:hint="eastAsia" w:asciiTheme="minorHAnsi" w:hAnsiTheme="minorHAnsi" w:eastAsiaTheme="minorEastAsia"/>
              <w:sz w:val="22"/>
            </w:rPr>
          </w:pPr>
          <w:r>
            <w:fldChar w:fldCharType="begin"/>
          </w:r>
          <w:r>
            <w:instrText xml:space="preserve"> HYPERLINK \l "_Toc235910502" </w:instrText>
          </w:r>
          <w:r>
            <w:fldChar w:fldCharType="separate"/>
          </w:r>
          <w:r>
            <w:rPr>
              <w:rStyle w:val="26"/>
              <w:lang w:val="zh-CN"/>
            </w:rPr>
            <w:t>6.7</w:t>
          </w:r>
          <w:r>
            <w:rPr>
              <w:rFonts w:hint="eastAsia" w:asciiTheme="minorHAnsi" w:hAnsiTheme="minorHAnsi" w:eastAsiaTheme="minorEastAsia"/>
              <w:sz w:val="22"/>
            </w:rPr>
            <w:tab/>
          </w:r>
          <w:r>
            <w:rPr>
              <w:rStyle w:val="26"/>
              <w:lang w:val="zh-CN"/>
            </w:rPr>
            <w:t>完成情况小结</w:t>
          </w:r>
          <w:r>
            <w:rPr>
              <w:rFonts w:hint="eastAsia"/>
            </w:rPr>
            <w:tab/>
          </w:r>
          <w:r>
            <w:rPr>
              <w:rFonts w:hint="eastAsia"/>
            </w:rPr>
            <w:fldChar w:fldCharType="begin"/>
          </w:r>
          <w:r>
            <w:rPr>
              <w:rFonts w:hint="eastAsia"/>
            </w:rPr>
            <w:instrText xml:space="preserve"> </w:instrText>
          </w:r>
          <w:r>
            <w:instrText xml:space="preserve">PAGEREF _Toc235910502 \h</w:instrText>
          </w:r>
          <w:r>
            <w:rPr>
              <w:rFonts w:hint="eastAsia"/>
            </w:rPr>
            <w:instrText xml:space="preserve"> </w:instrText>
          </w:r>
          <w:r>
            <w:rPr>
              <w:rFonts w:hint="eastAsia"/>
            </w:rPr>
            <w:fldChar w:fldCharType="separate"/>
          </w:r>
          <w:r>
            <w:t>154</w:t>
          </w:r>
          <w:r>
            <w:rPr>
              <w:rFonts w:hint="eastAsia"/>
            </w:rPr>
            <w:fldChar w:fldCharType="end"/>
          </w:r>
          <w:r>
            <w:rPr>
              <w:rFonts w:hint="eastAsia"/>
            </w:rPr>
            <w:fldChar w:fldCharType="end"/>
          </w:r>
        </w:p>
        <w:p w14:paraId="514A4E15">
          <w:pPr>
            <w:pStyle w:val="17"/>
            <w:tabs>
              <w:tab w:val="left" w:pos="420"/>
              <w:tab w:val="right" w:leader="dot" w:pos="8494"/>
            </w:tabs>
            <w:rPr>
              <w:rFonts w:hint="eastAsia" w:asciiTheme="minorHAnsi" w:hAnsiTheme="minorHAnsi" w:eastAsiaTheme="minorEastAsia"/>
              <w:sz w:val="22"/>
            </w:rPr>
          </w:pPr>
          <w:r>
            <w:fldChar w:fldCharType="begin"/>
          </w:r>
          <w:r>
            <w:instrText xml:space="preserve"> HYPERLINK \l "_Toc235910503" </w:instrText>
          </w:r>
          <w:r>
            <w:fldChar w:fldCharType="separate"/>
          </w:r>
          <w:r>
            <w:rPr>
              <w:rStyle w:val="26"/>
            </w:rPr>
            <w:t>7</w:t>
          </w:r>
          <w:r>
            <w:rPr>
              <w:rFonts w:hint="eastAsia" w:asciiTheme="minorHAnsi" w:hAnsiTheme="minorHAnsi" w:eastAsiaTheme="minorEastAsia"/>
              <w:sz w:val="22"/>
            </w:rPr>
            <w:tab/>
          </w:r>
          <w:r>
            <w:rPr>
              <w:rStyle w:val="26"/>
            </w:rPr>
            <w:t>合同变更及经济技术签证情况</w:t>
          </w:r>
          <w:r>
            <w:rPr>
              <w:rFonts w:hint="eastAsia"/>
            </w:rPr>
            <w:tab/>
          </w:r>
          <w:r>
            <w:rPr>
              <w:rFonts w:hint="eastAsia"/>
            </w:rPr>
            <w:fldChar w:fldCharType="begin"/>
          </w:r>
          <w:r>
            <w:rPr>
              <w:rFonts w:hint="eastAsia"/>
            </w:rPr>
            <w:instrText xml:space="preserve"> </w:instrText>
          </w:r>
          <w:r>
            <w:instrText xml:space="preserve">PAGEREF _Toc235910503 \h</w:instrText>
          </w:r>
          <w:r>
            <w:rPr>
              <w:rFonts w:hint="eastAsia"/>
            </w:rPr>
            <w:instrText xml:space="preserve"> </w:instrText>
          </w:r>
          <w:r>
            <w:rPr>
              <w:rFonts w:hint="eastAsia"/>
            </w:rPr>
            <w:fldChar w:fldCharType="separate"/>
          </w:r>
          <w:r>
            <w:t>156</w:t>
          </w:r>
          <w:r>
            <w:rPr>
              <w:rFonts w:hint="eastAsia"/>
            </w:rPr>
            <w:fldChar w:fldCharType="end"/>
          </w:r>
          <w:r>
            <w:rPr>
              <w:rFonts w:hint="eastAsia"/>
            </w:rPr>
            <w:fldChar w:fldCharType="end"/>
          </w:r>
        </w:p>
        <w:p w14:paraId="2AA2553F">
          <w:pPr>
            <w:pStyle w:val="17"/>
            <w:tabs>
              <w:tab w:val="left" w:pos="420"/>
              <w:tab w:val="right" w:leader="dot" w:pos="8494"/>
            </w:tabs>
            <w:rPr>
              <w:rFonts w:hint="eastAsia" w:asciiTheme="minorHAnsi" w:hAnsiTheme="minorHAnsi" w:eastAsiaTheme="minorEastAsia"/>
              <w:sz w:val="22"/>
            </w:rPr>
          </w:pPr>
          <w:r>
            <w:fldChar w:fldCharType="begin"/>
          </w:r>
          <w:r>
            <w:instrText xml:space="preserve"> HYPERLINK \l "_Toc235910504" </w:instrText>
          </w:r>
          <w:r>
            <w:fldChar w:fldCharType="separate"/>
          </w:r>
          <w:r>
            <w:rPr>
              <w:rStyle w:val="26"/>
            </w:rPr>
            <w:t>8</w:t>
          </w:r>
          <w:r>
            <w:rPr>
              <w:rFonts w:hint="eastAsia" w:asciiTheme="minorHAnsi" w:hAnsiTheme="minorHAnsi" w:eastAsiaTheme="minorEastAsia"/>
              <w:sz w:val="22"/>
            </w:rPr>
            <w:tab/>
          </w:r>
          <w:r>
            <w:rPr>
              <w:rStyle w:val="26"/>
            </w:rPr>
            <w:t>合同进度款支付情况</w:t>
          </w:r>
          <w:r>
            <w:rPr>
              <w:rFonts w:hint="eastAsia"/>
            </w:rPr>
            <w:tab/>
          </w:r>
          <w:r>
            <w:rPr>
              <w:rFonts w:hint="eastAsia"/>
            </w:rPr>
            <w:fldChar w:fldCharType="begin"/>
          </w:r>
          <w:r>
            <w:rPr>
              <w:rFonts w:hint="eastAsia"/>
            </w:rPr>
            <w:instrText xml:space="preserve"> </w:instrText>
          </w:r>
          <w:r>
            <w:instrText xml:space="preserve">PAGEREF _Toc235910504 \h</w:instrText>
          </w:r>
          <w:r>
            <w:rPr>
              <w:rFonts w:hint="eastAsia"/>
            </w:rPr>
            <w:instrText xml:space="preserve"> </w:instrText>
          </w:r>
          <w:r>
            <w:rPr>
              <w:rFonts w:hint="eastAsia"/>
            </w:rPr>
            <w:fldChar w:fldCharType="separate"/>
          </w:r>
          <w:r>
            <w:t>156</w:t>
          </w:r>
          <w:r>
            <w:rPr>
              <w:rFonts w:hint="eastAsia"/>
            </w:rPr>
            <w:fldChar w:fldCharType="end"/>
          </w:r>
          <w:r>
            <w:rPr>
              <w:rFonts w:hint="eastAsia"/>
            </w:rPr>
            <w:fldChar w:fldCharType="end"/>
          </w:r>
        </w:p>
        <w:p w14:paraId="30AD0EA8">
          <w:pPr>
            <w:pStyle w:val="17"/>
            <w:tabs>
              <w:tab w:val="left" w:pos="420"/>
              <w:tab w:val="right" w:leader="dot" w:pos="8494"/>
            </w:tabs>
            <w:rPr>
              <w:rFonts w:hint="eastAsia" w:asciiTheme="minorHAnsi" w:hAnsiTheme="minorHAnsi" w:eastAsiaTheme="minorEastAsia"/>
              <w:sz w:val="22"/>
            </w:rPr>
          </w:pPr>
          <w:r>
            <w:fldChar w:fldCharType="begin"/>
          </w:r>
          <w:r>
            <w:instrText xml:space="preserve"> HYPERLINK \l "_Toc235910505" </w:instrText>
          </w:r>
          <w:r>
            <w:fldChar w:fldCharType="separate"/>
          </w:r>
          <w:r>
            <w:rPr>
              <w:rStyle w:val="26"/>
            </w:rPr>
            <w:t>9</w:t>
          </w:r>
          <w:r>
            <w:rPr>
              <w:rFonts w:hint="eastAsia" w:asciiTheme="minorHAnsi" w:hAnsiTheme="minorHAnsi" w:eastAsiaTheme="minorEastAsia"/>
              <w:sz w:val="22"/>
            </w:rPr>
            <w:tab/>
          </w:r>
          <w:r>
            <w:rPr>
              <w:rStyle w:val="26"/>
            </w:rPr>
            <w:t>参考文献</w:t>
          </w:r>
          <w:r>
            <w:rPr>
              <w:rFonts w:hint="eastAsia"/>
            </w:rPr>
            <w:tab/>
          </w:r>
          <w:r>
            <w:rPr>
              <w:rFonts w:hint="eastAsia"/>
            </w:rPr>
            <w:fldChar w:fldCharType="begin"/>
          </w:r>
          <w:r>
            <w:rPr>
              <w:rFonts w:hint="eastAsia"/>
            </w:rPr>
            <w:instrText xml:space="preserve"> </w:instrText>
          </w:r>
          <w:r>
            <w:instrText xml:space="preserve">PAGEREF _Toc235910505 \h</w:instrText>
          </w:r>
          <w:r>
            <w:rPr>
              <w:rFonts w:hint="eastAsia"/>
            </w:rPr>
            <w:instrText xml:space="preserve"> </w:instrText>
          </w:r>
          <w:r>
            <w:rPr>
              <w:rFonts w:hint="eastAsia"/>
            </w:rPr>
            <w:fldChar w:fldCharType="separate"/>
          </w:r>
          <w:r>
            <w:t>157</w:t>
          </w:r>
          <w:r>
            <w:rPr>
              <w:rFonts w:hint="eastAsia"/>
            </w:rPr>
            <w:fldChar w:fldCharType="end"/>
          </w:r>
          <w:r>
            <w:rPr>
              <w:rFonts w:hint="eastAsia"/>
            </w:rPr>
            <w:fldChar w:fldCharType="end"/>
          </w:r>
        </w:p>
        <w:p w14:paraId="7A18026B">
          <w:pPr>
            <w:pStyle w:val="17"/>
            <w:tabs>
              <w:tab w:val="right" w:leader="dot" w:pos="8494"/>
            </w:tabs>
            <w:rPr>
              <w:rFonts w:hint="eastAsia" w:asciiTheme="minorHAnsi" w:hAnsiTheme="minorHAnsi" w:eastAsiaTheme="minorEastAsia"/>
              <w:sz w:val="22"/>
            </w:rPr>
          </w:pPr>
          <w:r>
            <w:fldChar w:fldCharType="begin"/>
          </w:r>
          <w:r>
            <w:instrText xml:space="preserve"> HYPERLINK \l "_Toc235910506" </w:instrText>
          </w:r>
          <w:r>
            <w:fldChar w:fldCharType="separate"/>
          </w:r>
          <w:r>
            <w:rPr>
              <w:rStyle w:val="26"/>
            </w:rPr>
            <w:t>附表</w:t>
          </w:r>
          <w:r>
            <w:rPr>
              <w:rFonts w:hint="eastAsia"/>
            </w:rPr>
            <w:tab/>
          </w:r>
          <w:r>
            <w:rPr>
              <w:rFonts w:hint="eastAsia"/>
            </w:rPr>
            <w:fldChar w:fldCharType="begin"/>
          </w:r>
          <w:r>
            <w:rPr>
              <w:rFonts w:hint="eastAsia"/>
            </w:rPr>
            <w:instrText xml:space="preserve"> </w:instrText>
          </w:r>
          <w:r>
            <w:instrText xml:space="preserve">PAGEREF _Toc235910506 \h</w:instrText>
          </w:r>
          <w:r>
            <w:rPr>
              <w:rFonts w:hint="eastAsia"/>
            </w:rPr>
            <w:instrText xml:space="preserve"> </w:instrText>
          </w:r>
          <w:r>
            <w:rPr>
              <w:rFonts w:hint="eastAsia"/>
            </w:rPr>
            <w:fldChar w:fldCharType="separate"/>
          </w:r>
          <w:r>
            <w:t>160</w:t>
          </w:r>
          <w:r>
            <w:rPr>
              <w:rFonts w:hint="eastAsia"/>
            </w:rPr>
            <w:fldChar w:fldCharType="end"/>
          </w:r>
          <w:r>
            <w:rPr>
              <w:rFonts w:hint="eastAsia"/>
            </w:rPr>
            <w:fldChar w:fldCharType="end"/>
          </w:r>
        </w:p>
        <w:p w14:paraId="54323FA4">
          <w:r>
            <w:rPr>
              <w:b/>
              <w:bCs/>
              <w:lang w:val="zh-CN"/>
            </w:rPr>
            <w:fldChar w:fldCharType="end"/>
          </w:r>
        </w:p>
      </w:sdtContent>
    </w:sdt>
    <w:p w14:paraId="26C065C6">
      <w:pPr>
        <w:sectPr>
          <w:headerReference r:id="rId6" w:type="default"/>
          <w:footerReference r:id="rId7" w:type="default"/>
          <w:pgSz w:w="11906" w:h="16838"/>
          <w:pgMar w:top="1440" w:right="1701" w:bottom="1440" w:left="1701" w:header="851" w:footer="992" w:gutter="0"/>
          <w:pgNumType w:fmt="upperRoman" w:start="1"/>
          <w:cols w:space="425" w:num="1"/>
          <w:docGrid w:type="lines" w:linePitch="312" w:charSpace="0"/>
        </w:sectPr>
      </w:pPr>
    </w:p>
    <w:p w14:paraId="3E0D25AF">
      <w:pPr>
        <w:pStyle w:val="2"/>
      </w:pPr>
      <w:bookmarkStart w:id="0" w:name="_Toc235910431"/>
      <w:r>
        <w:rPr>
          <w:rFonts w:hint="eastAsia"/>
        </w:rPr>
        <w:t>项目概况</w:t>
      </w:r>
      <w:bookmarkEnd w:id="0"/>
    </w:p>
    <w:p w14:paraId="196B92BA">
      <w:pPr>
        <w:pStyle w:val="4"/>
      </w:pPr>
      <w:bookmarkStart w:id="1" w:name="_Toc235910432"/>
      <w:r>
        <w:rPr>
          <w:rFonts w:hint="eastAsia"/>
        </w:rPr>
        <w:t>项目内容</w:t>
      </w:r>
      <w:bookmarkEnd w:id="1"/>
    </w:p>
    <w:p w14:paraId="4EE8AF7A">
      <w:pPr>
        <w:pStyle w:val="3"/>
      </w:pPr>
      <w:r>
        <w:rPr>
          <w:rFonts w:hint="eastAsia"/>
        </w:rPr>
        <w:t>按照招标文件第四部分《超声波全波形温度场重构理论及方法研究技术任务书》的规定：</w:t>
      </w:r>
    </w:p>
    <w:p w14:paraId="4FA0C737">
      <w:pPr>
        <w:pStyle w:val="3"/>
      </w:pPr>
      <w:r>
        <w:rPr>
          <w:rFonts w:hint="eastAsia"/>
        </w:rPr>
        <w:t>“为了满足利用超声信号对金属基、碳基（或硅基）复合材料内部温度场进行高精度测量重构的研发需求，本项目旨在开发基于声学参数的新型多参数融合智能反演方法，以实现复杂结构内部温度场的超声波非侵入式测量。”</w:t>
      </w:r>
    </w:p>
    <w:p w14:paraId="66077866">
      <w:pPr>
        <w:pStyle w:val="3"/>
      </w:pPr>
      <w:r>
        <w:rPr>
          <w:rFonts w:hint="eastAsia"/>
        </w:rPr>
        <w:t>本项目研究内容为超声波全波形温度场重构理论及方法研究服务，由复合材料中的热声固耦合分析方法、声学多参数融合的温度场反演方法、基于人工智能的温度场反演方法三个部分组成。各部分的研究目的和技术要求见</w:t>
      </w:r>
      <w:r>
        <w:fldChar w:fldCharType="begin"/>
      </w:r>
      <w:r>
        <w:instrText xml:space="preserve"> </w:instrText>
      </w:r>
      <w:r>
        <w:rPr>
          <w:rFonts w:hint="eastAsia"/>
        </w:rPr>
        <w:instrText xml:space="preserve">REF _Ref235717910 \h</w:instrText>
      </w:r>
      <w:r>
        <w:instrText xml:space="preserve"> </w:instrText>
      </w:r>
      <w:r>
        <w:fldChar w:fldCharType="separate"/>
      </w:r>
      <w:r>
        <w:rPr>
          <w:rFonts w:hint="eastAsia"/>
        </w:rPr>
        <w:t xml:space="preserve">表 </w:t>
      </w:r>
      <w:r>
        <w:t>1</w:t>
      </w:r>
      <w:r>
        <w:noBreakHyphen/>
      </w:r>
      <w:r>
        <w:t>1</w:t>
      </w:r>
      <w:r>
        <w:fldChar w:fldCharType="end"/>
      </w:r>
      <w:r>
        <w:rPr>
          <w:rFonts w:hint="eastAsia"/>
        </w:rPr>
        <w:t>。</w:t>
      </w:r>
    </w:p>
    <w:p w14:paraId="47A2BEB7">
      <w:pPr>
        <w:pStyle w:val="33"/>
      </w:pPr>
      <w:bookmarkStart w:id="2" w:name="_Ref2357179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2"/>
      <w:r>
        <w:rPr>
          <w:rFonts w:hint="eastAsia"/>
        </w:rPr>
        <w:t xml:space="preserve"> </w:t>
      </w:r>
      <w:r>
        <w:t>研究目的和技术要求</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
        <w:gridCol w:w="2230"/>
        <w:gridCol w:w="3439"/>
        <w:gridCol w:w="2566"/>
      </w:tblGrid>
      <w:tr w14:paraId="4948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ign w:val="center"/>
          </w:tcPr>
          <w:p w14:paraId="497B4E44">
            <w:pPr>
              <w:pStyle w:val="33"/>
            </w:pPr>
            <w:r>
              <w:t>编号</w:t>
            </w:r>
          </w:p>
        </w:tc>
        <w:tc>
          <w:tcPr>
            <w:tcW w:w="0" w:type="auto"/>
            <w:noWrap/>
            <w:vAlign w:val="center"/>
          </w:tcPr>
          <w:p w14:paraId="1A76741A">
            <w:pPr>
              <w:pStyle w:val="33"/>
            </w:pPr>
            <w:r>
              <w:t>研究内容</w:t>
            </w:r>
          </w:p>
        </w:tc>
        <w:tc>
          <w:tcPr>
            <w:tcW w:w="0" w:type="auto"/>
            <w:noWrap/>
            <w:vAlign w:val="center"/>
          </w:tcPr>
          <w:p w14:paraId="4D50C46A">
            <w:pPr>
              <w:pStyle w:val="33"/>
            </w:pPr>
            <w:r>
              <w:t>目的</w:t>
            </w:r>
          </w:p>
        </w:tc>
        <w:tc>
          <w:tcPr>
            <w:tcW w:w="0" w:type="auto"/>
            <w:noWrap/>
            <w:vAlign w:val="center"/>
          </w:tcPr>
          <w:p w14:paraId="2E8BEE7A">
            <w:pPr>
              <w:pStyle w:val="33"/>
            </w:pPr>
            <w:r>
              <w:t>要求</w:t>
            </w:r>
          </w:p>
        </w:tc>
      </w:tr>
      <w:tr w14:paraId="1E42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ign w:val="center"/>
          </w:tcPr>
          <w:p w14:paraId="7CACA07C">
            <w:pPr>
              <w:pStyle w:val="33"/>
            </w:pPr>
            <w:r>
              <w:t>1</w:t>
            </w:r>
          </w:p>
        </w:tc>
        <w:tc>
          <w:tcPr>
            <w:tcW w:w="0" w:type="auto"/>
            <w:noWrap/>
            <w:vAlign w:val="center"/>
          </w:tcPr>
          <w:p w14:paraId="0595A046">
            <w:pPr>
              <w:pStyle w:val="33"/>
              <w:jc w:val="both"/>
            </w:pPr>
            <w:r>
              <w:t>复合材料中的热声固耦合分析方法</w:t>
            </w:r>
          </w:p>
        </w:tc>
        <w:tc>
          <w:tcPr>
            <w:tcW w:w="0" w:type="auto"/>
            <w:noWrap/>
            <w:vAlign w:val="center"/>
          </w:tcPr>
          <w:p w14:paraId="58324E35">
            <w:pPr>
              <w:pStyle w:val="33"/>
              <w:jc w:val="both"/>
            </w:pPr>
            <w:r>
              <w:t>构建声学参数–温度关联关系模型</w:t>
            </w:r>
          </w:p>
        </w:tc>
        <w:tc>
          <w:tcPr>
            <w:tcW w:w="0" w:type="auto"/>
            <w:noWrap/>
            <w:vAlign w:val="center"/>
          </w:tcPr>
          <w:p w14:paraId="1CEF2A9C">
            <w:pPr>
              <w:pStyle w:val="33"/>
              <w:jc w:val="both"/>
            </w:pPr>
            <w:r>
              <w:t>具体要求按照《技术任务书》3.1节执行</w:t>
            </w:r>
          </w:p>
        </w:tc>
      </w:tr>
      <w:tr w14:paraId="191A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ign w:val="center"/>
          </w:tcPr>
          <w:p w14:paraId="76DAC8D4">
            <w:pPr>
              <w:pStyle w:val="33"/>
            </w:pPr>
            <w:r>
              <w:t>2</w:t>
            </w:r>
          </w:p>
        </w:tc>
        <w:tc>
          <w:tcPr>
            <w:tcW w:w="0" w:type="auto"/>
            <w:noWrap/>
            <w:vAlign w:val="center"/>
          </w:tcPr>
          <w:p w14:paraId="42576AD2">
            <w:pPr>
              <w:pStyle w:val="33"/>
              <w:jc w:val="both"/>
            </w:pPr>
            <w:r>
              <w:t>声学多参数融合的温度场反演方法</w:t>
            </w:r>
          </w:p>
        </w:tc>
        <w:tc>
          <w:tcPr>
            <w:tcW w:w="0" w:type="auto"/>
            <w:noWrap/>
            <w:vAlign w:val="center"/>
          </w:tcPr>
          <w:p w14:paraId="2EA9D33B">
            <w:pPr>
              <w:pStyle w:val="33"/>
              <w:jc w:val="both"/>
            </w:pPr>
            <w:r>
              <w:t>实现声学多参数融合的温度场高精度反演</w:t>
            </w:r>
          </w:p>
        </w:tc>
        <w:tc>
          <w:tcPr>
            <w:tcW w:w="0" w:type="auto"/>
            <w:noWrap/>
            <w:vAlign w:val="center"/>
          </w:tcPr>
          <w:p w14:paraId="44194936">
            <w:pPr>
              <w:pStyle w:val="33"/>
              <w:jc w:val="both"/>
            </w:pPr>
            <w:r>
              <w:t>具体要求按照《技术任务书》3.2节执行</w:t>
            </w:r>
          </w:p>
        </w:tc>
      </w:tr>
      <w:tr w14:paraId="6B18A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ign w:val="center"/>
          </w:tcPr>
          <w:p w14:paraId="28D765D0">
            <w:pPr>
              <w:pStyle w:val="33"/>
            </w:pPr>
            <w:r>
              <w:t>3</w:t>
            </w:r>
          </w:p>
        </w:tc>
        <w:tc>
          <w:tcPr>
            <w:tcW w:w="0" w:type="auto"/>
            <w:noWrap/>
            <w:vAlign w:val="center"/>
          </w:tcPr>
          <w:p w14:paraId="6A69AC36">
            <w:pPr>
              <w:pStyle w:val="33"/>
              <w:jc w:val="both"/>
            </w:pPr>
            <w:r>
              <w:t>基于人工智能的温度场反演方法</w:t>
            </w:r>
          </w:p>
        </w:tc>
        <w:tc>
          <w:tcPr>
            <w:tcW w:w="0" w:type="auto"/>
            <w:noWrap/>
            <w:vAlign w:val="center"/>
          </w:tcPr>
          <w:p w14:paraId="730070AD">
            <w:pPr>
              <w:pStyle w:val="33"/>
              <w:jc w:val="both"/>
            </w:pPr>
            <w:r>
              <w:t>实现基于人工智能方法的复合材料内部温度场高效重构</w:t>
            </w:r>
          </w:p>
        </w:tc>
        <w:tc>
          <w:tcPr>
            <w:tcW w:w="0" w:type="auto"/>
            <w:noWrap/>
            <w:vAlign w:val="center"/>
          </w:tcPr>
          <w:p w14:paraId="72EF8D9D">
            <w:pPr>
              <w:pStyle w:val="33"/>
              <w:jc w:val="both"/>
            </w:pPr>
            <w:r>
              <w:t>具体要求按照《技术任务书》3.3节执行</w:t>
            </w:r>
          </w:p>
        </w:tc>
      </w:tr>
    </w:tbl>
    <w:p w14:paraId="2BF61F8D">
      <w:pPr>
        <w:pStyle w:val="3"/>
      </w:pPr>
      <w:r>
        <w:t>三个部分按照“热声固耦合正演分析—声学多参数融合反演—人工智能温度场重构”的总体技术路线相互衔接。复合材料中的热声固耦合分析方法用于建立材料温度场、固体场、超声波动场以及声学参数之间的关联关系，并为后续温度场反演提供正演模型、仿真波形和声学特征参数；声学多参数融合的温度场反演方法以声时、幅值等声学参数为基础，实现材料内部一维、二维稳态和瞬态温度场反演，并研究温度场与试件厚度的联合反演方法；基于人工智能的温度场反演方法以仿真数据和实验数据为基础，构建温度—声学参数数据库和人工智能驱动的温度场重构模型，提高温度场反演效率，并支持新增实验数据条件下的在线增量训练和模型自适应优化。</w:t>
      </w:r>
    </w:p>
    <w:p w14:paraId="1C2534EC">
      <w:pPr>
        <w:pStyle w:val="3"/>
      </w:pPr>
      <w:r>
        <w:t>按照《技术任务书》规定，项目研究对象包括“三种材料（多层材料、金属基复合材料、碳基/硅基复合材料）”，研究温度范围为室温至1500K，研究内容覆盖材料内部一维、二维稳态和瞬态温度场，以及温度场、波动场和固体场的数值计算、声学参数提取、多参数融合反演和人工智能温度场重构。项目研究成果以理论方法、自主开发程序、程序测试数据、实验测试数据和配套技术文档等形式提交。</w:t>
      </w:r>
    </w:p>
    <w:p w14:paraId="5A6C0D43">
      <w:pPr>
        <w:pStyle w:val="4"/>
      </w:pPr>
      <w:bookmarkStart w:id="3" w:name="_Toc235910433"/>
      <w:r>
        <w:t>合同基本情况</w:t>
      </w:r>
      <w:bookmarkEnd w:id="3"/>
    </w:p>
    <w:p w14:paraId="7E45A0C6">
      <w:pPr>
        <w:pStyle w:val="3"/>
      </w:pPr>
      <w:r>
        <w:rPr>
          <w:rFonts w:hint="eastAsia"/>
        </w:rPr>
        <w:t>2025年9月28日，中国人民解放军63821部队作为甲方、四川大学作为乙方，签订了《超声波全波形温度场重构理论及方法研究合同》。项目编号为CLF25MY00JG42，项目地点为四川省绵阳市。</w:t>
      </w:r>
    </w:p>
    <w:p w14:paraId="5035B92D">
      <w:pPr>
        <w:pStyle w:val="3"/>
      </w:pPr>
      <w:r>
        <w:rPr>
          <w:rFonts w:hint="eastAsia"/>
        </w:rPr>
        <w:t>合同含税价格为人民币伍拾壹万伍仟元整（￥515,000.00元），其中不含税总价为人民币伍拾万元整（￥500,000.00元），税费为人民币壹万伍仟元整（￥15,000.00元），开票税率为3%。合同质量保证期限为1年。</w:t>
      </w:r>
    </w:p>
    <w:p w14:paraId="380DC6E5">
      <w:pPr>
        <w:pStyle w:val="3"/>
      </w:pPr>
      <w:r>
        <w:rPr>
          <w:rFonts w:hint="eastAsia"/>
        </w:rPr>
        <w:t>合同约定：</w:t>
      </w:r>
    </w:p>
    <w:p w14:paraId="039406FA">
      <w:pPr>
        <w:pStyle w:val="3"/>
      </w:pPr>
      <w:r>
        <w:rPr>
          <w:rFonts w:hint="eastAsia"/>
        </w:rPr>
        <w:t>“合同签订日起10个月内，乙方须完成全套超声波全波形温度场重构理论及方法研究各个模块功能实现及测试的设计研制、集成调试、成果交付及测试验收。”具体进度安排如下：</w:t>
      </w:r>
    </w:p>
    <w:p w14:paraId="60DC58BE">
      <w:pPr>
        <w:pStyle w:val="3"/>
      </w:pPr>
      <w:r>
        <w:rPr>
          <w:rFonts w:hint="eastAsia"/>
        </w:rPr>
        <w:t>(1) 合同签订日起2个月内完成实施方案评审。</w:t>
      </w:r>
    </w:p>
    <w:p w14:paraId="00456C82">
      <w:pPr>
        <w:pStyle w:val="3"/>
      </w:pPr>
      <w:r>
        <w:rPr>
          <w:rFonts w:hint="eastAsia"/>
        </w:rPr>
        <w:t>(2) 合同签订日起8个月内完成复合材料中的热声固耦合分析方法、多参数融合温度场反演方法，包括理论方法建立、验证和标准测试算例的模拟计算和验证，实验验证及数据对比分析。</w:t>
      </w:r>
    </w:p>
    <w:p w14:paraId="026077E5">
      <w:pPr>
        <w:pStyle w:val="3"/>
      </w:pPr>
      <w:r>
        <w:rPr>
          <w:rFonts w:hint="eastAsia"/>
        </w:rPr>
        <w:t>(3) 合同签订日起10个月内完成详细的基于人工智能方法的温度场声学参数反演方法及温度场反演重构方法的测试与验证，完成技术报告撰写、程序测试、实验验证及数据分析，并配合甲方完成验收。</w:t>
      </w:r>
    </w:p>
    <w:p w14:paraId="49E4364D">
      <w:pPr>
        <w:pStyle w:val="3"/>
      </w:pPr>
      <w:r>
        <w:rPr>
          <w:rFonts w:hint="eastAsia"/>
        </w:rPr>
        <w:t>本项目为总承包项目。《技术任务书》明确规定：“本项目不允许转包、不允许分包。”甲方负责提出项目研制任务书，参加项目实施过程中的评审、验收与监督，提供相应的现场条件及相关实验测试设备并组织项目验收；乙方负责完成各模块的理论及方法建立、自主源代码开发、程序调试、实验验证和数据处理，组织实施方案、测试大纲和测试报告评审，主导完成全流程实验测试验证，并提供相应的测试数据及分析结果报告。</w:t>
      </w:r>
    </w:p>
    <w:p w14:paraId="53041355">
      <w:pPr>
        <w:pStyle w:val="3"/>
      </w:pPr>
      <w:r>
        <w:rPr>
          <w:rFonts w:hint="eastAsia"/>
        </w:rPr>
        <w:t>按照《技术任务书》，本项目交付物包括程序代码、数据资料和文档资料。其中，程序代码包括各模块功能的完整代码与技术文档，“各个模块代码需不少于总行数30%的注释”；数据资料包括程序测试数据和实验测试数据，并包含相应误差分析；文档资料主要包括合同、技术任务书、技术总结报告、实施方案及评审意见、程序测试大纲、程序测试记录表和程序测试报告等。上述资料应提交盖章纸质版1套和光盘刻录电子版1套。</w:t>
      </w:r>
    </w:p>
    <w:p w14:paraId="5E6688F5">
      <w:pPr>
        <w:pStyle w:val="3"/>
      </w:pPr>
      <w:r>
        <w:rPr>
          <w:rFonts w:hint="eastAsia"/>
        </w:rPr>
        <w:t>合同验收由甲方组织实施，乙方参与。《技术任务书》规定：</w:t>
      </w:r>
    </w:p>
    <w:p w14:paraId="1EA0FA1E">
      <w:pPr>
        <w:pStyle w:val="3"/>
      </w:pPr>
      <w:r>
        <w:rPr>
          <w:rFonts w:hint="eastAsia"/>
        </w:rPr>
        <w:t>“乙方在甲方指定的场地现场完成程序测试；按照第2节和第3节的内容和要求，制定合同验收测试方案；按照合同验收测试方案在规定的运行环境下达到本项目的技术指标，并经甲方确认测试合格后，进行合同验收。”</w:t>
      </w:r>
    </w:p>
    <w:p w14:paraId="20A825F2">
      <w:pPr>
        <w:pStyle w:val="3"/>
      </w:pPr>
      <w:r>
        <w:rPr>
          <w:rFonts w:hint="eastAsia"/>
        </w:rPr>
        <w:t>乙方完成程序测试并向验收组提供测试报告，经验收组审查，整体技术性能指标和质量要求均达标，且文档资料满足要求后，办理合同验收手续。</w:t>
      </w:r>
    </w:p>
    <w:p w14:paraId="6DC46E9B">
      <w:pPr>
        <w:pStyle w:val="2"/>
      </w:pPr>
      <w:bookmarkStart w:id="4" w:name="_Toc235910434"/>
      <w:r>
        <w:rPr>
          <w:rFonts w:hint="eastAsia"/>
        </w:rPr>
        <w:t>项目实施情况</w:t>
      </w:r>
      <w:bookmarkEnd w:id="4"/>
    </w:p>
    <w:p w14:paraId="23D42B45">
      <w:pPr>
        <w:pStyle w:val="3"/>
      </w:pPr>
      <w:r>
        <w:rPr>
          <w:rFonts w:hint="eastAsia"/>
        </w:rPr>
        <w:t>合同签订后，四川大学项目团队依据合同、《技术任务书》以及经评审的《实施方案》，围绕复合材料中的热声固耦合分析方法、声学多参数融合的温度场反演方法和基于人工智能的温度场反演方法三个部分，组织开展理论方法研究、数值模型建立、算法设计、自主源代码开发、程序调试、标准测试算例验证、实验验证、数据处理和技术资料编制等工作。</w:t>
      </w:r>
    </w:p>
    <w:p w14:paraId="1D8CAC64">
      <w:pPr>
        <w:pStyle w:val="3"/>
      </w:pPr>
      <w:r>
        <w:rPr>
          <w:rFonts w:hint="eastAsia"/>
        </w:rPr>
        <w:t>项目实施过程中，四川大学先后组织完成了项目实施方案、测试大纲和测试报告的专家评审。其中，2025年10月24日完成《“超声波全波形温度场重构理论及方法研究”实施方案》专家评审，2026年6月5日完成《“超声波全波形温度场重构理论及方法研究”测试大纲》专家评审，2026年7月18日完成《“超声波全波形温度场重构理论及方法研究”测试报告》专家评审。上述评审文件及评审意见构成项目实施过程和合同验收的重要过程资料。</w:t>
      </w:r>
    </w:p>
    <w:p w14:paraId="38BE4641">
      <w:pPr>
        <w:pStyle w:val="3"/>
      </w:pPr>
      <w:r>
        <w:rPr>
          <w:rFonts w:hint="eastAsia"/>
        </w:rPr>
        <w:t>在技术总结报告编制过程中，项目团队结合合同、《技术任务书》、投标文件、项目实际执行情况以及专家评审意见，对实施方案、测试大纲和测试报告中的技术路线、测试对象、测试条件、指标表述、数据引用和文件对应关系进行进一步复核。对于需要修改的专家意见，在相关文件中落实修改；对于原文件已有内容覆盖、属于说明性建议或者经技术分析无需修改的意见，形成相应的分析说明和处理依据。通过评审后修订和文件统稿，保证实施方案、测试大纲、测试报告与技术总结报告之间的技术口径、数据来源和验收结论相互一致。</w:t>
      </w:r>
    </w:p>
    <w:p w14:paraId="769A01DA">
      <w:pPr>
        <w:pStyle w:val="3"/>
      </w:pPr>
      <w:r>
        <w:rPr>
          <w:rFonts w:hint="eastAsia"/>
        </w:rPr>
        <w:t>项目总体按照“热声固耦合正演分析—声学多参数融合反演—人工智能温度场重构”的技术路线推进。其中，复合材料中的热声固耦合分析方法为温度场反演提供声学参数—温度关联关系模型、数值求解方法和仿真数据；声学多参数融合的温度场反演方法利用声时、幅值等声学参数开展一维、二维稳态和瞬态温度场反演，并研究温度场与试件厚度的联合反演方法；基于人工智能的温度场反演方法利用仿真数据和实验数据构建温度—声学参数数据库及人工智能驱动的温度场重构模型。三个部分相互衔接，形成了从多物理场正演计算、物理模型反演到数据驱动智能反演的整体研究框架。</w:t>
      </w:r>
    </w:p>
    <w:p w14:paraId="0D460B06">
      <w:pPr>
        <w:pStyle w:val="3"/>
      </w:pPr>
      <w:r>
        <w:rPr>
          <w:rFonts w:hint="eastAsia"/>
        </w:rPr>
        <w:t>为系统反映合同和《技术任务书》的执行情况，本章以合同约定、技术任务书要求、投标响应、实施方案、测试大纲、测试报告以及项目实施过程中形成的程序、数据和技术文件为依据，分别从交付物、技术指标、资料整理及提交情况和项目进度四个方面进行总结。交付物和资料按照实际形成情况列示；技术指标按照“合同要求—验证依据—实际实现情况—对比结论”的逻辑进行说明；项目进度按照合同节点与实际执行情况进行对照。各模块采用的具体模型、算法及关键技术在后续“项目过程情况”和“关键技术攻关”章节中详细说明。</w:t>
      </w:r>
    </w:p>
    <w:p w14:paraId="53219E59">
      <w:pPr>
        <w:pStyle w:val="4"/>
      </w:pPr>
      <w:bookmarkStart w:id="5" w:name="_Toc235910435"/>
      <w:r>
        <w:rPr>
          <w:rFonts w:hint="eastAsia"/>
        </w:rPr>
        <w:t>交付物清单</w:t>
      </w:r>
      <w:bookmarkEnd w:id="5"/>
    </w:p>
    <w:p w14:paraId="4BC4ACE0">
      <w:pPr>
        <w:pStyle w:val="3"/>
      </w:pPr>
      <w:r>
        <w:rPr>
          <w:rFonts w:hint="eastAsia"/>
        </w:rPr>
        <w:t>本项目交付物依据合同、招标文件《技术任务书》和投标文件综合确定。《技术任务书》8.1节将项目交付物分为程序代码、数据资料和文档资料三类，明确要求提供各模块完整代码与技术文档、程序测试数据、实验测试数据以及合同、任务书、技术报告、实施方案、程序测试大纲、程序测试记录表和程序测试报告等资料。</w:t>
      </w:r>
    </w:p>
    <w:p w14:paraId="5328E078">
      <w:pPr>
        <w:pStyle w:val="3"/>
      </w:pPr>
      <w:r>
        <w:rPr>
          <w:rFonts w:hint="eastAsia"/>
        </w:rPr>
        <w:t>在上述合同交付要求基础上，本项目还需结合《技术任务书》有关程序兼容性、数据库建设、现场测试、使用维护和人员培训的规定，以及投标文件中有关Windows可执行程序、程序接口、人工智能模型、用户操作手册和培训资料等承诺，形成能够支持程序安装、运行、验证、维护和后续使用的完整交付成果体系。</w:t>
      </w:r>
    </w:p>
    <w:p w14:paraId="6238464A">
      <w:pPr>
        <w:pStyle w:val="3"/>
        <w:sectPr>
          <w:headerReference r:id="rId8" w:type="default"/>
          <w:pgSz w:w="11906" w:h="16838"/>
          <w:pgMar w:top="1440" w:right="1701" w:bottom="1440" w:left="1701" w:header="851" w:footer="992" w:gutter="0"/>
          <w:cols w:space="425" w:num="1"/>
          <w:docGrid w:type="lines" w:linePitch="312" w:charSpace="0"/>
        </w:sectPr>
      </w:pPr>
      <w:r>
        <w:rPr>
          <w:rFonts w:hint="eastAsia"/>
        </w:rPr>
        <w:t>项目交付物按照程序软件、模型与数据、技术文档、测试验收资料和培训交付资料五类进行整理，具体见</w:t>
      </w:r>
      <w:r>
        <w:fldChar w:fldCharType="begin"/>
      </w:r>
      <w:r>
        <w:instrText xml:space="preserve"> </w:instrText>
      </w:r>
      <w:r>
        <w:rPr>
          <w:rFonts w:hint="eastAsia"/>
        </w:rPr>
        <w:instrText xml:space="preserve">REF _Ref235891583 \h</w:instrText>
      </w:r>
      <w:r>
        <w:instrText xml:space="preserve"> </w:instrText>
      </w:r>
      <w:r>
        <w:fldChar w:fldCharType="separate"/>
      </w:r>
      <w:r>
        <w:rPr>
          <w:rFonts w:hint="eastAsia"/>
        </w:rPr>
        <w:t xml:space="preserve">表 </w:t>
      </w:r>
      <w:r>
        <w:t>2</w:t>
      </w:r>
      <w:r>
        <w:noBreakHyphen/>
      </w:r>
      <w:r>
        <w:t>1</w:t>
      </w:r>
      <w:r>
        <w:fldChar w:fldCharType="end"/>
      </w:r>
      <w:r>
        <w:rPr>
          <w:rFonts w:hint="eastAsia"/>
        </w:rPr>
        <w:t>。</w:t>
      </w:r>
    </w:p>
    <w:p w14:paraId="23ED77E6">
      <w:pPr>
        <w:pStyle w:val="33"/>
      </w:pPr>
      <w:bookmarkStart w:id="6" w:name="_Ref23589158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6"/>
      <w:r>
        <w:t>项目交付物清单</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276"/>
        <w:gridCol w:w="7229"/>
        <w:gridCol w:w="1701"/>
        <w:gridCol w:w="3038"/>
      </w:tblGrid>
      <w:tr w14:paraId="3850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681D856C">
            <w:pPr>
              <w:pStyle w:val="33"/>
            </w:pPr>
            <w:r>
              <w:t>序号</w:t>
            </w:r>
          </w:p>
        </w:tc>
        <w:tc>
          <w:tcPr>
            <w:tcW w:w="1276" w:type="dxa"/>
            <w:noWrap/>
            <w:vAlign w:val="center"/>
          </w:tcPr>
          <w:p w14:paraId="4F947C64">
            <w:pPr>
              <w:pStyle w:val="33"/>
            </w:pPr>
            <w:r>
              <w:t>类别</w:t>
            </w:r>
          </w:p>
        </w:tc>
        <w:tc>
          <w:tcPr>
            <w:tcW w:w="7229" w:type="dxa"/>
            <w:noWrap/>
            <w:vAlign w:val="center"/>
          </w:tcPr>
          <w:p w14:paraId="0E74E159">
            <w:pPr>
              <w:pStyle w:val="33"/>
            </w:pPr>
            <w:r>
              <w:t>交付物名称及主要内容</w:t>
            </w:r>
          </w:p>
        </w:tc>
        <w:tc>
          <w:tcPr>
            <w:tcW w:w="1701" w:type="dxa"/>
            <w:noWrap/>
            <w:vAlign w:val="center"/>
          </w:tcPr>
          <w:p w14:paraId="34F5BEB7">
            <w:pPr>
              <w:pStyle w:val="33"/>
            </w:pPr>
            <w:r>
              <w:t>数量及形式</w:t>
            </w:r>
          </w:p>
        </w:tc>
        <w:tc>
          <w:tcPr>
            <w:tcW w:w="3038" w:type="dxa"/>
            <w:noWrap/>
            <w:vAlign w:val="center"/>
          </w:tcPr>
          <w:p w14:paraId="52A252D6">
            <w:pPr>
              <w:pStyle w:val="33"/>
            </w:pPr>
            <w:r>
              <w:t>依据及说明</w:t>
            </w:r>
          </w:p>
        </w:tc>
      </w:tr>
      <w:tr w14:paraId="0421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0EB6FFBF">
            <w:pPr>
              <w:pStyle w:val="33"/>
            </w:pPr>
            <w:r>
              <w:t>1</w:t>
            </w:r>
          </w:p>
        </w:tc>
        <w:tc>
          <w:tcPr>
            <w:tcW w:w="1276" w:type="dxa"/>
            <w:noWrap/>
            <w:vAlign w:val="center"/>
          </w:tcPr>
          <w:p w14:paraId="1D7E0AD8">
            <w:pPr>
              <w:pStyle w:val="33"/>
            </w:pPr>
            <w:r>
              <w:t>程序软件</w:t>
            </w:r>
          </w:p>
        </w:tc>
        <w:tc>
          <w:tcPr>
            <w:tcW w:w="7229" w:type="dxa"/>
            <w:noWrap/>
            <w:vAlign w:val="center"/>
          </w:tcPr>
          <w:p w14:paraId="0772CCC0">
            <w:pPr>
              <w:pStyle w:val="33"/>
            </w:pPr>
            <w:r>
              <w:t>三个模块的完整源代码，包括复合材料中的热声固耦合分析方法模块、声学多参数融合的温度场反演方法模块和基于人工智能的温度场反演方法模块；随源代码提供必要的程序技术文档，各模块代码注释不少于总行数的30%</w:t>
            </w:r>
          </w:p>
        </w:tc>
        <w:tc>
          <w:tcPr>
            <w:tcW w:w="1701" w:type="dxa"/>
            <w:noWrap/>
            <w:vAlign w:val="center"/>
          </w:tcPr>
          <w:p w14:paraId="5A2591C7">
            <w:pPr>
              <w:pStyle w:val="33"/>
            </w:pPr>
            <w:r>
              <w:t>1套，包含三个模块</w:t>
            </w:r>
          </w:p>
        </w:tc>
        <w:tc>
          <w:tcPr>
            <w:tcW w:w="3038" w:type="dxa"/>
            <w:noWrap/>
            <w:vAlign w:val="center"/>
          </w:tcPr>
          <w:p w14:paraId="6E5669B0">
            <w:pPr>
              <w:pStyle w:val="33"/>
            </w:pPr>
            <w:r>
              <w:t>《技术任务书》8.1节明确要求</w:t>
            </w:r>
          </w:p>
        </w:tc>
      </w:tr>
      <w:tr w14:paraId="24758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14960C7C">
            <w:pPr>
              <w:pStyle w:val="33"/>
            </w:pPr>
            <w:r>
              <w:t>2</w:t>
            </w:r>
          </w:p>
        </w:tc>
        <w:tc>
          <w:tcPr>
            <w:tcW w:w="1276" w:type="dxa"/>
            <w:noWrap/>
            <w:vAlign w:val="center"/>
          </w:tcPr>
          <w:p w14:paraId="5B69A5F2">
            <w:pPr>
              <w:pStyle w:val="33"/>
            </w:pPr>
            <w:r>
              <w:t>程序软件</w:t>
            </w:r>
          </w:p>
        </w:tc>
        <w:tc>
          <w:tcPr>
            <w:tcW w:w="7229" w:type="dxa"/>
            <w:noWrap/>
            <w:vAlign w:val="center"/>
          </w:tcPr>
          <w:p w14:paraId="7F1017E4">
            <w:pPr>
              <w:pStyle w:val="33"/>
            </w:pPr>
            <w:r>
              <w:t>Windows环境下的可运行程序，包括三个模块的可执行程序、启动程序及必要的依赖文件</w:t>
            </w:r>
          </w:p>
        </w:tc>
        <w:tc>
          <w:tcPr>
            <w:tcW w:w="1701" w:type="dxa"/>
            <w:noWrap/>
            <w:vAlign w:val="center"/>
          </w:tcPr>
          <w:p w14:paraId="27718402">
            <w:pPr>
              <w:pStyle w:val="33"/>
            </w:pPr>
            <w:r>
              <w:t>1套，电子版</w:t>
            </w:r>
          </w:p>
        </w:tc>
        <w:tc>
          <w:tcPr>
            <w:tcW w:w="3038" w:type="dxa"/>
            <w:noWrap/>
            <w:vAlign w:val="center"/>
          </w:tcPr>
          <w:p w14:paraId="48E21612">
            <w:pPr>
              <w:pStyle w:val="33"/>
            </w:pPr>
            <w:r>
              <w:t>《技术任务书》3.1～3.3节兼容性要求及投标承诺</w:t>
            </w:r>
          </w:p>
        </w:tc>
      </w:tr>
      <w:tr w14:paraId="04829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4BA6A448">
            <w:pPr>
              <w:pStyle w:val="33"/>
            </w:pPr>
            <w:r>
              <w:t>3</w:t>
            </w:r>
          </w:p>
        </w:tc>
        <w:tc>
          <w:tcPr>
            <w:tcW w:w="1276" w:type="dxa"/>
            <w:noWrap/>
            <w:vAlign w:val="center"/>
          </w:tcPr>
          <w:p w14:paraId="52F93C44">
            <w:pPr>
              <w:pStyle w:val="33"/>
            </w:pPr>
            <w:r>
              <w:t>程序软件</w:t>
            </w:r>
          </w:p>
        </w:tc>
        <w:tc>
          <w:tcPr>
            <w:tcW w:w="7229" w:type="dxa"/>
            <w:noWrap/>
            <w:vAlign w:val="center"/>
          </w:tcPr>
          <w:p w14:paraId="3E89DBF0">
            <w:pPr>
              <w:pStyle w:val="33"/>
            </w:pPr>
            <w:r>
              <w:t>模块间数据接口及多语言调用接口，包括数据输入输出格式、接口定义和调用示例</w:t>
            </w:r>
          </w:p>
        </w:tc>
        <w:tc>
          <w:tcPr>
            <w:tcW w:w="1701" w:type="dxa"/>
            <w:noWrap/>
            <w:vAlign w:val="center"/>
          </w:tcPr>
          <w:p w14:paraId="49C75ADB">
            <w:pPr>
              <w:pStyle w:val="33"/>
            </w:pPr>
            <w:r>
              <w:t>1套，电子版</w:t>
            </w:r>
          </w:p>
        </w:tc>
        <w:tc>
          <w:tcPr>
            <w:tcW w:w="3038" w:type="dxa"/>
            <w:noWrap/>
            <w:vAlign w:val="center"/>
          </w:tcPr>
          <w:p w14:paraId="7FF56722">
            <w:pPr>
              <w:pStyle w:val="33"/>
            </w:pPr>
            <w:r>
              <w:t>《技术任务书》要求程序支持Windows系统，核心代码采用Fortran语言编写，人工智能模块可调用其他代码语言</w:t>
            </w:r>
          </w:p>
        </w:tc>
      </w:tr>
      <w:tr w14:paraId="261F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204AF5C0">
            <w:pPr>
              <w:pStyle w:val="33"/>
            </w:pPr>
            <w:r>
              <w:t>4</w:t>
            </w:r>
          </w:p>
        </w:tc>
        <w:tc>
          <w:tcPr>
            <w:tcW w:w="1276" w:type="dxa"/>
            <w:noWrap/>
            <w:vAlign w:val="center"/>
          </w:tcPr>
          <w:p w14:paraId="76C278F3">
            <w:pPr>
              <w:pStyle w:val="33"/>
            </w:pPr>
            <w:r>
              <w:t>程序软件</w:t>
            </w:r>
          </w:p>
        </w:tc>
        <w:tc>
          <w:tcPr>
            <w:tcW w:w="7229" w:type="dxa"/>
            <w:noWrap/>
            <w:vAlign w:val="center"/>
          </w:tcPr>
          <w:p w14:paraId="1DA6F6F1">
            <w:pPr>
              <w:pStyle w:val="33"/>
            </w:pPr>
            <w:r>
              <w:t>人工智能模型文件，包括训练完成的模型权重、模型配置参数、推理程序和在线增量训练接口</w:t>
            </w:r>
          </w:p>
        </w:tc>
        <w:tc>
          <w:tcPr>
            <w:tcW w:w="1701" w:type="dxa"/>
            <w:noWrap/>
            <w:vAlign w:val="center"/>
          </w:tcPr>
          <w:p w14:paraId="295C4E59">
            <w:pPr>
              <w:pStyle w:val="33"/>
            </w:pPr>
            <w:r>
              <w:t>1套，电子版</w:t>
            </w:r>
          </w:p>
        </w:tc>
        <w:tc>
          <w:tcPr>
            <w:tcW w:w="3038" w:type="dxa"/>
            <w:noWrap/>
            <w:vAlign w:val="center"/>
          </w:tcPr>
          <w:p w14:paraId="55367B28">
            <w:pPr>
              <w:pStyle w:val="33"/>
            </w:pPr>
            <w:r>
              <w:t>《技术任务书》3.3节功能要求及投标承诺</w:t>
            </w:r>
          </w:p>
        </w:tc>
      </w:tr>
      <w:tr w14:paraId="32D0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2317937F">
            <w:pPr>
              <w:pStyle w:val="33"/>
            </w:pPr>
            <w:r>
              <w:t>5</w:t>
            </w:r>
          </w:p>
        </w:tc>
        <w:tc>
          <w:tcPr>
            <w:tcW w:w="1276" w:type="dxa"/>
            <w:noWrap/>
            <w:vAlign w:val="center"/>
          </w:tcPr>
          <w:p w14:paraId="5A822CA7">
            <w:pPr>
              <w:pStyle w:val="33"/>
            </w:pPr>
            <w:r>
              <w:t>模型与数据</w:t>
            </w:r>
          </w:p>
        </w:tc>
        <w:tc>
          <w:tcPr>
            <w:tcW w:w="7229" w:type="dxa"/>
            <w:noWrap/>
            <w:vAlign w:val="center"/>
          </w:tcPr>
          <w:p w14:paraId="4EF7E160">
            <w:pPr>
              <w:pStyle w:val="33"/>
            </w:pPr>
            <w:r>
              <w:t>程序测试数据，包括测试输入、程序输出、基准结果、数据处理结果和误差分析</w:t>
            </w:r>
          </w:p>
        </w:tc>
        <w:tc>
          <w:tcPr>
            <w:tcW w:w="1701" w:type="dxa"/>
            <w:noWrap/>
            <w:vAlign w:val="center"/>
          </w:tcPr>
          <w:p w14:paraId="168E107F">
            <w:pPr>
              <w:pStyle w:val="33"/>
            </w:pPr>
            <w:r>
              <w:t>1套，电子版</w:t>
            </w:r>
          </w:p>
        </w:tc>
        <w:tc>
          <w:tcPr>
            <w:tcW w:w="3038" w:type="dxa"/>
            <w:noWrap/>
            <w:vAlign w:val="center"/>
          </w:tcPr>
          <w:p w14:paraId="631B8BD6">
            <w:pPr>
              <w:pStyle w:val="33"/>
            </w:pPr>
            <w:r>
              <w:t>《技术任务书》8.1节明确要求</w:t>
            </w:r>
          </w:p>
        </w:tc>
      </w:tr>
      <w:tr w14:paraId="0E681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027E51D2">
            <w:pPr>
              <w:pStyle w:val="33"/>
            </w:pPr>
            <w:r>
              <w:t>6</w:t>
            </w:r>
          </w:p>
        </w:tc>
        <w:tc>
          <w:tcPr>
            <w:tcW w:w="1276" w:type="dxa"/>
            <w:noWrap/>
            <w:vAlign w:val="center"/>
          </w:tcPr>
          <w:p w14:paraId="43158E46">
            <w:pPr>
              <w:pStyle w:val="33"/>
            </w:pPr>
            <w:r>
              <w:t>模型与数据</w:t>
            </w:r>
          </w:p>
        </w:tc>
        <w:tc>
          <w:tcPr>
            <w:tcW w:w="7229" w:type="dxa"/>
            <w:noWrap/>
            <w:vAlign w:val="center"/>
          </w:tcPr>
          <w:p w14:paraId="2CFFFAFC">
            <w:pPr>
              <w:pStyle w:val="33"/>
            </w:pPr>
            <w:r>
              <w:t>实验测试数据，包括原始测量数据、处理后数据、参考温度数据、超声波形及相应误差分析</w:t>
            </w:r>
          </w:p>
        </w:tc>
        <w:tc>
          <w:tcPr>
            <w:tcW w:w="1701" w:type="dxa"/>
            <w:noWrap/>
            <w:vAlign w:val="center"/>
          </w:tcPr>
          <w:p w14:paraId="734C6112">
            <w:pPr>
              <w:pStyle w:val="33"/>
            </w:pPr>
            <w:r>
              <w:t>1套，电子版</w:t>
            </w:r>
          </w:p>
        </w:tc>
        <w:tc>
          <w:tcPr>
            <w:tcW w:w="3038" w:type="dxa"/>
            <w:noWrap/>
            <w:vAlign w:val="center"/>
          </w:tcPr>
          <w:p w14:paraId="5434F356">
            <w:pPr>
              <w:pStyle w:val="33"/>
            </w:pPr>
            <w:r>
              <w:t>《技术任务书》8.1节明确要求</w:t>
            </w:r>
          </w:p>
        </w:tc>
      </w:tr>
      <w:tr w14:paraId="7348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4A5CC9AD">
            <w:pPr>
              <w:pStyle w:val="33"/>
            </w:pPr>
            <w:r>
              <w:t>7</w:t>
            </w:r>
          </w:p>
        </w:tc>
        <w:tc>
          <w:tcPr>
            <w:tcW w:w="1276" w:type="dxa"/>
            <w:noWrap/>
            <w:vAlign w:val="center"/>
          </w:tcPr>
          <w:p w14:paraId="64B1CDEF">
            <w:pPr>
              <w:pStyle w:val="33"/>
            </w:pPr>
            <w:r>
              <w:t>模型与数据</w:t>
            </w:r>
          </w:p>
        </w:tc>
        <w:tc>
          <w:tcPr>
            <w:tcW w:w="7229" w:type="dxa"/>
            <w:noWrap/>
            <w:vAlign w:val="center"/>
          </w:tcPr>
          <w:p w14:paraId="14362CBC">
            <w:pPr>
              <w:pStyle w:val="33"/>
            </w:pPr>
            <w:r>
              <w:t>温度—声学参数数据库，涵盖仿真数据和实验数据，至少包括1000组仿真波形和20组实验采集数据，温度覆盖室温至1500 K</w:t>
            </w:r>
          </w:p>
        </w:tc>
        <w:tc>
          <w:tcPr>
            <w:tcW w:w="1701" w:type="dxa"/>
            <w:noWrap/>
            <w:vAlign w:val="center"/>
          </w:tcPr>
          <w:p w14:paraId="7D5ED2C7">
            <w:pPr>
              <w:pStyle w:val="33"/>
            </w:pPr>
            <w:r>
              <w:t>1套，电子版</w:t>
            </w:r>
          </w:p>
        </w:tc>
        <w:tc>
          <w:tcPr>
            <w:tcW w:w="3038" w:type="dxa"/>
            <w:noWrap/>
            <w:vAlign w:val="center"/>
          </w:tcPr>
          <w:p w14:paraId="39C91C1F">
            <w:pPr>
              <w:pStyle w:val="33"/>
            </w:pPr>
            <w:r>
              <w:t>《技术任务书》3.3节明确要求</w:t>
            </w:r>
          </w:p>
        </w:tc>
      </w:tr>
      <w:tr w14:paraId="49D7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452C5DE0">
            <w:pPr>
              <w:pStyle w:val="33"/>
            </w:pPr>
            <w:r>
              <w:t>8</w:t>
            </w:r>
          </w:p>
        </w:tc>
        <w:tc>
          <w:tcPr>
            <w:tcW w:w="1276" w:type="dxa"/>
            <w:noWrap/>
            <w:vAlign w:val="center"/>
          </w:tcPr>
          <w:p w14:paraId="521A44FF">
            <w:pPr>
              <w:pStyle w:val="33"/>
            </w:pPr>
            <w:r>
              <w:t>模型与数据</w:t>
            </w:r>
          </w:p>
        </w:tc>
        <w:tc>
          <w:tcPr>
            <w:tcW w:w="7229" w:type="dxa"/>
            <w:noWrap/>
            <w:vAlign w:val="center"/>
          </w:tcPr>
          <w:p w14:paraId="54D5D6AF">
            <w:pPr>
              <w:pStyle w:val="33"/>
            </w:pPr>
            <w:r>
              <w:t>材料参数化数据库，包括多层材料、金属基复合材料、碳基/硅基复合材料的温度相关热学、力学和声学参数</w:t>
            </w:r>
          </w:p>
        </w:tc>
        <w:tc>
          <w:tcPr>
            <w:tcW w:w="1701" w:type="dxa"/>
            <w:noWrap/>
            <w:vAlign w:val="center"/>
          </w:tcPr>
          <w:p w14:paraId="2A99CE91">
            <w:pPr>
              <w:pStyle w:val="33"/>
            </w:pPr>
            <w:r>
              <w:t>1套，电子版</w:t>
            </w:r>
          </w:p>
        </w:tc>
        <w:tc>
          <w:tcPr>
            <w:tcW w:w="3038" w:type="dxa"/>
            <w:noWrap/>
            <w:vAlign w:val="center"/>
          </w:tcPr>
          <w:p w14:paraId="69966618">
            <w:pPr>
              <w:pStyle w:val="33"/>
            </w:pPr>
            <w:r>
              <w:t>投标文件技术方案及三个模块程序运行需要</w:t>
            </w:r>
          </w:p>
        </w:tc>
      </w:tr>
      <w:tr w14:paraId="0AD51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6BD33AF7">
            <w:pPr>
              <w:pStyle w:val="33"/>
            </w:pPr>
            <w:r>
              <w:t>9</w:t>
            </w:r>
          </w:p>
        </w:tc>
        <w:tc>
          <w:tcPr>
            <w:tcW w:w="1276" w:type="dxa"/>
            <w:noWrap/>
            <w:vAlign w:val="center"/>
          </w:tcPr>
          <w:p w14:paraId="2189F438">
            <w:pPr>
              <w:pStyle w:val="33"/>
            </w:pPr>
            <w:r>
              <w:t>模型与数据</w:t>
            </w:r>
          </w:p>
        </w:tc>
        <w:tc>
          <w:tcPr>
            <w:tcW w:w="7229" w:type="dxa"/>
            <w:noWrap/>
            <w:vAlign w:val="center"/>
          </w:tcPr>
          <w:p w14:paraId="446ABDC5">
            <w:pPr>
              <w:pStyle w:val="33"/>
            </w:pPr>
            <w:r>
              <w:t>模型和标准测试算例文件，包括几何模型、网格、材料参数、初始条件、边界条件、求解参数，以及一维、二维稳态和瞬态计算结果</w:t>
            </w:r>
          </w:p>
        </w:tc>
        <w:tc>
          <w:tcPr>
            <w:tcW w:w="1701" w:type="dxa"/>
            <w:noWrap/>
            <w:vAlign w:val="center"/>
          </w:tcPr>
          <w:p w14:paraId="4DFEF599">
            <w:pPr>
              <w:pStyle w:val="33"/>
            </w:pPr>
            <w:r>
              <w:t>1套，电子版</w:t>
            </w:r>
          </w:p>
        </w:tc>
        <w:tc>
          <w:tcPr>
            <w:tcW w:w="3038" w:type="dxa"/>
            <w:noWrap/>
            <w:vAlign w:val="center"/>
          </w:tcPr>
          <w:p w14:paraId="4920CFEA">
            <w:pPr>
              <w:pStyle w:val="33"/>
            </w:pPr>
            <w:r>
              <w:t>《技术任务书》3.1～3.3节功能和性能指标要求</w:t>
            </w:r>
          </w:p>
        </w:tc>
      </w:tr>
      <w:tr w14:paraId="39E2C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2C9F02BD">
            <w:pPr>
              <w:pStyle w:val="33"/>
            </w:pPr>
            <w:r>
              <w:t>10</w:t>
            </w:r>
          </w:p>
        </w:tc>
        <w:tc>
          <w:tcPr>
            <w:tcW w:w="1276" w:type="dxa"/>
            <w:noWrap/>
            <w:vAlign w:val="center"/>
          </w:tcPr>
          <w:p w14:paraId="6B38D9FC">
            <w:pPr>
              <w:pStyle w:val="33"/>
            </w:pPr>
            <w:r>
              <w:t>技术文档</w:t>
            </w:r>
          </w:p>
        </w:tc>
        <w:tc>
          <w:tcPr>
            <w:tcW w:w="7229" w:type="dxa"/>
            <w:noWrap/>
            <w:vAlign w:val="center"/>
          </w:tcPr>
          <w:p w14:paraId="7F0F83C4">
            <w:pPr>
              <w:pStyle w:val="33"/>
            </w:pPr>
            <w:r>
              <w:t>正式签订的《超声波全波形温度场重构理论及方法研究合同》</w:t>
            </w:r>
          </w:p>
        </w:tc>
        <w:tc>
          <w:tcPr>
            <w:tcW w:w="1701" w:type="dxa"/>
            <w:noWrap/>
            <w:vAlign w:val="center"/>
          </w:tcPr>
          <w:p w14:paraId="113EF3B6">
            <w:pPr>
              <w:pStyle w:val="33"/>
            </w:pPr>
            <w:r>
              <w:t>1份</w:t>
            </w:r>
          </w:p>
        </w:tc>
        <w:tc>
          <w:tcPr>
            <w:tcW w:w="3038" w:type="dxa"/>
            <w:noWrap/>
            <w:vAlign w:val="center"/>
          </w:tcPr>
          <w:p w14:paraId="37184A2F">
            <w:pPr>
              <w:pStyle w:val="33"/>
            </w:pPr>
            <w:r>
              <w:t>《技术任务书》8.1节明确要求</w:t>
            </w:r>
          </w:p>
        </w:tc>
      </w:tr>
      <w:tr w14:paraId="06B2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4C2C6E39">
            <w:pPr>
              <w:pStyle w:val="33"/>
            </w:pPr>
            <w:r>
              <w:t>11</w:t>
            </w:r>
          </w:p>
        </w:tc>
        <w:tc>
          <w:tcPr>
            <w:tcW w:w="1276" w:type="dxa"/>
            <w:noWrap/>
            <w:vAlign w:val="center"/>
          </w:tcPr>
          <w:p w14:paraId="5F8D5885">
            <w:pPr>
              <w:pStyle w:val="33"/>
            </w:pPr>
            <w:r>
              <w:t>技术文档</w:t>
            </w:r>
          </w:p>
        </w:tc>
        <w:tc>
          <w:tcPr>
            <w:tcW w:w="7229" w:type="dxa"/>
            <w:noWrap/>
            <w:vAlign w:val="center"/>
          </w:tcPr>
          <w:p w14:paraId="4C89E206">
            <w:pPr>
              <w:pStyle w:val="33"/>
            </w:pPr>
            <w:r>
              <w:t>《超声波全波形温度场重构理论及方法研究技术任务书》</w:t>
            </w:r>
          </w:p>
        </w:tc>
        <w:tc>
          <w:tcPr>
            <w:tcW w:w="1701" w:type="dxa"/>
            <w:noWrap/>
            <w:vAlign w:val="center"/>
          </w:tcPr>
          <w:p w14:paraId="60B0D5BF">
            <w:pPr>
              <w:pStyle w:val="33"/>
            </w:pPr>
            <w:r>
              <w:t>1份</w:t>
            </w:r>
          </w:p>
        </w:tc>
        <w:tc>
          <w:tcPr>
            <w:tcW w:w="3038" w:type="dxa"/>
            <w:noWrap/>
            <w:vAlign w:val="center"/>
          </w:tcPr>
          <w:p w14:paraId="7B04EADB">
            <w:pPr>
              <w:pStyle w:val="33"/>
            </w:pPr>
            <w:r>
              <w:t>《技术任务书》8.1节明确要求</w:t>
            </w:r>
          </w:p>
        </w:tc>
      </w:tr>
      <w:tr w14:paraId="5D8C5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16168A25">
            <w:pPr>
              <w:pStyle w:val="33"/>
            </w:pPr>
            <w:r>
              <w:t>12</w:t>
            </w:r>
          </w:p>
        </w:tc>
        <w:tc>
          <w:tcPr>
            <w:tcW w:w="1276" w:type="dxa"/>
            <w:noWrap/>
            <w:vAlign w:val="center"/>
          </w:tcPr>
          <w:p w14:paraId="79BE5BBE">
            <w:pPr>
              <w:pStyle w:val="33"/>
            </w:pPr>
            <w:r>
              <w:t>技术文档</w:t>
            </w:r>
          </w:p>
        </w:tc>
        <w:tc>
          <w:tcPr>
            <w:tcW w:w="7229" w:type="dxa"/>
            <w:noWrap/>
            <w:vAlign w:val="center"/>
          </w:tcPr>
          <w:p w14:paraId="16D291F8">
            <w:pPr>
              <w:pStyle w:val="33"/>
            </w:pPr>
            <w:r>
              <w:t>《超声波全波形温度场重构理论及方法研究技术总结报告》，对应《技术任务书》中要求提交的“技术报告”</w:t>
            </w:r>
          </w:p>
        </w:tc>
        <w:tc>
          <w:tcPr>
            <w:tcW w:w="1701" w:type="dxa"/>
            <w:noWrap/>
            <w:vAlign w:val="center"/>
          </w:tcPr>
          <w:p w14:paraId="27369A02">
            <w:pPr>
              <w:pStyle w:val="33"/>
            </w:pPr>
            <w:r>
              <w:t>1份</w:t>
            </w:r>
          </w:p>
        </w:tc>
        <w:tc>
          <w:tcPr>
            <w:tcW w:w="3038" w:type="dxa"/>
            <w:noWrap/>
            <w:vAlign w:val="center"/>
          </w:tcPr>
          <w:p w14:paraId="74BEFA11">
            <w:pPr>
              <w:pStyle w:val="33"/>
            </w:pPr>
            <w:r>
              <w:t>《技术任务书》8.1节明确要求</w:t>
            </w:r>
          </w:p>
        </w:tc>
      </w:tr>
      <w:tr w14:paraId="60C4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6C3E8A4B">
            <w:pPr>
              <w:pStyle w:val="33"/>
            </w:pPr>
            <w:r>
              <w:t>13</w:t>
            </w:r>
          </w:p>
        </w:tc>
        <w:tc>
          <w:tcPr>
            <w:tcW w:w="1276" w:type="dxa"/>
            <w:noWrap/>
            <w:vAlign w:val="center"/>
          </w:tcPr>
          <w:p w14:paraId="364C5BC7">
            <w:pPr>
              <w:pStyle w:val="33"/>
            </w:pPr>
            <w:r>
              <w:t>技术文档</w:t>
            </w:r>
          </w:p>
        </w:tc>
        <w:tc>
          <w:tcPr>
            <w:tcW w:w="7229" w:type="dxa"/>
            <w:noWrap/>
            <w:vAlign w:val="center"/>
          </w:tcPr>
          <w:p w14:paraId="2A69B6F0">
            <w:pPr>
              <w:pStyle w:val="33"/>
            </w:pPr>
            <w:r>
              <w:t>《超声波全波形温度场重构理论及方法研究实施方案》及专家评审意见、评审后修订说明</w:t>
            </w:r>
          </w:p>
        </w:tc>
        <w:tc>
          <w:tcPr>
            <w:tcW w:w="1701" w:type="dxa"/>
            <w:noWrap/>
            <w:vAlign w:val="center"/>
          </w:tcPr>
          <w:p w14:paraId="349BE044">
            <w:pPr>
              <w:pStyle w:val="33"/>
            </w:pPr>
            <w:r>
              <w:t>1套</w:t>
            </w:r>
          </w:p>
        </w:tc>
        <w:tc>
          <w:tcPr>
            <w:tcW w:w="3038" w:type="dxa"/>
            <w:noWrap/>
            <w:vAlign w:val="center"/>
          </w:tcPr>
          <w:p w14:paraId="5AF76AB1">
            <w:pPr>
              <w:pStyle w:val="33"/>
            </w:pPr>
            <w:r>
              <w:t>2025年10月24日完成专家评审</w:t>
            </w:r>
          </w:p>
        </w:tc>
      </w:tr>
      <w:tr w14:paraId="4F54C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7D01A6CA">
            <w:pPr>
              <w:pStyle w:val="33"/>
            </w:pPr>
            <w:r>
              <w:t>14</w:t>
            </w:r>
          </w:p>
        </w:tc>
        <w:tc>
          <w:tcPr>
            <w:tcW w:w="1276" w:type="dxa"/>
            <w:noWrap/>
            <w:vAlign w:val="center"/>
          </w:tcPr>
          <w:p w14:paraId="436888B8">
            <w:pPr>
              <w:pStyle w:val="33"/>
            </w:pPr>
            <w:r>
              <w:t>测试验收资料</w:t>
            </w:r>
          </w:p>
        </w:tc>
        <w:tc>
          <w:tcPr>
            <w:tcW w:w="7229" w:type="dxa"/>
            <w:noWrap/>
            <w:vAlign w:val="center"/>
          </w:tcPr>
          <w:p w14:paraId="1C51E612">
            <w:pPr>
              <w:pStyle w:val="33"/>
            </w:pPr>
            <w:r>
              <w:t>《超声波全波形温度场重构理论及方法研究测试大纲》及专家评审意见、评审后修订说明，对应《技术任务书》中的“程序测试大纲”</w:t>
            </w:r>
          </w:p>
        </w:tc>
        <w:tc>
          <w:tcPr>
            <w:tcW w:w="1701" w:type="dxa"/>
            <w:noWrap/>
            <w:vAlign w:val="center"/>
          </w:tcPr>
          <w:p w14:paraId="0CF3F13F">
            <w:pPr>
              <w:pStyle w:val="33"/>
            </w:pPr>
            <w:r>
              <w:t>1套</w:t>
            </w:r>
          </w:p>
        </w:tc>
        <w:tc>
          <w:tcPr>
            <w:tcW w:w="3038" w:type="dxa"/>
            <w:noWrap/>
            <w:vAlign w:val="center"/>
          </w:tcPr>
          <w:p w14:paraId="057AB3EA">
            <w:pPr>
              <w:pStyle w:val="33"/>
            </w:pPr>
            <w:r>
              <w:t>2026年6月5日完成专家评审</w:t>
            </w:r>
          </w:p>
        </w:tc>
      </w:tr>
      <w:tr w14:paraId="73C2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02D8882E">
            <w:pPr>
              <w:pStyle w:val="33"/>
            </w:pPr>
            <w:r>
              <w:t>15</w:t>
            </w:r>
          </w:p>
        </w:tc>
        <w:tc>
          <w:tcPr>
            <w:tcW w:w="1276" w:type="dxa"/>
            <w:noWrap/>
            <w:vAlign w:val="center"/>
          </w:tcPr>
          <w:p w14:paraId="47ED014F">
            <w:pPr>
              <w:pStyle w:val="33"/>
            </w:pPr>
            <w:r>
              <w:t>测试验收资料</w:t>
            </w:r>
          </w:p>
        </w:tc>
        <w:tc>
          <w:tcPr>
            <w:tcW w:w="7229" w:type="dxa"/>
            <w:noWrap/>
            <w:vAlign w:val="center"/>
          </w:tcPr>
          <w:p w14:paraId="6A58212B">
            <w:pPr>
              <w:pStyle w:val="33"/>
            </w:pPr>
            <w:r>
              <w:t>程序测试记录表，包括测试环境、测试条件、输入数据、操作步骤、输出结果、异常情况及处理过程</w:t>
            </w:r>
          </w:p>
        </w:tc>
        <w:tc>
          <w:tcPr>
            <w:tcW w:w="1701" w:type="dxa"/>
            <w:noWrap/>
            <w:vAlign w:val="center"/>
          </w:tcPr>
          <w:p w14:paraId="51FD6DEC">
            <w:pPr>
              <w:pStyle w:val="33"/>
            </w:pPr>
            <w:r>
              <w:t>1套</w:t>
            </w:r>
          </w:p>
        </w:tc>
        <w:tc>
          <w:tcPr>
            <w:tcW w:w="3038" w:type="dxa"/>
            <w:noWrap/>
            <w:vAlign w:val="center"/>
          </w:tcPr>
          <w:p w14:paraId="026EE7E1">
            <w:pPr>
              <w:pStyle w:val="33"/>
            </w:pPr>
            <w:r>
              <w:t>《技术任务书》8.1节明确要求</w:t>
            </w:r>
          </w:p>
        </w:tc>
      </w:tr>
      <w:tr w14:paraId="7BE3D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030A7B4B">
            <w:pPr>
              <w:pStyle w:val="33"/>
            </w:pPr>
            <w:r>
              <w:t>16</w:t>
            </w:r>
          </w:p>
        </w:tc>
        <w:tc>
          <w:tcPr>
            <w:tcW w:w="1276" w:type="dxa"/>
            <w:noWrap/>
            <w:vAlign w:val="center"/>
          </w:tcPr>
          <w:p w14:paraId="4428AC9C">
            <w:pPr>
              <w:pStyle w:val="33"/>
            </w:pPr>
            <w:r>
              <w:t>测试验收资料</w:t>
            </w:r>
          </w:p>
        </w:tc>
        <w:tc>
          <w:tcPr>
            <w:tcW w:w="7229" w:type="dxa"/>
            <w:noWrap/>
            <w:vAlign w:val="center"/>
          </w:tcPr>
          <w:p w14:paraId="6772B7A3">
            <w:pPr>
              <w:pStyle w:val="33"/>
            </w:pPr>
            <w:r>
              <w:t>《超声波全波形温度场重构理论及方法研究测试报告》及专家评审意见、评审后修订说明，对应《技术任务书》中的“程序测试报告”</w:t>
            </w:r>
          </w:p>
        </w:tc>
        <w:tc>
          <w:tcPr>
            <w:tcW w:w="1701" w:type="dxa"/>
            <w:noWrap/>
            <w:vAlign w:val="center"/>
          </w:tcPr>
          <w:p w14:paraId="36FBC653">
            <w:pPr>
              <w:pStyle w:val="33"/>
            </w:pPr>
            <w:r>
              <w:t>1套</w:t>
            </w:r>
          </w:p>
        </w:tc>
        <w:tc>
          <w:tcPr>
            <w:tcW w:w="3038" w:type="dxa"/>
            <w:noWrap/>
            <w:vAlign w:val="center"/>
          </w:tcPr>
          <w:p w14:paraId="73F43D62">
            <w:pPr>
              <w:pStyle w:val="33"/>
            </w:pPr>
            <w:r>
              <w:t>2026年7月18日完成专家评审</w:t>
            </w:r>
          </w:p>
        </w:tc>
      </w:tr>
      <w:tr w14:paraId="1E62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6E3AD194">
            <w:pPr>
              <w:pStyle w:val="33"/>
            </w:pPr>
            <w:r>
              <w:t>17</w:t>
            </w:r>
          </w:p>
        </w:tc>
        <w:tc>
          <w:tcPr>
            <w:tcW w:w="1276" w:type="dxa"/>
            <w:noWrap/>
            <w:vAlign w:val="center"/>
          </w:tcPr>
          <w:p w14:paraId="618711FA">
            <w:pPr>
              <w:pStyle w:val="33"/>
            </w:pPr>
            <w:r>
              <w:t>技术文档</w:t>
            </w:r>
          </w:p>
        </w:tc>
        <w:tc>
          <w:tcPr>
            <w:tcW w:w="7229" w:type="dxa"/>
            <w:noWrap/>
            <w:vAlign w:val="center"/>
          </w:tcPr>
          <w:p w14:paraId="15C97D5D">
            <w:pPr>
              <w:pStyle w:val="33"/>
            </w:pPr>
            <w:r>
              <w:t>程序安装配置、使用与维护资料，包括运行环境说明、安装配置说明、用户操作说明、维护手册和程序调试维修方法</w:t>
            </w:r>
          </w:p>
        </w:tc>
        <w:tc>
          <w:tcPr>
            <w:tcW w:w="1701" w:type="dxa"/>
            <w:noWrap/>
            <w:vAlign w:val="center"/>
          </w:tcPr>
          <w:p w14:paraId="6DDB0E95">
            <w:pPr>
              <w:pStyle w:val="33"/>
            </w:pPr>
            <w:r>
              <w:t>1套</w:t>
            </w:r>
          </w:p>
        </w:tc>
        <w:tc>
          <w:tcPr>
            <w:tcW w:w="3038" w:type="dxa"/>
            <w:noWrap/>
            <w:vAlign w:val="center"/>
          </w:tcPr>
          <w:p w14:paraId="07CB5402">
            <w:pPr>
              <w:pStyle w:val="33"/>
            </w:pPr>
            <w:r>
              <w:t>《技术任务书》3.4节保障性要求及投标承诺</w:t>
            </w:r>
          </w:p>
        </w:tc>
      </w:tr>
      <w:tr w14:paraId="25C59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42826711">
            <w:pPr>
              <w:pStyle w:val="33"/>
            </w:pPr>
            <w:r>
              <w:t>18</w:t>
            </w:r>
          </w:p>
        </w:tc>
        <w:tc>
          <w:tcPr>
            <w:tcW w:w="1276" w:type="dxa"/>
            <w:noWrap/>
            <w:vAlign w:val="center"/>
          </w:tcPr>
          <w:p w14:paraId="1FB8C4BB">
            <w:pPr>
              <w:pStyle w:val="33"/>
            </w:pPr>
            <w:r>
              <w:t>测试验收资料</w:t>
            </w:r>
          </w:p>
        </w:tc>
        <w:tc>
          <w:tcPr>
            <w:tcW w:w="7229" w:type="dxa"/>
            <w:noWrap/>
            <w:vAlign w:val="center"/>
          </w:tcPr>
          <w:p w14:paraId="0E5FED56">
            <w:pPr>
              <w:pStyle w:val="33"/>
            </w:pPr>
            <w:r>
              <w:t>合同验收测试方案，包括验收环境、测试内容、测试方法、指标判定方法和验收流程</w:t>
            </w:r>
          </w:p>
        </w:tc>
        <w:tc>
          <w:tcPr>
            <w:tcW w:w="1701" w:type="dxa"/>
            <w:noWrap/>
            <w:vAlign w:val="center"/>
          </w:tcPr>
          <w:p w14:paraId="1120C6F3">
            <w:pPr>
              <w:pStyle w:val="33"/>
            </w:pPr>
            <w:r>
              <w:t>1套</w:t>
            </w:r>
          </w:p>
        </w:tc>
        <w:tc>
          <w:tcPr>
            <w:tcW w:w="3038" w:type="dxa"/>
            <w:noWrap/>
            <w:vAlign w:val="center"/>
          </w:tcPr>
          <w:p w14:paraId="317D0F6D">
            <w:pPr>
              <w:pStyle w:val="33"/>
            </w:pPr>
            <w:r>
              <w:t>《技术任务书》8.2节验收要求</w:t>
            </w:r>
          </w:p>
        </w:tc>
      </w:tr>
      <w:tr w14:paraId="2752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2829890E">
            <w:pPr>
              <w:pStyle w:val="33"/>
            </w:pPr>
            <w:r>
              <w:t>19</w:t>
            </w:r>
          </w:p>
        </w:tc>
        <w:tc>
          <w:tcPr>
            <w:tcW w:w="1276" w:type="dxa"/>
            <w:noWrap/>
            <w:vAlign w:val="center"/>
          </w:tcPr>
          <w:p w14:paraId="5C7B984E">
            <w:pPr>
              <w:pStyle w:val="33"/>
            </w:pPr>
            <w:r>
              <w:t>测试验收资料</w:t>
            </w:r>
          </w:p>
        </w:tc>
        <w:tc>
          <w:tcPr>
            <w:tcW w:w="7229" w:type="dxa"/>
            <w:noWrap/>
            <w:vAlign w:val="center"/>
          </w:tcPr>
          <w:p w14:paraId="0C8EC759">
            <w:pPr>
              <w:pStyle w:val="33"/>
            </w:pPr>
            <w:r>
              <w:t>现场程序测试、安装调试和数据演示记录，包括现场运行情况、测试结果、问题处理和甲乙双方确认记录</w:t>
            </w:r>
          </w:p>
        </w:tc>
        <w:tc>
          <w:tcPr>
            <w:tcW w:w="1701" w:type="dxa"/>
            <w:noWrap/>
            <w:vAlign w:val="center"/>
          </w:tcPr>
          <w:p w14:paraId="5C826118">
            <w:pPr>
              <w:pStyle w:val="33"/>
            </w:pPr>
            <w:r>
              <w:t>1套</w:t>
            </w:r>
          </w:p>
        </w:tc>
        <w:tc>
          <w:tcPr>
            <w:tcW w:w="3038" w:type="dxa"/>
            <w:noWrap/>
            <w:vAlign w:val="center"/>
          </w:tcPr>
          <w:p w14:paraId="10D3C5AA">
            <w:pPr>
              <w:pStyle w:val="33"/>
            </w:pPr>
            <w:r>
              <w:t>《技术任务书》第5节和8.2节要求，验收阶段形成</w:t>
            </w:r>
          </w:p>
        </w:tc>
      </w:tr>
      <w:tr w14:paraId="3C0AF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2E7AFCE6">
            <w:pPr>
              <w:pStyle w:val="33"/>
            </w:pPr>
            <w:r>
              <w:t>20</w:t>
            </w:r>
          </w:p>
        </w:tc>
        <w:tc>
          <w:tcPr>
            <w:tcW w:w="1276" w:type="dxa"/>
            <w:noWrap/>
            <w:vAlign w:val="center"/>
          </w:tcPr>
          <w:p w14:paraId="3F44CD36">
            <w:pPr>
              <w:pStyle w:val="33"/>
            </w:pPr>
            <w:r>
              <w:t>培训交付资料</w:t>
            </w:r>
          </w:p>
        </w:tc>
        <w:tc>
          <w:tcPr>
            <w:tcW w:w="7229" w:type="dxa"/>
            <w:noWrap/>
            <w:vAlign w:val="center"/>
          </w:tcPr>
          <w:p w14:paraId="4D81594C">
            <w:pPr>
              <w:pStyle w:val="33"/>
            </w:pPr>
            <w:r>
              <w:t>用户培训资料，包括培训课件、程序操作说明、测试流程说明、数据处理说明及培训记录</w:t>
            </w:r>
          </w:p>
        </w:tc>
        <w:tc>
          <w:tcPr>
            <w:tcW w:w="1701" w:type="dxa"/>
            <w:noWrap/>
            <w:vAlign w:val="center"/>
          </w:tcPr>
          <w:p w14:paraId="764B99CA">
            <w:pPr>
              <w:pStyle w:val="33"/>
            </w:pPr>
            <w:r>
              <w:t>1套</w:t>
            </w:r>
          </w:p>
        </w:tc>
        <w:tc>
          <w:tcPr>
            <w:tcW w:w="3038" w:type="dxa"/>
            <w:noWrap/>
            <w:vAlign w:val="center"/>
          </w:tcPr>
          <w:p w14:paraId="4D57CAC6">
            <w:pPr>
              <w:pStyle w:val="33"/>
            </w:pPr>
            <w:r>
              <w:t>《技术任务书》8.3节及投标文件培训承诺</w:t>
            </w:r>
          </w:p>
        </w:tc>
      </w:tr>
      <w:tr w14:paraId="41AD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noWrap/>
            <w:vAlign w:val="center"/>
          </w:tcPr>
          <w:p w14:paraId="0C10A3B9">
            <w:pPr>
              <w:pStyle w:val="33"/>
            </w:pPr>
            <w:r>
              <w:t>21</w:t>
            </w:r>
          </w:p>
        </w:tc>
        <w:tc>
          <w:tcPr>
            <w:tcW w:w="1276" w:type="dxa"/>
            <w:noWrap/>
            <w:vAlign w:val="center"/>
          </w:tcPr>
          <w:p w14:paraId="756595BE">
            <w:pPr>
              <w:pStyle w:val="33"/>
            </w:pPr>
            <w:r>
              <w:t>交付载体</w:t>
            </w:r>
          </w:p>
        </w:tc>
        <w:tc>
          <w:tcPr>
            <w:tcW w:w="7229" w:type="dxa"/>
            <w:noWrap/>
            <w:vAlign w:val="center"/>
          </w:tcPr>
          <w:p w14:paraId="552E9A4D">
            <w:pPr>
              <w:pStyle w:val="33"/>
            </w:pPr>
            <w:r>
              <w:t>项目交付目录、文件版本清单、电子文件校验清单及光盘载体</w:t>
            </w:r>
          </w:p>
        </w:tc>
        <w:tc>
          <w:tcPr>
            <w:tcW w:w="1701" w:type="dxa"/>
            <w:noWrap/>
            <w:vAlign w:val="center"/>
          </w:tcPr>
          <w:p w14:paraId="77E2549C">
            <w:pPr>
              <w:pStyle w:val="33"/>
            </w:pPr>
            <w:r>
              <w:t>纸质资料1套，电子光盘1套</w:t>
            </w:r>
          </w:p>
        </w:tc>
        <w:tc>
          <w:tcPr>
            <w:tcW w:w="3038" w:type="dxa"/>
            <w:noWrap/>
            <w:vAlign w:val="center"/>
          </w:tcPr>
          <w:p w14:paraId="40D4E04E">
            <w:pPr>
              <w:pStyle w:val="33"/>
            </w:pPr>
            <w:r>
              <w:t>《技术任务书》规定纸质版1套并盖章、电子版1套并采用光盘刻录</w:t>
            </w:r>
          </w:p>
        </w:tc>
      </w:tr>
    </w:tbl>
    <w:p w14:paraId="46542529">
      <w:pPr>
        <w:sectPr>
          <w:pgSz w:w="16838" w:h="11906" w:orient="landscape"/>
          <w:pgMar w:top="1701" w:right="1440" w:bottom="1701" w:left="1440" w:header="851" w:footer="992" w:gutter="0"/>
          <w:cols w:space="425" w:num="1"/>
          <w:docGrid w:type="lines" w:linePitch="326" w:charSpace="0"/>
        </w:sectPr>
      </w:pPr>
    </w:p>
    <w:p w14:paraId="25226B64">
      <w:pPr>
        <w:pStyle w:val="3"/>
      </w:pPr>
      <w:r>
        <w:fldChar w:fldCharType="begin"/>
      </w:r>
      <w:r>
        <w:instrText xml:space="preserve"> </w:instrText>
      </w:r>
      <w:r>
        <w:rPr>
          <w:rFonts w:hint="eastAsia"/>
        </w:rPr>
        <w:instrText xml:space="preserve">REF _Ref235891583 \h</w:instrText>
      </w:r>
      <w:r>
        <w:instrText xml:space="preserve"> </w:instrText>
      </w:r>
      <w:r>
        <w:fldChar w:fldCharType="separate"/>
      </w:r>
      <w:r>
        <w:rPr>
          <w:rFonts w:hint="eastAsia"/>
        </w:rPr>
        <w:t xml:space="preserve">表 </w:t>
      </w:r>
      <w:r>
        <w:t>2</w:t>
      </w:r>
      <w:r>
        <w:noBreakHyphen/>
      </w:r>
      <w:r>
        <w:t>1</w:t>
      </w:r>
      <w:r>
        <w:fldChar w:fldCharType="end"/>
      </w:r>
      <w:r>
        <w:rPr>
          <w:rFonts w:hint="eastAsia"/>
        </w:rPr>
        <w:t>所列交付物中，三个模块的源代码、程序技术文档、模型文件、数据库和程序测试数据共同构成项目的技术成果主体；实施方案、测试大纲、测试报告、技术总结报告和程序测试记录表构成项目研制、测试及验收的主要证据链；可执行程序、接口文档、用户手册和培训资料用于保证甲方能够完成程序安装、独立运行、结果分析和后续维护；合同验收测试方案及现场程序测试、安装调试和数据演示记录则在最终验收阶段形成并完成签认。</w:t>
      </w:r>
    </w:p>
    <w:p w14:paraId="347E9878">
      <w:pPr>
        <w:pStyle w:val="3"/>
      </w:pPr>
      <w:r>
        <w:rPr>
          <w:rFonts w:hint="eastAsia"/>
        </w:rPr>
        <w:t>《实施方案》，《测试大纲》和《测试报告》均已完成专家评审。由于项目实际实施过程和最终技术总结对部分技术路线、实验对象、测试条件及数据表述进行了统一，上述三份文件在最终归档时应同时保留专家评审版、专家评审意见、评审后修订版和专家意见落实情况说明，以保证文档版本之间具有完整的追溯关系。</w:t>
      </w:r>
    </w:p>
    <w:p w14:paraId="77AC15D2">
      <w:pPr>
        <w:pStyle w:val="4"/>
      </w:pPr>
      <w:bookmarkStart w:id="7" w:name="_Toc235910436"/>
      <w:r>
        <w:t>技术指标对比表</w:t>
      </w:r>
      <w:bookmarkEnd w:id="7"/>
    </w:p>
    <w:p w14:paraId="1FCE1E84">
      <w:pPr>
        <w:pStyle w:val="3"/>
      </w:pPr>
      <w:r>
        <w:rPr>
          <w:rFonts w:hint="eastAsia"/>
        </w:rPr>
        <w:t>本项目以合同技术任务书规定的研究内容和技术指标为依据，围绕复合材料中的热声固耦合分析方法、声学多参数融合的温度场反演方法以及基于人工智能的温度场反演方法三个模块开展研究。项目实施过程中，通过理论分析、数值计算、程序开发和试验验证等方式，对各项研究内容及技术指标进行了逐项落实。</w:t>
      </w:r>
    </w:p>
    <w:p w14:paraId="41755FEE">
      <w:pPr>
        <w:pStyle w:val="3"/>
      </w:pPr>
    </w:p>
    <w:p w14:paraId="4EEE0D38">
      <w:pPr>
        <w:sectPr>
          <w:pgSz w:w="11906" w:h="16838"/>
          <w:pgMar w:top="1440" w:right="1701" w:bottom="1440" w:left="1701" w:header="851" w:footer="992" w:gutter="0"/>
          <w:cols w:space="425" w:num="1"/>
          <w:docGrid w:type="lines" w:linePitch="312" w:charSpace="0"/>
        </w:sectPr>
      </w:pPr>
    </w:p>
    <w:p w14:paraId="1D7DFC6E">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技术指标对比表</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456"/>
        <w:gridCol w:w="3706"/>
        <w:gridCol w:w="8080"/>
        <w:gridCol w:w="653"/>
      </w:tblGrid>
      <w:tr w14:paraId="499A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49CEB2">
            <w:pPr>
              <w:pStyle w:val="33"/>
            </w:pPr>
            <w:r>
              <w:rPr>
                <w:rFonts w:hint="eastAsia"/>
              </w:rPr>
              <w:t>模块</w:t>
            </w:r>
          </w:p>
        </w:tc>
        <w:tc>
          <w:tcPr>
            <w:tcW w:w="456" w:type="dxa"/>
            <w:vAlign w:val="center"/>
          </w:tcPr>
          <w:p w14:paraId="7B8B481F">
            <w:pPr>
              <w:pStyle w:val="33"/>
            </w:pPr>
            <w:r>
              <w:rPr>
                <w:rFonts w:hint="eastAsia"/>
              </w:rPr>
              <w:t>类别</w:t>
            </w:r>
          </w:p>
        </w:tc>
        <w:tc>
          <w:tcPr>
            <w:tcW w:w="3706" w:type="dxa"/>
            <w:vAlign w:val="center"/>
          </w:tcPr>
          <w:p w14:paraId="295AB5B7">
            <w:pPr>
              <w:pStyle w:val="33"/>
            </w:pPr>
            <w:r>
              <w:rPr>
                <w:rFonts w:hint="eastAsia"/>
              </w:rPr>
              <w:t>合同任务书要求</w:t>
            </w:r>
          </w:p>
        </w:tc>
        <w:tc>
          <w:tcPr>
            <w:tcW w:w="8080" w:type="dxa"/>
            <w:vAlign w:val="center"/>
          </w:tcPr>
          <w:p w14:paraId="17F9E90D">
            <w:pPr>
              <w:pStyle w:val="33"/>
            </w:pPr>
            <w:r>
              <w:rPr>
                <w:rFonts w:hint="eastAsia"/>
              </w:rPr>
              <w:t>完成情况</w:t>
            </w:r>
          </w:p>
        </w:tc>
        <w:tc>
          <w:tcPr>
            <w:tcW w:w="653" w:type="dxa"/>
            <w:vAlign w:val="center"/>
          </w:tcPr>
          <w:p w14:paraId="696E5AB5">
            <w:pPr>
              <w:pStyle w:val="33"/>
            </w:pPr>
            <w:r>
              <w:rPr>
                <w:rFonts w:hint="eastAsia"/>
              </w:rPr>
              <w:t>对比</w:t>
            </w:r>
          </w:p>
        </w:tc>
      </w:tr>
      <w:tr w14:paraId="20CAA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vAlign w:val="center"/>
          </w:tcPr>
          <w:p w14:paraId="4FEEDE49">
            <w:pPr>
              <w:pStyle w:val="33"/>
            </w:pPr>
            <w:r>
              <w:rPr>
                <w:rFonts w:hint="eastAsia"/>
              </w:rPr>
              <w:t>模块一</w:t>
            </w:r>
          </w:p>
        </w:tc>
        <w:tc>
          <w:tcPr>
            <w:tcW w:w="456" w:type="dxa"/>
            <w:vMerge w:val="restart"/>
            <w:vAlign w:val="center"/>
          </w:tcPr>
          <w:p w14:paraId="19D26592">
            <w:pPr>
              <w:pStyle w:val="33"/>
            </w:pPr>
            <w:r>
              <w:rPr>
                <w:rFonts w:hint="eastAsia"/>
              </w:rPr>
              <w:t>功能要求</w:t>
            </w:r>
          </w:p>
        </w:tc>
        <w:tc>
          <w:tcPr>
            <w:tcW w:w="3706" w:type="dxa"/>
            <w:vAlign w:val="center"/>
          </w:tcPr>
          <w:p w14:paraId="378F5DB8">
            <w:pPr>
              <w:pStyle w:val="33"/>
            </w:pPr>
            <w:r>
              <w:t>(1)模型适用于三种材料（多层材料、金属基复合材料、碳基/硅基复合材料），材料参数随温度变化，波传播厚度方向（材料厚度要求）：一维条件下，多层材料至少达到5mm厚、金属基复合材料至少达到10mm厚、碳基/硅基复合材料至少达到5mm至8mm厚；二维条件下，多层材料至少达到5mm厚、宽度50mm，金属基复合材料至少达到10mm厚、宽度50mm，碳基/硅基复合材料至少达到5mm至8mm厚、宽度50mm。</w:t>
            </w:r>
          </w:p>
        </w:tc>
        <w:tc>
          <w:tcPr>
            <w:tcW w:w="8080" w:type="dxa"/>
            <w:vAlign w:val="center"/>
          </w:tcPr>
          <w:p w14:paraId="120B20DB">
            <w:pPr>
              <w:pStyle w:val="33"/>
            </w:pPr>
            <w:r>
              <w:rPr>
                <w:rFonts w:hint="eastAsia"/>
              </w:rPr>
              <w:t>基于非线性热传导模型以及弹性波模型，</w:t>
            </w:r>
            <w:r>
              <w:t>建立</w:t>
            </w:r>
            <w:r>
              <w:rPr>
                <w:rFonts w:hint="eastAsia"/>
              </w:rPr>
              <w:t>了</w:t>
            </w:r>
            <w:r>
              <w:t>两层W30Mo70多层材料、W基体/SiC纤维金属基复合材料和SiC纤维/CVI-SiC基体硅基复合材料模型，并将密度、导热系数、比热容、弹性模量及声速等参数设置为随温度变化。</w:t>
            </w:r>
          </w:p>
          <w:p w14:paraId="4FF83033">
            <w:pPr>
              <w:pStyle w:val="33"/>
            </w:pPr>
            <w:r>
              <w:t>实际建立的一维模型厚度分别为20 mm、10 mm和10 mm；</w:t>
            </w:r>
          </w:p>
          <w:p w14:paraId="7F5DE8AB">
            <w:pPr>
              <w:pStyle w:val="33"/>
            </w:pPr>
            <w:r>
              <w:t>二维模型尺寸（宽度×厚度）分别为100 mm×20 mm、50 mm×10 mm和50 mm×10 mm。三类模型均完成了一维、二维稳态及瞬态工况运行，能够正常输出温度场、固体场和超声波动场结果。与任务书规定的尺寸下限相比，多层材料和碳基/硅基复合材料的厚度指标超过要求，金属基复合材料的厚度及宽度指标达到要求</w:t>
            </w:r>
            <w:r>
              <w:rPr>
                <w:rFonts w:hint="eastAsia"/>
              </w:rPr>
              <w:t>（</w:t>
            </w:r>
            <w:r>
              <w:fldChar w:fldCharType="begin"/>
            </w:r>
            <w:r>
              <w:instrText xml:space="preserve"> </w:instrText>
            </w:r>
            <w:r>
              <w:rPr>
                <w:rFonts w:hint="eastAsia"/>
              </w:rPr>
              <w:instrText xml:space="preserve">REF _Ref235902152 \h</w:instrText>
            </w:r>
            <w:r>
              <w:instrText xml:space="preserve"> </w:instrText>
            </w:r>
            <w:r>
              <w:fldChar w:fldCharType="separate"/>
            </w:r>
            <w:r>
              <w:rPr>
                <w:rFonts w:hint="eastAsia"/>
              </w:rPr>
              <w:t xml:space="preserve">图 </w:t>
            </w:r>
            <w:r>
              <w:t>3.5</w:t>
            </w:r>
            <w:r>
              <w:fldChar w:fldCharType="end"/>
            </w:r>
            <w:r>
              <w:rPr>
                <w:rFonts w:hint="eastAsia"/>
              </w:rPr>
              <w:t>、</w:t>
            </w:r>
            <w:r>
              <w:fldChar w:fldCharType="begin"/>
            </w:r>
            <w:r>
              <w:instrText xml:space="preserve"> REF _Ref235902160 \h </w:instrText>
            </w:r>
            <w:r>
              <w:fldChar w:fldCharType="separate"/>
            </w:r>
            <w:r>
              <w:rPr>
                <w:rFonts w:hint="eastAsia"/>
              </w:rPr>
              <w:t xml:space="preserve">图 </w:t>
            </w:r>
            <w:r>
              <w:t>3.11</w:t>
            </w:r>
            <w:r>
              <w:fldChar w:fldCharType="end"/>
            </w:r>
            <w:r>
              <w:rPr>
                <w:rFonts w:hint="eastAsia"/>
              </w:rPr>
              <w:t>、</w:t>
            </w:r>
            <w:r>
              <w:fldChar w:fldCharType="begin"/>
            </w:r>
            <w:r>
              <w:instrText xml:space="preserve"> REF _Ref235902167 \h </w:instrText>
            </w:r>
            <w:r>
              <w:fldChar w:fldCharType="separate"/>
            </w:r>
            <w:r>
              <w:rPr>
                <w:rFonts w:hint="eastAsia"/>
              </w:rPr>
              <w:t xml:space="preserve">图 </w:t>
            </w:r>
            <w:r>
              <w:t>3.17</w:t>
            </w:r>
            <w:r>
              <w:fldChar w:fldCharType="end"/>
            </w:r>
            <w:r>
              <w:rPr>
                <w:rFonts w:hint="eastAsia"/>
              </w:rPr>
              <w:t>、</w:t>
            </w:r>
            <w:r>
              <w:fldChar w:fldCharType="begin"/>
            </w:r>
            <w:r>
              <w:instrText xml:space="preserve"> REF _Ref235902169 \h </w:instrText>
            </w:r>
            <w:r>
              <w:fldChar w:fldCharType="separate"/>
            </w:r>
            <w:r>
              <w:rPr>
                <w:rFonts w:hint="eastAsia"/>
              </w:rPr>
              <w:t xml:space="preserve">图 </w:t>
            </w:r>
            <w:r>
              <w:t>3.18</w:t>
            </w:r>
            <w:r>
              <w:fldChar w:fldCharType="end"/>
            </w:r>
            <w:r>
              <w:rPr>
                <w:rFonts w:hint="eastAsia"/>
              </w:rPr>
              <w:t>、</w:t>
            </w:r>
            <w:r>
              <w:fldChar w:fldCharType="begin"/>
            </w:r>
            <w:r>
              <w:instrText xml:space="preserve"> </w:instrText>
            </w:r>
            <w:r>
              <w:rPr>
                <w:rFonts w:hint="eastAsia"/>
              </w:rPr>
              <w:instrText xml:space="preserve">REF _Ref235902258 \h</w:instrText>
            </w:r>
            <w:r>
              <w:instrText xml:space="preserve"> </w:instrText>
            </w:r>
            <w:r>
              <w:fldChar w:fldCharType="separate"/>
            </w:r>
            <w:r>
              <w:rPr>
                <w:rFonts w:hint="eastAsia"/>
              </w:rPr>
              <w:t xml:space="preserve">表 </w:t>
            </w:r>
            <w:r>
              <w:t>3</w:t>
            </w:r>
            <w:r>
              <w:noBreakHyphen/>
            </w:r>
            <w:r>
              <w:t>4</w:t>
            </w:r>
            <w:r>
              <w:fldChar w:fldCharType="end"/>
            </w:r>
            <w:r>
              <w:rPr>
                <w:rFonts w:hint="eastAsia"/>
              </w:rPr>
              <w:t>）。</w:t>
            </w:r>
          </w:p>
        </w:tc>
        <w:tc>
          <w:tcPr>
            <w:tcW w:w="653" w:type="dxa"/>
            <w:vAlign w:val="center"/>
          </w:tcPr>
          <w:p w14:paraId="50B3E7A6">
            <w:pPr>
              <w:pStyle w:val="33"/>
            </w:pPr>
            <w:r>
              <w:rPr>
                <w:rFonts w:hint="eastAsia"/>
              </w:rPr>
              <w:t>完成</w:t>
            </w:r>
          </w:p>
        </w:tc>
      </w:tr>
      <w:tr w14:paraId="44804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1A1443C5">
            <w:pPr>
              <w:pStyle w:val="33"/>
            </w:pPr>
          </w:p>
        </w:tc>
        <w:tc>
          <w:tcPr>
            <w:tcW w:w="456" w:type="dxa"/>
            <w:vMerge w:val="continue"/>
            <w:vAlign w:val="center"/>
          </w:tcPr>
          <w:p w14:paraId="16789F2E">
            <w:pPr>
              <w:pStyle w:val="33"/>
            </w:pPr>
          </w:p>
        </w:tc>
        <w:tc>
          <w:tcPr>
            <w:tcW w:w="3706" w:type="dxa"/>
            <w:vAlign w:val="center"/>
          </w:tcPr>
          <w:p w14:paraId="2C7F6D8C">
            <w:pPr>
              <w:pStyle w:val="33"/>
            </w:pPr>
            <w:r>
              <w:t>(2)室温至1500K温度条件下，基于有限元法（FEM）或有限差分法（FDM）或谱元法（SEM）进行热声固多物理场耦合求解（在时域、频域、时频耦合域内的数值求解）</w:t>
            </w:r>
          </w:p>
        </w:tc>
        <w:tc>
          <w:tcPr>
            <w:tcW w:w="8080" w:type="dxa"/>
            <w:vAlign w:val="center"/>
          </w:tcPr>
          <w:p w14:paraId="2F9A526D">
            <w:pPr>
              <w:pStyle w:val="33"/>
            </w:pPr>
            <w:r>
              <w:t>采用Gmsh完成几何离散与网格划分，利用自主开发的Fortran有限元程序，按照“热传导场计算—温度相关材料参数更新—热弹性固体场计算—超声波传播计算”的顺序实现热、声、固场量传递与耦合。计算温度范围覆盖300～1500 K，并完成三类材料的一维、二维稳态及瞬态工况求解。时域内获得温度、位移、应力及超声接收波形等结果；频域内通过FFT获得振幅谱、中心频率等特征；时频域内通过STFT和Morlet小波分析获得超声信号能量随时间和频率的变化结果。程序能够稳定输出各物理场曲线、云图及声学特征，相关结果与COMSOL对比一致，表明室温至1500 K范围内的热—声—固多物理场有限元耦合及时域、频域、时频域分析功能已经完成，本项指标达到要求</w:t>
            </w:r>
            <w:r>
              <w:rPr>
                <w:rFonts w:hint="eastAsia"/>
              </w:rPr>
              <w:t>（</w:t>
            </w:r>
            <w:r>
              <w:fldChar w:fldCharType="begin"/>
            </w:r>
            <w:r>
              <w:instrText xml:space="preserve"> </w:instrText>
            </w:r>
            <w:r>
              <w:rPr>
                <w:rFonts w:hint="eastAsia"/>
              </w:rPr>
              <w:instrText xml:space="preserve">REF _Ref235902380 \h</w:instrText>
            </w:r>
            <w:r>
              <w:instrText xml:space="preserve"> </w:instrText>
            </w:r>
            <w:r>
              <w:fldChar w:fldCharType="separate"/>
            </w:r>
            <w:r>
              <w:t>图 3.2</w:t>
            </w:r>
            <w:r>
              <w:fldChar w:fldCharType="end"/>
            </w:r>
            <w:r>
              <w:rPr>
                <w:rFonts w:hint="eastAsia"/>
              </w:rPr>
              <w:t>、</w:t>
            </w:r>
            <w:r>
              <w:fldChar w:fldCharType="begin"/>
            </w:r>
            <w:r>
              <w:instrText xml:space="preserve"> REF _Ref235902425 \r \h </w:instrText>
            </w:r>
            <w:r>
              <w:fldChar w:fldCharType="separate"/>
            </w:r>
            <w:r>
              <w:t>3.2.2</w:t>
            </w:r>
            <w:r>
              <w:fldChar w:fldCharType="end"/>
            </w:r>
            <w:r>
              <w:rPr>
                <w:rFonts w:hint="eastAsia"/>
              </w:rPr>
              <w:t>节）</w:t>
            </w:r>
            <w:r>
              <w:t>。</w:t>
            </w:r>
          </w:p>
        </w:tc>
        <w:tc>
          <w:tcPr>
            <w:tcW w:w="653" w:type="dxa"/>
            <w:vAlign w:val="center"/>
          </w:tcPr>
          <w:p w14:paraId="4E58ECC6">
            <w:pPr>
              <w:pStyle w:val="33"/>
            </w:pPr>
            <w:r>
              <w:rPr>
                <w:rFonts w:hint="eastAsia"/>
              </w:rPr>
              <w:t>完成</w:t>
            </w:r>
          </w:p>
        </w:tc>
      </w:tr>
      <w:tr w14:paraId="56DD0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07EC2E4B">
            <w:pPr>
              <w:pStyle w:val="33"/>
            </w:pPr>
          </w:p>
        </w:tc>
        <w:tc>
          <w:tcPr>
            <w:tcW w:w="456" w:type="dxa"/>
            <w:vMerge w:val="continue"/>
            <w:vAlign w:val="center"/>
          </w:tcPr>
          <w:p w14:paraId="0AB8A886">
            <w:pPr>
              <w:pStyle w:val="33"/>
            </w:pPr>
          </w:p>
        </w:tc>
        <w:tc>
          <w:tcPr>
            <w:tcW w:w="3706" w:type="dxa"/>
            <w:vAlign w:val="center"/>
          </w:tcPr>
          <w:p w14:paraId="6925D5C6">
            <w:pPr>
              <w:pStyle w:val="33"/>
            </w:pPr>
            <w:r>
              <w:t>(3)计算温度场、波动场、固体场，后处理可提取相关声学参数，时域：声时、幅值、回波上包络面积等；频域：振幅谱、中心频率等</w:t>
            </w:r>
          </w:p>
        </w:tc>
        <w:tc>
          <w:tcPr>
            <w:tcW w:w="8080" w:type="dxa"/>
            <w:vAlign w:val="center"/>
          </w:tcPr>
          <w:p w14:paraId="6B86F680">
            <w:pPr>
              <w:pStyle w:val="33"/>
            </w:pPr>
            <w:r>
              <w:t>已实现温度场、超声波动场以及固体位移场的同步计算与结果输出，可生成典型测点时程曲线和典型时刻场分布云图。针对接收端超声波形，程序利用Hilbert包络及回波识别方法计算传播声时、峰值幅度和回波上包络面积；利用FFT获得振幅谱，并根据频谱分布提取中心频率。上述场量和声学特征已在三类材料的一维、二维稳态及瞬态测试中完成提取，并用于后续温度敏感性分析和温度场反演，相关功能运行正常</w:t>
            </w:r>
            <w:r>
              <w:rPr>
                <w:rFonts w:hint="eastAsia"/>
              </w:rPr>
              <w:t>（</w:t>
            </w:r>
            <w:r>
              <w:fldChar w:fldCharType="begin"/>
            </w:r>
            <w:r>
              <w:instrText xml:space="preserve"> </w:instrText>
            </w:r>
            <w:r>
              <w:rPr>
                <w:rFonts w:hint="eastAsia"/>
              </w:rPr>
              <w:instrText xml:space="preserve">REF _Ref235902522 \h</w:instrText>
            </w:r>
            <w:r>
              <w:instrText xml:space="preserve"> </w:instrText>
            </w:r>
            <w:r>
              <w:fldChar w:fldCharType="separate"/>
            </w:r>
            <w:r>
              <w:rPr>
                <w:rFonts w:hint="eastAsia"/>
              </w:rPr>
              <w:t xml:space="preserve">图 </w:t>
            </w:r>
            <w:r>
              <w:t>3.7</w:t>
            </w:r>
            <w:r>
              <w:fldChar w:fldCharType="end"/>
            </w:r>
            <w:r>
              <w:rPr>
                <w:rFonts w:hint="eastAsia"/>
              </w:rPr>
              <w:t>、</w:t>
            </w:r>
            <w:r>
              <w:fldChar w:fldCharType="begin"/>
            </w:r>
            <w:r>
              <w:instrText xml:space="preserve"> REF _Ref235902523 \h </w:instrText>
            </w:r>
            <w:r>
              <w:fldChar w:fldCharType="separate"/>
            </w:r>
            <w:r>
              <w:rPr>
                <w:rFonts w:hint="eastAsia"/>
              </w:rPr>
              <w:t xml:space="preserve">图 </w:t>
            </w:r>
            <w:r>
              <w:t>3.8</w:t>
            </w:r>
            <w:r>
              <w:fldChar w:fldCharType="end"/>
            </w:r>
            <w:r>
              <w:rPr>
                <w:rFonts w:hint="eastAsia"/>
              </w:rPr>
              <w:t>、</w:t>
            </w:r>
            <w:r>
              <w:fldChar w:fldCharType="begin"/>
            </w:r>
            <w:r>
              <w:instrText xml:space="preserve"> REF _Ref235902525 \h </w:instrText>
            </w:r>
            <w:r>
              <w:fldChar w:fldCharType="separate"/>
            </w:r>
            <w:r>
              <w:rPr>
                <w:rFonts w:hint="eastAsia"/>
              </w:rPr>
              <w:t xml:space="preserve">图 </w:t>
            </w:r>
            <w:r>
              <w:t>3.9</w:t>
            </w:r>
            <w:r>
              <w:fldChar w:fldCharType="end"/>
            </w:r>
            <w:r>
              <w:rPr>
                <w:rFonts w:hint="eastAsia"/>
              </w:rPr>
              <w:t>、</w:t>
            </w:r>
            <w:r>
              <w:fldChar w:fldCharType="begin"/>
            </w:r>
            <w:r>
              <w:instrText xml:space="preserve"> REF _Ref235902527 \h </w:instrText>
            </w:r>
            <w:r>
              <w:fldChar w:fldCharType="separate"/>
            </w:r>
            <w:r>
              <w:rPr>
                <w:rFonts w:hint="eastAsia"/>
              </w:rPr>
              <w:t xml:space="preserve">图 </w:t>
            </w:r>
            <w:r>
              <w:t>3.10</w:t>
            </w:r>
            <w:r>
              <w:fldChar w:fldCharType="end"/>
            </w:r>
            <w:r>
              <w:rPr>
                <w:rFonts w:hint="eastAsia"/>
              </w:rPr>
              <w:t>、</w:t>
            </w:r>
            <w:r>
              <w:fldChar w:fldCharType="begin"/>
            </w:r>
            <w:r>
              <w:instrText xml:space="preserve"> REF _Ref235902534 \h </w:instrText>
            </w:r>
            <w:r>
              <w:fldChar w:fldCharType="separate"/>
            </w:r>
            <w:r>
              <w:rPr>
                <w:rFonts w:hint="eastAsia"/>
              </w:rPr>
              <w:t xml:space="preserve">图 </w:t>
            </w:r>
            <w:r>
              <w:t>3.13</w:t>
            </w:r>
            <w:r>
              <w:fldChar w:fldCharType="end"/>
            </w:r>
            <w:r>
              <w:rPr>
                <w:rFonts w:hint="eastAsia"/>
              </w:rPr>
              <w:t>、</w:t>
            </w:r>
            <w:r>
              <w:fldChar w:fldCharType="begin"/>
            </w:r>
            <w:r>
              <w:instrText xml:space="preserve"> REF _Ref235902535 \h </w:instrText>
            </w:r>
            <w:r>
              <w:fldChar w:fldCharType="separate"/>
            </w:r>
            <w:r>
              <w:rPr>
                <w:rFonts w:hint="eastAsia"/>
              </w:rPr>
              <w:t xml:space="preserve">图 </w:t>
            </w:r>
            <w:r>
              <w:t>3.14</w:t>
            </w:r>
            <w:r>
              <w:fldChar w:fldCharType="end"/>
            </w:r>
            <w:r>
              <w:rPr>
                <w:rFonts w:hint="eastAsia"/>
              </w:rPr>
              <w:t>、</w:t>
            </w:r>
            <w:r>
              <w:fldChar w:fldCharType="begin"/>
            </w:r>
            <w:r>
              <w:instrText xml:space="preserve"> REF _Ref235902537 \h </w:instrText>
            </w:r>
            <w:r>
              <w:fldChar w:fldCharType="separate"/>
            </w:r>
            <w:r>
              <w:rPr>
                <w:rFonts w:hint="eastAsia"/>
              </w:rPr>
              <w:t xml:space="preserve">图 </w:t>
            </w:r>
            <w:r>
              <w:t>3.15</w:t>
            </w:r>
            <w:r>
              <w:fldChar w:fldCharType="end"/>
            </w:r>
            <w:r>
              <w:rPr>
                <w:rFonts w:hint="eastAsia"/>
              </w:rPr>
              <w:t>、</w:t>
            </w:r>
            <w:r>
              <w:fldChar w:fldCharType="begin"/>
            </w:r>
            <w:r>
              <w:instrText xml:space="preserve"> REF _Ref235902539 \h </w:instrText>
            </w:r>
            <w:r>
              <w:fldChar w:fldCharType="separate"/>
            </w:r>
            <w:r>
              <w:rPr>
                <w:rFonts w:hint="eastAsia"/>
              </w:rPr>
              <w:t xml:space="preserve">图 </w:t>
            </w:r>
            <w:r>
              <w:t>3.20</w:t>
            </w:r>
            <w:r>
              <w:fldChar w:fldCharType="end"/>
            </w:r>
            <w:r>
              <w:rPr>
                <w:rFonts w:hint="eastAsia"/>
              </w:rPr>
              <w:t>、</w:t>
            </w:r>
            <w:r>
              <w:fldChar w:fldCharType="begin"/>
            </w:r>
            <w:r>
              <w:instrText xml:space="preserve"> REF _Ref235902541 \h </w:instrText>
            </w:r>
            <w:r>
              <w:fldChar w:fldCharType="separate"/>
            </w:r>
            <w:r>
              <w:rPr>
                <w:rFonts w:hint="eastAsia"/>
              </w:rPr>
              <w:t xml:space="preserve">图 </w:t>
            </w:r>
            <w:r>
              <w:t>3.21</w:t>
            </w:r>
            <w:r>
              <w:fldChar w:fldCharType="end"/>
            </w:r>
            <w:r>
              <w:rPr>
                <w:rFonts w:hint="eastAsia"/>
              </w:rPr>
              <w:t>、</w:t>
            </w:r>
            <w:r>
              <w:fldChar w:fldCharType="begin"/>
            </w:r>
            <w:r>
              <w:instrText xml:space="preserve"> REF _Ref235902549 \h </w:instrText>
            </w:r>
            <w:r>
              <w:fldChar w:fldCharType="separate"/>
            </w:r>
            <w:r>
              <w:rPr>
                <w:rFonts w:hint="eastAsia"/>
              </w:rPr>
              <w:t xml:space="preserve">图 </w:t>
            </w:r>
            <w:r>
              <w:t>3.24</w:t>
            </w:r>
            <w:r>
              <w:fldChar w:fldCharType="end"/>
            </w:r>
            <w:r>
              <w:rPr>
                <w:rFonts w:hint="eastAsia"/>
              </w:rPr>
              <w:t>）。</w:t>
            </w:r>
          </w:p>
        </w:tc>
        <w:tc>
          <w:tcPr>
            <w:tcW w:w="653" w:type="dxa"/>
            <w:vAlign w:val="center"/>
          </w:tcPr>
          <w:p w14:paraId="33AB8A15">
            <w:pPr>
              <w:pStyle w:val="33"/>
            </w:pPr>
            <w:r>
              <w:rPr>
                <w:rFonts w:hint="eastAsia"/>
              </w:rPr>
              <w:t>完成</w:t>
            </w:r>
          </w:p>
        </w:tc>
      </w:tr>
      <w:tr w14:paraId="7595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79127007">
            <w:pPr>
              <w:pStyle w:val="33"/>
            </w:pPr>
          </w:p>
        </w:tc>
        <w:tc>
          <w:tcPr>
            <w:tcW w:w="456" w:type="dxa"/>
            <w:vMerge w:val="continue"/>
            <w:vAlign w:val="center"/>
          </w:tcPr>
          <w:p w14:paraId="5360A405">
            <w:pPr>
              <w:pStyle w:val="33"/>
            </w:pPr>
          </w:p>
        </w:tc>
        <w:tc>
          <w:tcPr>
            <w:tcW w:w="3706" w:type="dxa"/>
            <w:vAlign w:val="center"/>
          </w:tcPr>
          <w:p w14:paraId="3D8127D0">
            <w:pPr>
              <w:pStyle w:val="33"/>
            </w:pPr>
            <w:r>
              <w:t>(4)给出时域、频域、时频耦合域中声学参数对温度敏感性分析的仿真报告</w:t>
            </w:r>
          </w:p>
        </w:tc>
        <w:tc>
          <w:tcPr>
            <w:tcW w:w="8080" w:type="dxa"/>
            <w:vAlign w:val="center"/>
          </w:tcPr>
          <w:p w14:paraId="1EE121CB">
            <w:pPr>
              <w:pStyle w:val="33"/>
            </w:pPr>
            <w:r>
              <w:t>在保持材料结构、边界条件和激励参数一致的情况下，对300～1500K范围内不同温度工况进行分组计算，并以温度为自变量，对提取的声学特征进行归一化和对比分析。时域分析包括声时、峰值幅度和回波上包络面积随温度的变化；频域分析包括振幅谱及中心频率随温度的变化；时频耦合域采用STFT和Morlet小波分析超声信号能量分布随时间、频率和温度的变化。</w:t>
            </w:r>
            <w:r>
              <w:rPr>
                <w:rFonts w:hint="eastAsia"/>
              </w:rPr>
              <w:t>完成了</w:t>
            </w:r>
            <w:r>
              <w:t>二维稳态及瞬态场景，已形成声学参数—温度关系曲线、时频图和对比分析结果，并纳入测试报告及其附件，为后续温度场反演筛选温度敏感参数提供了依据，本项指标完成</w:t>
            </w:r>
            <w:r>
              <w:rPr>
                <w:rFonts w:hint="eastAsia"/>
              </w:rPr>
              <w:t>（</w:t>
            </w:r>
            <w:r>
              <w:fldChar w:fldCharType="begin"/>
            </w:r>
            <w:r>
              <w:instrText xml:space="preserve"> </w:instrText>
            </w:r>
            <w:r>
              <w:rPr>
                <w:rFonts w:hint="eastAsia"/>
              </w:rPr>
              <w:instrText xml:space="preserve">REF _Ref235902664 \r \h</w:instrText>
            </w:r>
            <w:r>
              <w:instrText xml:space="preserve"> </w:instrText>
            </w:r>
            <w:r>
              <w:fldChar w:fldCharType="separate"/>
            </w:r>
            <w:r>
              <w:t>3.2.7</w:t>
            </w:r>
            <w:r>
              <w:fldChar w:fldCharType="end"/>
            </w:r>
            <w:r>
              <w:rPr>
                <w:rFonts w:hint="eastAsia"/>
              </w:rPr>
              <w:t>节）</w:t>
            </w:r>
            <w:r>
              <w:t>。</w:t>
            </w:r>
          </w:p>
        </w:tc>
        <w:tc>
          <w:tcPr>
            <w:tcW w:w="653" w:type="dxa"/>
            <w:vAlign w:val="center"/>
          </w:tcPr>
          <w:p w14:paraId="3DDA2A4F">
            <w:pPr>
              <w:pStyle w:val="33"/>
            </w:pPr>
            <w:r>
              <w:rPr>
                <w:rFonts w:hint="eastAsia"/>
              </w:rPr>
              <w:t>完成</w:t>
            </w:r>
          </w:p>
        </w:tc>
      </w:tr>
      <w:tr w14:paraId="1F2DE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14278E13">
            <w:pPr>
              <w:pStyle w:val="33"/>
            </w:pPr>
          </w:p>
        </w:tc>
        <w:tc>
          <w:tcPr>
            <w:tcW w:w="456" w:type="dxa"/>
            <w:vMerge w:val="restart"/>
            <w:vAlign w:val="center"/>
          </w:tcPr>
          <w:p w14:paraId="4C8236E8">
            <w:pPr>
              <w:pStyle w:val="33"/>
            </w:pPr>
            <w:r>
              <w:rPr>
                <w:rFonts w:hint="eastAsia"/>
              </w:rPr>
              <w:t>性能指标</w:t>
            </w:r>
          </w:p>
        </w:tc>
        <w:tc>
          <w:tcPr>
            <w:tcW w:w="3706" w:type="dxa"/>
            <w:vAlign w:val="center"/>
          </w:tcPr>
          <w:p w14:paraId="3A81517A">
            <w:pPr>
              <w:pStyle w:val="33"/>
            </w:pPr>
            <w:r>
              <w:t>(5)与通用软件或实验结果比较，耦合分析所得的温度、结构位移、声学特性（声速或幅值或衰减系数等）的预测相对误差≤10%；</w:t>
            </w:r>
          </w:p>
        </w:tc>
        <w:tc>
          <w:tcPr>
            <w:tcW w:w="8080" w:type="dxa"/>
            <w:vAlign w:val="center"/>
          </w:tcPr>
          <w:p w14:paraId="0E1F7E14">
            <w:pPr>
              <w:pStyle w:val="33"/>
            </w:pPr>
            <w:r>
              <w:t>项目在统一几何模型、材料参数、边界条件、物理单位和采样时刻的条件下，对三类材料一维、二维工况的温度场、结构位移和声学特征进行了对比。测试结果显示：温度场全场最大逐点相对误差为1.232%，；结构位移场全场最大逐点相对误差为3.843%；声学特征最大相对误差为3.629%。上述各项最大误差均低于10%，表明自主程序与COMSOL计算结果具有良好的一致性，本项指标达到要求</w:t>
            </w:r>
            <w:r>
              <w:rPr>
                <w:rFonts w:hint="eastAsia"/>
              </w:rPr>
              <w:t>（</w:t>
            </w:r>
            <w:r>
              <w:fldChar w:fldCharType="begin"/>
            </w:r>
            <w:r>
              <w:instrText xml:space="preserve"> </w:instrText>
            </w:r>
            <w:r>
              <w:rPr>
                <w:rFonts w:hint="eastAsia"/>
              </w:rPr>
              <w:instrText xml:space="preserve">REF _Ref235902770 \r \h</w:instrText>
            </w:r>
            <w:r>
              <w:instrText xml:space="preserve"> </w:instrText>
            </w:r>
            <w:r>
              <w:fldChar w:fldCharType="separate"/>
            </w:r>
            <w:r>
              <w:t>3.2.4.2</w:t>
            </w:r>
            <w:r>
              <w:fldChar w:fldCharType="end"/>
            </w:r>
            <w:r>
              <w:rPr>
                <w:rFonts w:hint="eastAsia"/>
              </w:rPr>
              <w:t>节、</w:t>
            </w:r>
            <w:r>
              <w:fldChar w:fldCharType="begin"/>
            </w:r>
            <w:r>
              <w:instrText xml:space="preserve"> REF _Ref235902773 \r \h </w:instrText>
            </w:r>
            <w:r>
              <w:fldChar w:fldCharType="separate"/>
            </w:r>
            <w:r>
              <w:t>3.2.4.3</w:t>
            </w:r>
            <w:r>
              <w:fldChar w:fldCharType="end"/>
            </w:r>
            <w:r>
              <w:rPr>
                <w:rFonts w:hint="eastAsia"/>
              </w:rPr>
              <w:t>节、</w:t>
            </w:r>
            <w:r>
              <w:fldChar w:fldCharType="begin"/>
            </w:r>
            <w:r>
              <w:instrText xml:space="preserve"> REF _Ref235902780 \r \h </w:instrText>
            </w:r>
            <w:r>
              <w:fldChar w:fldCharType="separate"/>
            </w:r>
            <w:r>
              <w:t>3.2.5.2</w:t>
            </w:r>
            <w:r>
              <w:fldChar w:fldCharType="end"/>
            </w:r>
            <w:r>
              <w:rPr>
                <w:rFonts w:hint="eastAsia"/>
              </w:rPr>
              <w:t>节、</w:t>
            </w:r>
            <w:r>
              <w:fldChar w:fldCharType="begin"/>
            </w:r>
            <w:r>
              <w:instrText xml:space="preserve"> REF _Ref235902782 \r \h </w:instrText>
            </w:r>
            <w:r>
              <w:fldChar w:fldCharType="separate"/>
            </w:r>
            <w:r>
              <w:t>3.2.6.3</w:t>
            </w:r>
            <w:r>
              <w:fldChar w:fldCharType="end"/>
            </w:r>
            <w:r>
              <w:rPr>
                <w:rFonts w:hint="eastAsia"/>
              </w:rPr>
              <w:t>节）</w:t>
            </w:r>
            <w:r>
              <w:t>。</w:t>
            </w:r>
          </w:p>
        </w:tc>
        <w:tc>
          <w:tcPr>
            <w:tcW w:w="653" w:type="dxa"/>
            <w:vAlign w:val="center"/>
          </w:tcPr>
          <w:p w14:paraId="6934870D">
            <w:pPr>
              <w:pStyle w:val="33"/>
            </w:pPr>
            <w:r>
              <w:rPr>
                <w:rFonts w:hint="eastAsia"/>
              </w:rPr>
              <w:t>完成</w:t>
            </w:r>
          </w:p>
        </w:tc>
      </w:tr>
      <w:tr w14:paraId="7A32B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3F76A12C">
            <w:pPr>
              <w:pStyle w:val="33"/>
            </w:pPr>
          </w:p>
        </w:tc>
        <w:tc>
          <w:tcPr>
            <w:tcW w:w="456" w:type="dxa"/>
            <w:vMerge w:val="continue"/>
            <w:vAlign w:val="center"/>
          </w:tcPr>
          <w:p w14:paraId="4511DE0A">
            <w:pPr>
              <w:pStyle w:val="33"/>
            </w:pPr>
          </w:p>
        </w:tc>
        <w:tc>
          <w:tcPr>
            <w:tcW w:w="3706" w:type="dxa"/>
            <w:vAlign w:val="center"/>
          </w:tcPr>
          <w:p w14:paraId="5980034B">
            <w:pPr>
              <w:pStyle w:val="33"/>
            </w:pPr>
            <w:r>
              <w:t>(6)支持上述三种不同材料瞬态和稳态耦合特性的数值仿真，后处理可以获得典型点三场特性随时间的变化曲线以及整个材料三场特性典型时刻的云图。</w:t>
            </w:r>
          </w:p>
        </w:tc>
        <w:tc>
          <w:tcPr>
            <w:tcW w:w="8080" w:type="dxa"/>
            <w:vAlign w:val="center"/>
          </w:tcPr>
          <w:p w14:paraId="1F0B3009">
            <w:pPr>
              <w:pStyle w:val="33"/>
            </w:pPr>
            <w:r>
              <w:t>项目已完成多层材料、金属基复合材料和硅基复合材料共6类一维、二维模型的稳态及瞬态热—声—固耦合计算。程序可在指定监测点连续输出温度、结构位移和波动速度随时间变化的曲线，并可在设定时刻输出整个模型的温度场、固体位移场和波动场云图。结果能够反映升温过程、热致位移演化以及超声波传播、反射和透射过程；典型点温度时程最大NRMSE为1.451%，位移时程最大NRMSE为2.938%，典型时刻波动场最大逐点相对误差为3.437%，均低于10%。三类材料的稳态、瞬态曲线和云图输出功能均已完成并通过测试，本项指标达到要求</w:t>
            </w:r>
            <w:r>
              <w:rPr>
                <w:rFonts w:hint="eastAsia"/>
              </w:rPr>
              <w:t>（</w:t>
            </w:r>
            <w:r>
              <w:fldChar w:fldCharType="begin"/>
            </w:r>
            <w:r>
              <w:instrText xml:space="preserve"> </w:instrText>
            </w:r>
            <w:r>
              <w:rPr>
                <w:rFonts w:hint="eastAsia"/>
              </w:rPr>
              <w:instrText xml:space="preserve">REF _Ref235902522 \h</w:instrText>
            </w:r>
            <w:r>
              <w:instrText xml:space="preserve"> </w:instrText>
            </w:r>
            <w:r>
              <w:fldChar w:fldCharType="separate"/>
            </w:r>
            <w:r>
              <w:rPr>
                <w:rFonts w:hint="eastAsia"/>
              </w:rPr>
              <w:t xml:space="preserve">图 </w:t>
            </w:r>
            <w:r>
              <w:t>3.7</w:t>
            </w:r>
            <w:r>
              <w:fldChar w:fldCharType="end"/>
            </w:r>
            <w:r>
              <w:rPr>
                <w:rFonts w:hint="eastAsia"/>
              </w:rPr>
              <w:t>、</w:t>
            </w:r>
            <w:r>
              <w:fldChar w:fldCharType="begin"/>
            </w:r>
            <w:r>
              <w:instrText xml:space="preserve"> REF _Ref235902523 \h </w:instrText>
            </w:r>
            <w:r>
              <w:fldChar w:fldCharType="separate"/>
            </w:r>
            <w:r>
              <w:rPr>
                <w:rFonts w:hint="eastAsia"/>
              </w:rPr>
              <w:t xml:space="preserve">图 </w:t>
            </w:r>
            <w:r>
              <w:t>3.8</w:t>
            </w:r>
            <w:r>
              <w:fldChar w:fldCharType="end"/>
            </w:r>
            <w:r>
              <w:rPr>
                <w:rFonts w:hint="eastAsia"/>
              </w:rPr>
              <w:t>、</w:t>
            </w:r>
            <w:r>
              <w:fldChar w:fldCharType="begin"/>
            </w:r>
            <w:r>
              <w:instrText xml:space="preserve"> REF _Ref235902525 \h </w:instrText>
            </w:r>
            <w:r>
              <w:fldChar w:fldCharType="separate"/>
            </w:r>
            <w:r>
              <w:rPr>
                <w:rFonts w:hint="eastAsia"/>
              </w:rPr>
              <w:t xml:space="preserve">图 </w:t>
            </w:r>
            <w:r>
              <w:t>3.9</w:t>
            </w:r>
            <w:r>
              <w:fldChar w:fldCharType="end"/>
            </w:r>
            <w:r>
              <w:rPr>
                <w:rFonts w:hint="eastAsia"/>
              </w:rPr>
              <w:t>、</w:t>
            </w:r>
            <w:r>
              <w:fldChar w:fldCharType="begin"/>
            </w:r>
            <w:r>
              <w:instrText xml:space="preserve"> REF _Ref235902527 \h </w:instrText>
            </w:r>
            <w:r>
              <w:fldChar w:fldCharType="separate"/>
            </w:r>
            <w:r>
              <w:rPr>
                <w:rFonts w:hint="eastAsia"/>
              </w:rPr>
              <w:t xml:space="preserve">图 </w:t>
            </w:r>
            <w:r>
              <w:t>3.10</w:t>
            </w:r>
            <w:r>
              <w:fldChar w:fldCharType="end"/>
            </w:r>
            <w:r>
              <w:rPr>
                <w:rFonts w:hint="eastAsia"/>
              </w:rPr>
              <w:t>、</w:t>
            </w:r>
            <w:r>
              <w:fldChar w:fldCharType="begin"/>
            </w:r>
            <w:r>
              <w:instrText xml:space="preserve"> REF _Ref235902534 \h </w:instrText>
            </w:r>
            <w:r>
              <w:fldChar w:fldCharType="separate"/>
            </w:r>
            <w:r>
              <w:rPr>
                <w:rFonts w:hint="eastAsia"/>
              </w:rPr>
              <w:t xml:space="preserve">图 </w:t>
            </w:r>
            <w:r>
              <w:t>3.13</w:t>
            </w:r>
            <w:r>
              <w:fldChar w:fldCharType="end"/>
            </w:r>
            <w:r>
              <w:rPr>
                <w:rFonts w:hint="eastAsia"/>
              </w:rPr>
              <w:t>、</w:t>
            </w:r>
            <w:r>
              <w:fldChar w:fldCharType="begin"/>
            </w:r>
            <w:r>
              <w:instrText xml:space="preserve"> REF _Ref235902535 \h </w:instrText>
            </w:r>
            <w:r>
              <w:fldChar w:fldCharType="separate"/>
            </w:r>
            <w:r>
              <w:rPr>
                <w:rFonts w:hint="eastAsia"/>
              </w:rPr>
              <w:t xml:space="preserve">图 </w:t>
            </w:r>
            <w:r>
              <w:t>3.14</w:t>
            </w:r>
            <w:r>
              <w:fldChar w:fldCharType="end"/>
            </w:r>
            <w:r>
              <w:rPr>
                <w:rFonts w:hint="eastAsia"/>
              </w:rPr>
              <w:t>、</w:t>
            </w:r>
            <w:r>
              <w:fldChar w:fldCharType="begin"/>
            </w:r>
            <w:r>
              <w:instrText xml:space="preserve"> REF _Ref235902537 \h </w:instrText>
            </w:r>
            <w:r>
              <w:fldChar w:fldCharType="separate"/>
            </w:r>
            <w:r>
              <w:rPr>
                <w:rFonts w:hint="eastAsia"/>
              </w:rPr>
              <w:t xml:space="preserve">图 </w:t>
            </w:r>
            <w:r>
              <w:t>3.15</w:t>
            </w:r>
            <w:r>
              <w:fldChar w:fldCharType="end"/>
            </w:r>
            <w:r>
              <w:rPr>
                <w:rFonts w:hint="eastAsia"/>
              </w:rPr>
              <w:t>、</w:t>
            </w:r>
            <w:r>
              <w:fldChar w:fldCharType="begin"/>
            </w:r>
            <w:r>
              <w:instrText xml:space="preserve"> REF _Ref235902539 \h </w:instrText>
            </w:r>
            <w:r>
              <w:fldChar w:fldCharType="separate"/>
            </w:r>
            <w:r>
              <w:rPr>
                <w:rFonts w:hint="eastAsia"/>
              </w:rPr>
              <w:t xml:space="preserve">图 </w:t>
            </w:r>
            <w:r>
              <w:t>3.20</w:t>
            </w:r>
            <w:r>
              <w:fldChar w:fldCharType="end"/>
            </w:r>
            <w:r>
              <w:rPr>
                <w:rFonts w:hint="eastAsia"/>
              </w:rPr>
              <w:t>、</w:t>
            </w:r>
            <w:r>
              <w:fldChar w:fldCharType="begin"/>
            </w:r>
            <w:r>
              <w:instrText xml:space="preserve"> REF _Ref235902541 \h </w:instrText>
            </w:r>
            <w:r>
              <w:fldChar w:fldCharType="separate"/>
            </w:r>
            <w:r>
              <w:rPr>
                <w:rFonts w:hint="eastAsia"/>
              </w:rPr>
              <w:t xml:space="preserve">图 </w:t>
            </w:r>
            <w:r>
              <w:t>3.21</w:t>
            </w:r>
            <w:r>
              <w:fldChar w:fldCharType="end"/>
            </w:r>
            <w:r>
              <w:rPr>
                <w:rFonts w:hint="eastAsia"/>
              </w:rPr>
              <w:t>、</w:t>
            </w:r>
            <w:r>
              <w:fldChar w:fldCharType="begin"/>
            </w:r>
            <w:r>
              <w:instrText xml:space="preserve"> REF _Ref235902549 \h </w:instrText>
            </w:r>
            <w:r>
              <w:fldChar w:fldCharType="separate"/>
            </w:r>
            <w:r>
              <w:rPr>
                <w:rFonts w:hint="eastAsia"/>
              </w:rPr>
              <w:t xml:space="preserve">图 </w:t>
            </w:r>
            <w:r>
              <w:t>3.24</w:t>
            </w:r>
            <w:r>
              <w:fldChar w:fldCharType="end"/>
            </w:r>
            <w:r>
              <w:rPr>
                <w:rFonts w:hint="eastAsia"/>
              </w:rPr>
              <w:t>）</w:t>
            </w:r>
            <w:r>
              <w:t>。</w:t>
            </w:r>
          </w:p>
        </w:tc>
        <w:tc>
          <w:tcPr>
            <w:tcW w:w="653" w:type="dxa"/>
            <w:vAlign w:val="center"/>
          </w:tcPr>
          <w:p w14:paraId="0B3E904E">
            <w:pPr>
              <w:pStyle w:val="33"/>
            </w:pPr>
            <w:r>
              <w:rPr>
                <w:rFonts w:hint="eastAsia"/>
              </w:rPr>
              <w:t>完成</w:t>
            </w:r>
          </w:p>
        </w:tc>
      </w:tr>
      <w:tr w14:paraId="1CBEC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0748774E">
            <w:pPr>
              <w:pStyle w:val="33"/>
            </w:pPr>
          </w:p>
        </w:tc>
        <w:tc>
          <w:tcPr>
            <w:tcW w:w="456" w:type="dxa"/>
            <w:vMerge w:val="continue"/>
            <w:vAlign w:val="center"/>
          </w:tcPr>
          <w:p w14:paraId="0215A868">
            <w:pPr>
              <w:pStyle w:val="33"/>
            </w:pPr>
          </w:p>
        </w:tc>
        <w:tc>
          <w:tcPr>
            <w:tcW w:w="3706" w:type="dxa"/>
            <w:vAlign w:val="center"/>
          </w:tcPr>
          <w:p w14:paraId="13EA52AF">
            <w:pPr>
              <w:pStyle w:val="33"/>
            </w:pPr>
            <w:r>
              <w:t>(7)兼容性：支持Windows系统，程序代码采用Fortran语言编写。</w:t>
            </w:r>
          </w:p>
        </w:tc>
        <w:tc>
          <w:tcPr>
            <w:tcW w:w="8080" w:type="dxa"/>
            <w:vAlign w:val="center"/>
          </w:tcPr>
          <w:p w14:paraId="1F72C032">
            <w:pPr>
              <w:pStyle w:val="33"/>
            </w:pPr>
            <w:r>
              <w:t>项目程序已在Windows测试环境中完成部署和连续运行验证，模型参数配置、计算任务启动、结果文件生成以及曲线、云图显示等功能均运行正常。热传导、热弹性固体场和超声波动场等核心数值求解模块采用Fortran语言开发，源代码包含网格及参数读取、有限元矩阵组装、时步迭代、场量计算和结果输出等功能，并已随项目成果一并交付。测试过程中未出现影响程序运行的系统兼容性问题，本项指标达到要求</w:t>
            </w:r>
            <w:r>
              <w:rPr>
                <w:rFonts w:hint="eastAsia"/>
              </w:rPr>
              <w:t>（</w:t>
            </w:r>
            <w:r>
              <w:fldChar w:fldCharType="begin"/>
            </w:r>
            <w:r>
              <w:instrText xml:space="preserve"> </w:instrText>
            </w:r>
            <w:r>
              <w:rPr>
                <w:rFonts w:hint="eastAsia"/>
              </w:rPr>
              <w:instrText xml:space="preserve">REF _Ref235902880 \r \h</w:instrText>
            </w:r>
            <w:r>
              <w:instrText xml:space="preserve"> </w:instrText>
            </w:r>
            <w:r>
              <w:fldChar w:fldCharType="separate"/>
            </w:r>
            <w:r>
              <w:t>3.2.3</w:t>
            </w:r>
            <w:r>
              <w:fldChar w:fldCharType="end"/>
            </w:r>
            <w:r>
              <w:rPr>
                <w:rFonts w:hint="eastAsia"/>
              </w:rPr>
              <w:t>节）</w:t>
            </w:r>
            <w:r>
              <w:t>。</w:t>
            </w:r>
          </w:p>
        </w:tc>
        <w:tc>
          <w:tcPr>
            <w:tcW w:w="653" w:type="dxa"/>
            <w:vAlign w:val="center"/>
          </w:tcPr>
          <w:p w14:paraId="1044069F">
            <w:pPr>
              <w:pStyle w:val="33"/>
            </w:pPr>
            <w:r>
              <w:rPr>
                <w:rFonts w:hint="eastAsia"/>
              </w:rPr>
              <w:t>完成</w:t>
            </w:r>
          </w:p>
        </w:tc>
      </w:tr>
      <w:tr w14:paraId="5639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vAlign w:val="center"/>
          </w:tcPr>
          <w:p w14:paraId="5EF32C06">
            <w:pPr>
              <w:pStyle w:val="33"/>
            </w:pPr>
            <w:r>
              <w:rPr>
                <w:rFonts w:hint="eastAsia"/>
              </w:rPr>
              <w:t>模块二</w:t>
            </w:r>
          </w:p>
        </w:tc>
        <w:tc>
          <w:tcPr>
            <w:tcW w:w="456" w:type="dxa"/>
            <w:vMerge w:val="restart"/>
            <w:vAlign w:val="center"/>
          </w:tcPr>
          <w:p w14:paraId="31ECCC94">
            <w:pPr>
              <w:pStyle w:val="33"/>
            </w:pPr>
            <w:r>
              <w:rPr>
                <w:rFonts w:hint="eastAsia"/>
              </w:rPr>
              <w:t>功能要求</w:t>
            </w:r>
          </w:p>
        </w:tc>
        <w:tc>
          <w:tcPr>
            <w:tcW w:w="3706" w:type="dxa"/>
            <w:vAlign w:val="center"/>
          </w:tcPr>
          <w:p w14:paraId="647120E8">
            <w:pPr>
              <w:pStyle w:val="33"/>
            </w:pPr>
            <w:r>
              <w:t>(1)实现单参数（如声时）和多参数（如声时、幅值等）融合条件下多层材料、金属基复合材料、硅基/碳基复合材料内部一维、二维的稳态和瞬态温度场反演，并要求兼顾反演精度和效率</w:t>
            </w:r>
          </w:p>
        </w:tc>
        <w:tc>
          <w:tcPr>
            <w:tcW w:w="8080" w:type="dxa"/>
            <w:vAlign w:val="center"/>
          </w:tcPr>
          <w:p w14:paraId="630847A2">
            <w:pPr>
              <w:pStyle w:val="33"/>
            </w:pPr>
            <w:r>
              <w:t>项目分别建立了以声时为目标量的单参数反演模型，以及综合声时和幅值</w:t>
            </w:r>
            <w:r>
              <w:rPr>
                <w:rFonts w:hint="eastAsia"/>
              </w:rPr>
              <w:t>相对</w:t>
            </w:r>
            <w:r>
              <w:t>衰减信息的多参数加权反演模型，并完成多层材料、金属基复合材料和硅基复合材料一维、二维稳态及瞬态工况的温度场反演。算法采用</w:t>
            </w:r>
            <w:r>
              <w:rPr>
                <w:rFonts w:hint="eastAsia"/>
              </w:rPr>
              <w:t>贝叶斯优化＋有限差分(</w:t>
            </w:r>
            <w:r>
              <w:t>BO+FD</w:t>
            </w:r>
            <w:r>
              <w:rPr>
                <w:rFonts w:hint="eastAsia"/>
              </w:rPr>
              <w:t>)</w:t>
            </w:r>
            <w:r>
              <w:t>和</w:t>
            </w:r>
            <w:r>
              <w:rPr>
                <w:rFonts w:hint="eastAsia"/>
              </w:rPr>
              <w:t>粒子群+共轭梯度(</w:t>
            </w:r>
            <w:r>
              <w:t>PSO+CG</w:t>
            </w:r>
            <w:r>
              <w:rPr>
                <w:rFonts w:hint="eastAsia"/>
              </w:rPr>
              <w:t>)</w:t>
            </w:r>
            <w:r>
              <w:t>两种全局搜索与局部精修相结合的优化策略，在保证反演精度的同时减少迭代时间。多层材料实验场景的5个测点平均温度相对误差为3.884%～9.750%，均低于10%。测试结果表明，单参数和多参数反演功能均已实现，多参数信息能够提高反演稳定性，反演精度及运行效率满足项目要求，本项指标达到要求。</w:t>
            </w:r>
            <w:r>
              <w:rPr>
                <w:rFonts w:hint="eastAsia"/>
              </w:rPr>
              <w:t>（</w:t>
            </w:r>
            <w:r>
              <w:fldChar w:fldCharType="begin"/>
            </w:r>
            <w:r>
              <w:instrText xml:space="preserve"> REF _Ref235899704 \r \h </w:instrText>
            </w:r>
            <w:r>
              <w:fldChar w:fldCharType="separate"/>
            </w:r>
            <w:r>
              <w:t>3.3.3</w:t>
            </w:r>
            <w:r>
              <w:fldChar w:fldCharType="end"/>
            </w:r>
            <w:r>
              <w:rPr>
                <w:rFonts w:hint="eastAsia"/>
              </w:rPr>
              <w:t>、</w:t>
            </w:r>
            <w:r>
              <w:fldChar w:fldCharType="begin"/>
            </w:r>
            <w:r>
              <w:instrText xml:space="preserve"> REF _Ref235899692 \r \h </w:instrText>
            </w:r>
            <w:r>
              <w:fldChar w:fldCharType="separate"/>
            </w:r>
            <w:r>
              <w:t>3.3.4</w:t>
            </w:r>
            <w:r>
              <w:fldChar w:fldCharType="end"/>
            </w:r>
            <w:r>
              <w:rPr>
                <w:rFonts w:hint="eastAsia"/>
              </w:rPr>
              <w:t>、</w:t>
            </w:r>
            <w:r>
              <w:fldChar w:fldCharType="begin"/>
            </w:r>
            <w:r>
              <w:instrText xml:space="preserve"> REF _Ref235899697 \r \h </w:instrText>
            </w:r>
            <w:r>
              <w:fldChar w:fldCharType="separate"/>
            </w:r>
            <w:r>
              <w:t>3.3.5</w:t>
            </w:r>
            <w:r>
              <w:fldChar w:fldCharType="end"/>
            </w:r>
            <w:r>
              <w:rPr>
                <w:rFonts w:hint="eastAsia"/>
              </w:rPr>
              <w:t>)</w:t>
            </w:r>
          </w:p>
        </w:tc>
        <w:tc>
          <w:tcPr>
            <w:tcW w:w="653" w:type="dxa"/>
            <w:vAlign w:val="center"/>
          </w:tcPr>
          <w:p w14:paraId="4FB10C82">
            <w:pPr>
              <w:pStyle w:val="33"/>
            </w:pPr>
            <w:r>
              <w:rPr>
                <w:rFonts w:hint="eastAsia"/>
              </w:rPr>
              <w:t>完成</w:t>
            </w:r>
          </w:p>
        </w:tc>
      </w:tr>
      <w:tr w14:paraId="4F50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004773F6">
            <w:pPr>
              <w:pStyle w:val="33"/>
            </w:pPr>
          </w:p>
        </w:tc>
        <w:tc>
          <w:tcPr>
            <w:tcW w:w="456" w:type="dxa"/>
            <w:vMerge w:val="continue"/>
            <w:vAlign w:val="center"/>
          </w:tcPr>
          <w:p w14:paraId="503856DE">
            <w:pPr>
              <w:pStyle w:val="33"/>
            </w:pPr>
          </w:p>
        </w:tc>
        <w:tc>
          <w:tcPr>
            <w:tcW w:w="3706" w:type="dxa"/>
            <w:vAlign w:val="center"/>
          </w:tcPr>
          <w:p w14:paraId="1C696CD3">
            <w:pPr>
              <w:pStyle w:val="33"/>
            </w:pPr>
            <w:r>
              <w:t>(2)除共轭梯度法、灵敏度法、最速下降法等经典优化方法外，发展至少一种以上的温度场新反演优化方法</w:t>
            </w:r>
          </w:p>
        </w:tc>
        <w:tc>
          <w:tcPr>
            <w:tcW w:w="8080" w:type="dxa"/>
            <w:vAlign w:val="center"/>
          </w:tcPr>
          <w:p w14:paraId="1380AB47">
            <w:pPr>
              <w:pStyle w:val="33"/>
            </w:pPr>
            <w:r>
              <w:t>项目在共轭梯度法、灵敏度法和最速下降法之外，开发了BO+FD和PSO+CG两种新的混合反演方法。其中，BO+FD先利用贝叶斯优化搜索较优参数区域，再通过有限差分进行局部精修；PSO+CG先利用粒子群算法完成全局搜索，再采用共轭梯度法加快局部收敛。两种方法均已完成程序实现，并应用于一维、二维稳态及瞬态温度场反演。表明新方法在满足反演精度要求的同时具有效率优势。项目实际形成两种新反演优化方法，超过“至少一种”的要求，本项指标完成。（</w:t>
            </w:r>
            <w:r>
              <w:fldChar w:fldCharType="begin"/>
            </w:r>
            <w:r>
              <w:instrText xml:space="preserve"> REF _Ref235899755 \r \h </w:instrText>
            </w:r>
            <w:r>
              <w:fldChar w:fldCharType="separate"/>
            </w:r>
            <w:r>
              <w:t>3.3.6</w:t>
            </w:r>
            <w:r>
              <w:fldChar w:fldCharType="end"/>
            </w:r>
            <w:r>
              <w:t>）</w:t>
            </w:r>
          </w:p>
        </w:tc>
        <w:tc>
          <w:tcPr>
            <w:tcW w:w="653" w:type="dxa"/>
            <w:vAlign w:val="center"/>
          </w:tcPr>
          <w:p w14:paraId="4A37875A">
            <w:pPr>
              <w:pStyle w:val="33"/>
            </w:pPr>
            <w:r>
              <w:rPr>
                <w:rFonts w:hint="eastAsia"/>
              </w:rPr>
              <w:t>完成</w:t>
            </w:r>
          </w:p>
        </w:tc>
      </w:tr>
      <w:tr w14:paraId="17722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5AE2A91F">
            <w:pPr>
              <w:pStyle w:val="33"/>
            </w:pPr>
          </w:p>
        </w:tc>
        <w:tc>
          <w:tcPr>
            <w:tcW w:w="456" w:type="dxa"/>
            <w:vMerge w:val="continue"/>
            <w:vAlign w:val="center"/>
          </w:tcPr>
          <w:p w14:paraId="447EE12E">
            <w:pPr>
              <w:pStyle w:val="33"/>
            </w:pPr>
          </w:p>
        </w:tc>
        <w:tc>
          <w:tcPr>
            <w:tcW w:w="3706" w:type="dxa"/>
            <w:vAlign w:val="center"/>
          </w:tcPr>
          <w:p w14:paraId="52917029">
            <w:pPr>
              <w:pStyle w:val="33"/>
            </w:pPr>
            <w:r>
              <w:t>(3)提供一种优化算法同时实现温度场和试件厚度的反演</w:t>
            </w:r>
          </w:p>
        </w:tc>
        <w:tc>
          <w:tcPr>
            <w:tcW w:w="8080" w:type="dxa"/>
            <w:vAlign w:val="center"/>
          </w:tcPr>
          <w:p w14:paraId="3088B58E">
            <w:pPr>
              <w:pStyle w:val="33"/>
            </w:pPr>
            <w:r>
              <w:t>项目将温度场控制参数与试件厚度共同纳入优化变量，以实测声时或声时、幅值等声学特征与正演计算结果之间的偏差构建统一目标函数，在一次优化迭代过程中同步更新温度场和厚度参数，最终同时输出重构温度场、反演厚度及相应误差。该方法已完成一维、二维稳态及瞬态场景测试，并采用实测总厚度为19.2 mm的两层W30Mo70试件进行实验验证。测试结果显示，温度—厚度联合反演的5测点平均温度相对误差为0.328%～9.926%，厚度相对误差为0.197%～0.395%，分别低于15%和5%的验收限值。本项已实现同一优化过程对温度场和试件厚度的同步反演，指标达到要求。</w:t>
            </w:r>
            <w:r>
              <w:rPr>
                <w:rFonts w:hint="eastAsia"/>
              </w:rPr>
              <w:t>（</w:t>
            </w:r>
            <w:r>
              <w:fldChar w:fldCharType="begin"/>
            </w:r>
            <w:r>
              <w:instrText xml:space="preserve"> REF _Ref235899704 \r \h </w:instrText>
            </w:r>
            <w:r>
              <w:fldChar w:fldCharType="separate"/>
            </w:r>
            <w:r>
              <w:t>3.3.3</w:t>
            </w:r>
            <w:r>
              <w:fldChar w:fldCharType="end"/>
            </w:r>
            <w:r>
              <w:rPr>
                <w:rFonts w:hint="eastAsia"/>
              </w:rPr>
              <w:t>、</w:t>
            </w:r>
            <w:r>
              <w:fldChar w:fldCharType="begin"/>
            </w:r>
            <w:r>
              <w:instrText xml:space="preserve"> REF _Ref235899692 \r \h </w:instrText>
            </w:r>
            <w:r>
              <w:fldChar w:fldCharType="separate"/>
            </w:r>
            <w:r>
              <w:t>3.3.4</w:t>
            </w:r>
            <w:r>
              <w:fldChar w:fldCharType="end"/>
            </w:r>
            <w:r>
              <w:rPr>
                <w:rFonts w:hint="eastAsia"/>
              </w:rPr>
              <w:t>、</w:t>
            </w:r>
            <w:r>
              <w:fldChar w:fldCharType="begin"/>
            </w:r>
            <w:r>
              <w:instrText xml:space="preserve"> REF _Ref235899697 \r \h </w:instrText>
            </w:r>
            <w:r>
              <w:fldChar w:fldCharType="separate"/>
            </w:r>
            <w:r>
              <w:t>3.3.5</w:t>
            </w:r>
            <w:r>
              <w:fldChar w:fldCharType="end"/>
            </w:r>
            <w:r>
              <w:rPr>
                <w:rFonts w:hint="eastAsia"/>
              </w:rPr>
              <w:t>)</w:t>
            </w:r>
          </w:p>
        </w:tc>
        <w:tc>
          <w:tcPr>
            <w:tcW w:w="653" w:type="dxa"/>
            <w:vAlign w:val="center"/>
          </w:tcPr>
          <w:p w14:paraId="07A9C834">
            <w:pPr>
              <w:pStyle w:val="33"/>
            </w:pPr>
            <w:r>
              <w:rPr>
                <w:rFonts w:hint="eastAsia"/>
              </w:rPr>
              <w:t>完成</w:t>
            </w:r>
          </w:p>
        </w:tc>
      </w:tr>
      <w:tr w14:paraId="62176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127007BA">
            <w:pPr>
              <w:pStyle w:val="33"/>
            </w:pPr>
          </w:p>
        </w:tc>
        <w:tc>
          <w:tcPr>
            <w:tcW w:w="456" w:type="dxa"/>
            <w:vMerge w:val="continue"/>
            <w:vAlign w:val="center"/>
          </w:tcPr>
          <w:p w14:paraId="6EE528C2">
            <w:pPr>
              <w:pStyle w:val="33"/>
            </w:pPr>
          </w:p>
        </w:tc>
        <w:tc>
          <w:tcPr>
            <w:tcW w:w="3706" w:type="dxa"/>
            <w:vAlign w:val="center"/>
          </w:tcPr>
          <w:p w14:paraId="68599189">
            <w:pPr>
              <w:pStyle w:val="33"/>
            </w:pPr>
            <w:r>
              <w:t>(4)完成反演方法的实验验证，实验温度范围：室温至1500K</w:t>
            </w:r>
          </w:p>
        </w:tc>
        <w:tc>
          <w:tcPr>
            <w:tcW w:w="8080" w:type="dxa"/>
            <w:vAlign w:val="center"/>
          </w:tcPr>
          <w:p w14:paraId="4F3126BC">
            <w:pPr>
              <w:pStyle w:val="33"/>
            </w:pPr>
            <w:r>
              <w:t>项目选用两层W30Mo70多层材料试件开展反演方法实验验证，低温阶段采用恒温加热台形成稳态温度工况，高温阶段采用氧乙炔烧蚀加热形成瞬态升温工况，并同步采集热电偶温度和超声波形。实验从室温开始，最高实测温度达到153</w:t>
            </w:r>
            <w:r>
              <w:rPr>
                <w:rFonts w:hint="eastAsia"/>
              </w:rPr>
              <w:t>1</w:t>
            </w:r>
            <w:r>
              <w:t>K，完整覆盖室温至1500K的规定区间，并超过上限3</w:t>
            </w:r>
            <w:r>
              <w:rPr>
                <w:rFonts w:hint="eastAsia"/>
              </w:rPr>
              <w:t>1</w:t>
            </w:r>
            <w:r>
              <w:t>K。采集数据已用于一维、二维稳态及瞬态温度场反演，相关程序运行和结果输出正常，本项指标达到要求。</w:t>
            </w:r>
            <w:r>
              <w:rPr>
                <w:rFonts w:hint="eastAsia"/>
              </w:rPr>
              <w:t>（</w:t>
            </w:r>
            <w:r>
              <w:fldChar w:fldCharType="begin"/>
            </w:r>
            <w:r>
              <w:instrText xml:space="preserve"> REF _Ref235899704 \r \h </w:instrText>
            </w:r>
            <w:r>
              <w:fldChar w:fldCharType="separate"/>
            </w:r>
            <w:r>
              <w:t>3.3.3</w:t>
            </w:r>
            <w:r>
              <w:fldChar w:fldCharType="end"/>
            </w:r>
            <w:r>
              <w:rPr>
                <w:rFonts w:hint="eastAsia"/>
              </w:rPr>
              <w:t>）</w:t>
            </w:r>
          </w:p>
        </w:tc>
        <w:tc>
          <w:tcPr>
            <w:tcW w:w="653" w:type="dxa"/>
            <w:vAlign w:val="center"/>
          </w:tcPr>
          <w:p w14:paraId="2BA7DEB4">
            <w:pPr>
              <w:pStyle w:val="33"/>
            </w:pPr>
            <w:r>
              <w:rPr>
                <w:rFonts w:hint="eastAsia"/>
              </w:rPr>
              <w:t>完成</w:t>
            </w:r>
          </w:p>
        </w:tc>
      </w:tr>
      <w:tr w14:paraId="65F00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361D45F0">
            <w:pPr>
              <w:pStyle w:val="33"/>
            </w:pPr>
          </w:p>
        </w:tc>
        <w:tc>
          <w:tcPr>
            <w:tcW w:w="456" w:type="dxa"/>
            <w:vMerge w:val="restart"/>
            <w:vAlign w:val="center"/>
          </w:tcPr>
          <w:p w14:paraId="1C10E4E0">
            <w:pPr>
              <w:pStyle w:val="33"/>
            </w:pPr>
            <w:r>
              <w:rPr>
                <w:rFonts w:hint="eastAsia"/>
              </w:rPr>
              <w:t>性能指标</w:t>
            </w:r>
          </w:p>
        </w:tc>
        <w:tc>
          <w:tcPr>
            <w:tcW w:w="3706" w:type="dxa"/>
            <w:vAlign w:val="center"/>
          </w:tcPr>
          <w:p w14:paraId="4F29334D">
            <w:pPr>
              <w:pStyle w:val="33"/>
            </w:pPr>
            <w:r>
              <w:rPr>
                <w:rFonts w:hint="eastAsia"/>
              </w:rPr>
              <w:t>(5)在多层材料、金属基复合材料、硅基/碳基复合材料选择一种进行温度场反演的实验验证。一维条件下，多层材料至少达到5mm厚、金属基复合材料至少达到10mm厚、碳基/硅基复合材料至少达到5mm至8mm厚；二维条件下，多层材料至少达到5mm厚、宽度50mm，金属基复合材料至少达到10mm厚、宽度50mm，碳基/硅基复合材料至少达到5mm至8mm厚、宽度50mm；</w:t>
            </w:r>
          </w:p>
          <w:p w14:paraId="7AA1E736">
            <w:pPr>
              <w:pStyle w:val="33"/>
            </w:pPr>
            <w:r>
              <w:rPr>
                <w:rFonts w:hint="eastAsia"/>
              </w:rPr>
              <w:t>与高温光学测温仪器或热电偶等测温设备（测温范围：室温至1500K内的温度变化，测温精度1%FS）相比，以5个测点平均值计，一维和二维温度场反演相对误差≤10%；同时温度场和试件厚度反演中，温度场误差≤15%、试件厚度误差≤5%</w:t>
            </w:r>
          </w:p>
        </w:tc>
        <w:tc>
          <w:tcPr>
            <w:tcW w:w="8080" w:type="dxa"/>
            <w:vAlign w:val="center"/>
          </w:tcPr>
          <w:p w14:paraId="30300571">
            <w:pPr>
              <w:pStyle w:val="33"/>
            </w:pPr>
            <w:r>
              <w:t>项目从三类材料中选取两层W30Mo70多层材料开展实验验证，试件尺寸为100 mm×100 mm×19.2 mm，二维有效宽度为100 mm；其厚度和宽度分别超过多层材料5 mm和50 mm的规定下限。实验温度由室温升至153</w:t>
            </w:r>
            <w:r>
              <w:rPr>
                <w:rFonts w:hint="eastAsia"/>
              </w:rPr>
              <w:t>1</w:t>
            </w:r>
            <w:r>
              <w:t>K，采用5个固定热电偶测点作为温度基准，完成一维、二维稳态及瞬态条件下的单参数和多参数温度场反演。5测点平均温度相对误差为3.884%～9.750%，均低于10%；在温度场—厚度联合反演中，5测点平均温度相对误差为0.328%～9.926%，厚度相对误差为0.197%～0.395%，分别低于15%和5%的限值。试件尺寸、实验温区以及温度和厚度反演精度均达到要求，本项指标完成。</w:t>
            </w:r>
            <w:r>
              <w:rPr>
                <w:rFonts w:hint="eastAsia"/>
              </w:rPr>
              <w:t>（</w:t>
            </w:r>
            <w:r>
              <w:fldChar w:fldCharType="begin"/>
            </w:r>
            <w:r>
              <w:instrText xml:space="preserve"> REF _Ref235899704 \r \h </w:instrText>
            </w:r>
            <w:r>
              <w:fldChar w:fldCharType="separate"/>
            </w:r>
            <w:r>
              <w:t>3.3.3</w:t>
            </w:r>
            <w:r>
              <w:fldChar w:fldCharType="end"/>
            </w:r>
            <w:r>
              <w:rPr>
                <w:rFonts w:hint="eastAsia"/>
              </w:rPr>
              <w:t>）</w:t>
            </w:r>
          </w:p>
        </w:tc>
        <w:tc>
          <w:tcPr>
            <w:tcW w:w="653" w:type="dxa"/>
            <w:vAlign w:val="center"/>
          </w:tcPr>
          <w:p w14:paraId="3D4D9F96">
            <w:pPr>
              <w:pStyle w:val="33"/>
            </w:pPr>
            <w:r>
              <w:rPr>
                <w:rFonts w:hint="eastAsia"/>
              </w:rPr>
              <w:t>完成</w:t>
            </w:r>
          </w:p>
        </w:tc>
      </w:tr>
      <w:tr w14:paraId="1278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44632494">
            <w:pPr>
              <w:pStyle w:val="33"/>
            </w:pPr>
          </w:p>
        </w:tc>
        <w:tc>
          <w:tcPr>
            <w:tcW w:w="456" w:type="dxa"/>
            <w:vMerge w:val="continue"/>
            <w:vAlign w:val="center"/>
          </w:tcPr>
          <w:p w14:paraId="2A7F2C77">
            <w:pPr>
              <w:pStyle w:val="33"/>
            </w:pPr>
          </w:p>
        </w:tc>
        <w:tc>
          <w:tcPr>
            <w:tcW w:w="3706" w:type="dxa"/>
            <w:vAlign w:val="center"/>
          </w:tcPr>
          <w:p w14:paraId="6BD99DE1">
            <w:pPr>
              <w:pStyle w:val="33"/>
            </w:pPr>
            <w:r>
              <w:t>(</w:t>
            </w:r>
            <w:r>
              <w:rPr>
                <w:rFonts w:hint="eastAsia"/>
              </w:rPr>
              <w:t>6</w:t>
            </w:r>
            <w:r>
              <w:t>)算法适用于一维、二维的稳态和瞬态温度场，其中二维温度场需要考虑波传播路径的弯曲效应</w:t>
            </w:r>
          </w:p>
        </w:tc>
        <w:tc>
          <w:tcPr>
            <w:tcW w:w="8080" w:type="dxa"/>
            <w:vAlign w:val="center"/>
          </w:tcPr>
          <w:p w14:paraId="168AB9FA">
            <w:pPr>
              <w:pStyle w:val="33"/>
            </w:pPr>
            <w:r>
              <w:t>项目已建立适用于一维和二维温度分布的反演流程：一维模型沿试件厚度方向设置温度控制参数，二维模型同时考虑宽度和厚度方向的温度变化；两类模型均完成稳态及瞬态工况下的正演计算、声学特征提取和温度场反演。在二维非均匀温度场中，根据温度相关声速的空间分布，采用四阶Runge-Kutta（RK4）方法进行弯曲声线追踪，并在反演迭代过程中同步更新声波传播路径，避免使用固定直线路径造成偏差。相关一维、二维稳态及瞬态场景均已完成程序验证和结果输出，本项指标达到要求。</w:t>
            </w:r>
            <w:r>
              <w:rPr>
                <w:rFonts w:hint="eastAsia"/>
              </w:rPr>
              <w:t>（</w:t>
            </w:r>
            <w:r>
              <w:fldChar w:fldCharType="begin"/>
            </w:r>
            <w:r>
              <w:instrText xml:space="preserve"> </w:instrText>
            </w:r>
            <w:r>
              <w:rPr>
                <w:rFonts w:hint="eastAsia"/>
              </w:rPr>
              <w:instrText xml:space="preserve">REF _Ref235899828 \r \h</w:instrText>
            </w:r>
            <w:r>
              <w:instrText xml:space="preserve"> </w:instrText>
            </w:r>
            <w:r>
              <w:fldChar w:fldCharType="separate"/>
            </w:r>
            <w:r>
              <w:t>3.3.2.4</w:t>
            </w:r>
            <w:r>
              <w:fldChar w:fldCharType="end"/>
            </w:r>
            <w:r>
              <w:rPr>
                <w:rFonts w:hint="eastAsia"/>
              </w:rPr>
              <w:t>）</w:t>
            </w:r>
          </w:p>
        </w:tc>
        <w:tc>
          <w:tcPr>
            <w:tcW w:w="653" w:type="dxa"/>
            <w:vAlign w:val="center"/>
          </w:tcPr>
          <w:p w14:paraId="630D5B66">
            <w:pPr>
              <w:pStyle w:val="33"/>
            </w:pPr>
            <w:r>
              <w:rPr>
                <w:rFonts w:hint="eastAsia"/>
              </w:rPr>
              <w:t>完成</w:t>
            </w:r>
          </w:p>
        </w:tc>
      </w:tr>
      <w:tr w14:paraId="2D425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2A15F93C">
            <w:pPr>
              <w:pStyle w:val="33"/>
            </w:pPr>
          </w:p>
        </w:tc>
        <w:tc>
          <w:tcPr>
            <w:tcW w:w="456" w:type="dxa"/>
            <w:vMerge w:val="continue"/>
            <w:vAlign w:val="center"/>
          </w:tcPr>
          <w:p w14:paraId="28072D8B">
            <w:pPr>
              <w:pStyle w:val="33"/>
            </w:pPr>
          </w:p>
        </w:tc>
        <w:tc>
          <w:tcPr>
            <w:tcW w:w="3706" w:type="dxa"/>
            <w:vAlign w:val="center"/>
          </w:tcPr>
          <w:p w14:paraId="366AF08F">
            <w:pPr>
              <w:pStyle w:val="33"/>
            </w:pPr>
            <w:r>
              <w:t>(</w:t>
            </w:r>
            <w:r>
              <w:rPr>
                <w:rFonts w:hint="eastAsia"/>
              </w:rPr>
              <w:t>7</w:t>
            </w:r>
            <w:r>
              <w:t>)算法效率不低于共轭梯度法、灵敏度法、最速下降法等经典优化方法</w:t>
            </w:r>
          </w:p>
        </w:tc>
        <w:tc>
          <w:tcPr>
            <w:tcW w:w="8080" w:type="dxa"/>
            <w:vAlign w:val="center"/>
          </w:tcPr>
          <w:p w14:paraId="3F9B673B">
            <w:pPr>
              <w:pStyle w:val="33"/>
            </w:pPr>
            <w:r>
              <w:t>在相同计算环境、材料参数、几何模型、声学输入、测点布置和误差判据下，选取两层W30Mo70多层材料，在单参数输入，固定厚度情况下，进行一维瞬态、二维瞬态、一维稳态、二维稳态反演任务，对BO+FD、PSO+CG两种新方法与共轭梯度法、灵敏度法和最速下降法进行运行时间比较。所有算法均在满足规定反演精度后统计耗时，BO+FD在一维瞬态、二维瞬态、一维稳态、二维稳态任务下的耗时为414.52s，214.19s，1.74s，28.24s；PSO+CG在一维瞬态、二维瞬态、一维稳态、二维稳态任务下的耗时为407.24s，203.37s，11.8s，20.20s；共轭梯度法在一维瞬态、二维瞬态、一维稳态、二维稳态任务下的耗时为1318.69s，314.92s，21.27s，49.56s；灵敏度法在一维瞬态、二维瞬态、一维稳态、二维稳态任务下的耗时为578.35s，988.41s，12.08s，37.42s；最速下降法在一维瞬态、二维瞬态、一维稳态、二维稳态任务下的耗时为702.78s，469.71s，13.57s，50.29s。两种新方法均优于三种经典方法，本项指标达到要求。</w:t>
            </w:r>
            <w:r>
              <w:rPr>
                <w:rFonts w:hint="eastAsia"/>
              </w:rPr>
              <w:t>（</w:t>
            </w:r>
            <w:r>
              <w:fldChar w:fldCharType="begin"/>
            </w:r>
            <w:r>
              <w:instrText xml:space="preserve"> REF _Ref235899755 \r \h </w:instrText>
            </w:r>
            <w:r>
              <w:fldChar w:fldCharType="separate"/>
            </w:r>
            <w:r>
              <w:t>3.3.6</w:t>
            </w:r>
            <w:r>
              <w:fldChar w:fldCharType="end"/>
            </w:r>
            <w:r>
              <w:rPr>
                <w:rFonts w:hint="eastAsia"/>
              </w:rPr>
              <w:t>）</w:t>
            </w:r>
          </w:p>
        </w:tc>
        <w:tc>
          <w:tcPr>
            <w:tcW w:w="653" w:type="dxa"/>
            <w:vAlign w:val="center"/>
          </w:tcPr>
          <w:p w14:paraId="47D40EA3">
            <w:pPr>
              <w:pStyle w:val="33"/>
            </w:pPr>
            <w:r>
              <w:rPr>
                <w:rFonts w:hint="eastAsia"/>
              </w:rPr>
              <w:t>完成</w:t>
            </w:r>
          </w:p>
        </w:tc>
      </w:tr>
      <w:tr w14:paraId="2EEB2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646925BB">
            <w:pPr>
              <w:pStyle w:val="33"/>
            </w:pPr>
          </w:p>
        </w:tc>
        <w:tc>
          <w:tcPr>
            <w:tcW w:w="456" w:type="dxa"/>
            <w:vMerge w:val="continue"/>
            <w:vAlign w:val="center"/>
          </w:tcPr>
          <w:p w14:paraId="30D97411">
            <w:pPr>
              <w:pStyle w:val="33"/>
            </w:pPr>
          </w:p>
        </w:tc>
        <w:tc>
          <w:tcPr>
            <w:tcW w:w="3706" w:type="dxa"/>
            <w:vAlign w:val="center"/>
          </w:tcPr>
          <w:p w14:paraId="214670B1">
            <w:pPr>
              <w:pStyle w:val="33"/>
            </w:pPr>
            <w:r>
              <w:t>(</w:t>
            </w:r>
            <w:r>
              <w:rPr>
                <w:rFonts w:hint="eastAsia"/>
              </w:rPr>
              <w:t>8</w:t>
            </w:r>
            <w:r>
              <w:t>)兼容性：支持Windows系统，程序代码采用Fortran语言编写</w:t>
            </w:r>
          </w:p>
        </w:tc>
        <w:tc>
          <w:tcPr>
            <w:tcW w:w="8080" w:type="dxa"/>
            <w:vAlign w:val="center"/>
          </w:tcPr>
          <w:p w14:paraId="265DF8D7">
            <w:pPr>
              <w:pStyle w:val="33"/>
            </w:pPr>
            <w:r>
              <w:t>项目已在Windows测试环境中完成模块二程序的安装、配置和连续运行验证，声学参数文件读取、反演任务设置、优化迭代、温度场及厚度结果输出等功能均运行正常。热学正演核心数值计算模块采用Fortran语言编写，并通过标准接口与Windows图形化界面及结果后处理模块连接；相关源代码、编译配置和运行文件已完成。测试过程中未出现影响反演计算和结果输出的系统兼容性问题，本项指标达到要求。</w:t>
            </w:r>
            <w:r>
              <w:rPr>
                <w:rFonts w:hint="eastAsia"/>
              </w:rPr>
              <w:t>（</w:t>
            </w:r>
            <w:r>
              <w:fldChar w:fldCharType="begin"/>
            </w:r>
            <w:r>
              <w:instrText xml:space="preserve"> REF _Ref235899862 \r \h </w:instrText>
            </w:r>
            <w:r>
              <w:fldChar w:fldCharType="separate"/>
            </w:r>
            <w:r>
              <w:t>3.3.7</w:t>
            </w:r>
            <w:r>
              <w:fldChar w:fldCharType="end"/>
            </w:r>
            <w:r>
              <w:rPr>
                <w:rFonts w:hint="eastAsia"/>
              </w:rPr>
              <w:t>）</w:t>
            </w:r>
          </w:p>
        </w:tc>
        <w:tc>
          <w:tcPr>
            <w:tcW w:w="653" w:type="dxa"/>
            <w:vAlign w:val="center"/>
          </w:tcPr>
          <w:p w14:paraId="7E200EF8">
            <w:pPr>
              <w:pStyle w:val="33"/>
            </w:pPr>
            <w:r>
              <w:rPr>
                <w:rFonts w:hint="eastAsia"/>
              </w:rPr>
              <w:t>完成</w:t>
            </w:r>
          </w:p>
        </w:tc>
      </w:tr>
      <w:tr w14:paraId="5D46A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vAlign w:val="center"/>
          </w:tcPr>
          <w:p w14:paraId="0E963D65">
            <w:pPr>
              <w:pStyle w:val="33"/>
            </w:pPr>
            <w:r>
              <w:rPr>
                <w:rFonts w:hint="eastAsia"/>
              </w:rPr>
              <w:t>模块三</w:t>
            </w:r>
          </w:p>
        </w:tc>
        <w:tc>
          <w:tcPr>
            <w:tcW w:w="456" w:type="dxa"/>
            <w:vMerge w:val="restart"/>
            <w:vAlign w:val="center"/>
          </w:tcPr>
          <w:p w14:paraId="34BE1413">
            <w:pPr>
              <w:pStyle w:val="33"/>
            </w:pPr>
            <w:r>
              <w:rPr>
                <w:rFonts w:hint="eastAsia"/>
              </w:rPr>
              <w:t>功能要求</w:t>
            </w:r>
          </w:p>
        </w:tc>
        <w:tc>
          <w:tcPr>
            <w:tcW w:w="3706" w:type="dxa"/>
            <w:vAlign w:val="center"/>
          </w:tcPr>
          <w:p w14:paraId="7B14E235">
            <w:pPr>
              <w:pStyle w:val="33"/>
            </w:pPr>
            <w:r>
              <w:t>(1)基于声学参数及多参数提取结果，构建AI驱动的温度场重构模型</w:t>
            </w:r>
          </w:p>
        </w:tc>
        <w:tc>
          <w:tcPr>
            <w:tcW w:w="8080" w:type="dxa"/>
            <w:vAlign w:val="center"/>
          </w:tcPr>
          <w:p w14:paraId="6B370C21">
            <w:pPr>
              <w:pStyle w:val="33"/>
            </w:pPr>
            <w:r>
              <w:t>项目在模块一声时</w:t>
            </w:r>
            <w:r>
              <w:rPr>
                <w:rFonts w:hint="eastAsia"/>
              </w:rPr>
              <w:t>信息等</w:t>
            </w:r>
            <w:r>
              <w:t>特征分析的基础上，构建了AI温度场重构模型。实际交付模型以预处理后的超声波形张量作为直接输入，由网络自动联合编码声时、</w:t>
            </w:r>
            <w:r>
              <w:rPr>
                <w:rFonts w:hint="eastAsia"/>
              </w:rPr>
              <w:t>材料信息</w:t>
            </w:r>
            <w:r>
              <w:t>等多参数信息，建立超声响应与温度场之间的非线性映射，输出完整二维温度场，并可从固定中心线提取一维温度分布。模型已完成训练、权重保存、预测和结果可视化，形成可调用的模型checkpoint。一维稳态、瞬态温度场误差分别为0.7221%和3.3637%，二维稳态、瞬态温度场误差分别为0.7095%和3.3221%，均低于10%，表明AI驱动温度场重构模型已构建并通过测试，本项指标达到要求。</w:t>
            </w:r>
            <w:r>
              <w:rPr>
                <w:rFonts w:hint="eastAsia"/>
              </w:rPr>
              <w:t>(</w:t>
            </w:r>
            <w:r>
              <w:fldChar w:fldCharType="begin"/>
            </w:r>
            <w:r>
              <w:instrText xml:space="preserve"> </w:instrText>
            </w:r>
            <w:r>
              <w:rPr>
                <w:rFonts w:hint="eastAsia"/>
              </w:rPr>
              <w:instrText xml:space="preserve">REF _Ref235904286 \r \h</w:instrText>
            </w:r>
            <w:r>
              <w:instrText xml:space="preserve"> </w:instrText>
            </w:r>
            <w:r>
              <w:fldChar w:fldCharType="separate"/>
            </w:r>
            <w:r>
              <w:t>3.4.2</w:t>
            </w:r>
            <w:r>
              <w:fldChar w:fldCharType="end"/>
            </w:r>
            <w:r>
              <w:rPr>
                <w:rFonts w:hint="eastAsia"/>
              </w:rPr>
              <w:t xml:space="preserve">, </w:t>
            </w:r>
            <w:r>
              <w:fldChar w:fldCharType="begin"/>
            </w:r>
            <w:r>
              <w:instrText xml:space="preserve"> </w:instrText>
            </w:r>
            <w:r>
              <w:rPr>
                <w:rFonts w:hint="eastAsia"/>
              </w:rPr>
              <w:instrText xml:space="preserve">REF _Ref235904306 \r \h</w:instrText>
            </w:r>
            <w:r>
              <w:instrText xml:space="preserve"> </w:instrText>
            </w:r>
            <w:r>
              <w:fldChar w:fldCharType="separate"/>
            </w:r>
            <w:r>
              <w:t>3.4.4.2</w:t>
            </w:r>
            <w:r>
              <w:fldChar w:fldCharType="end"/>
            </w:r>
            <w:r>
              <w:rPr>
                <w:rFonts w:hint="eastAsia"/>
              </w:rPr>
              <w:t xml:space="preserve">, </w:t>
            </w:r>
            <w:r>
              <w:fldChar w:fldCharType="begin"/>
            </w:r>
            <w:r>
              <w:instrText xml:space="preserve"> </w:instrText>
            </w:r>
            <w:r>
              <w:rPr>
                <w:rFonts w:hint="eastAsia"/>
              </w:rPr>
              <w:instrText xml:space="preserve">REF _Ref235904328 \r \h</w:instrText>
            </w:r>
            <w:r>
              <w:instrText xml:space="preserve"> </w:instrText>
            </w:r>
            <w:r>
              <w:fldChar w:fldCharType="separate"/>
            </w:r>
            <w:r>
              <w:t>3.4.5.1</w:t>
            </w:r>
            <w:r>
              <w:fldChar w:fldCharType="end"/>
            </w:r>
            <w:r>
              <w:rPr>
                <w:rFonts w:hint="eastAsia"/>
              </w:rPr>
              <w:t xml:space="preserve">, </w:t>
            </w:r>
            <w:r>
              <w:fldChar w:fldCharType="begin"/>
            </w:r>
            <w:r>
              <w:instrText xml:space="preserve"> </w:instrText>
            </w:r>
            <w:r>
              <w:rPr>
                <w:rFonts w:hint="eastAsia"/>
              </w:rPr>
              <w:instrText xml:space="preserve">REF _Ref235904335 \r \h</w:instrText>
            </w:r>
            <w:r>
              <w:instrText xml:space="preserve"> </w:instrText>
            </w:r>
            <w:r>
              <w:fldChar w:fldCharType="separate"/>
            </w:r>
            <w:r>
              <w:t>3.4.5.2</w:t>
            </w:r>
            <w:r>
              <w:fldChar w:fldCharType="end"/>
            </w:r>
            <w:r>
              <w:rPr>
                <w:rFonts w:hint="eastAsia"/>
              </w:rPr>
              <w:t xml:space="preserve">, </w:t>
            </w:r>
            <w:r>
              <w:fldChar w:fldCharType="begin"/>
            </w:r>
            <w:r>
              <w:instrText xml:space="preserve"> </w:instrText>
            </w:r>
            <w:r>
              <w:rPr>
                <w:rFonts w:hint="eastAsia"/>
              </w:rPr>
              <w:instrText xml:space="preserve">REF _Ref235904756 \h</w:instrText>
            </w:r>
            <w:r>
              <w:instrText xml:space="preserve"> </w:instrText>
            </w:r>
            <w:r>
              <w:fldChar w:fldCharType="separate"/>
            </w:r>
            <w:r>
              <w:rPr>
                <w:rFonts w:hint="eastAsia"/>
              </w:rPr>
              <w:t xml:space="preserve">图 </w:t>
            </w:r>
            <w:r>
              <w:t>3.46</w:t>
            </w:r>
            <w:r>
              <w:fldChar w:fldCharType="end"/>
            </w:r>
            <w:r>
              <w:rPr>
                <w:rFonts w:hint="eastAsia"/>
              </w:rPr>
              <w:t xml:space="preserve">, </w:t>
            </w:r>
            <w:r>
              <w:fldChar w:fldCharType="begin"/>
            </w:r>
            <w:r>
              <w:instrText xml:space="preserve"> </w:instrText>
            </w:r>
            <w:r>
              <w:rPr>
                <w:rFonts w:hint="eastAsia"/>
              </w:rPr>
              <w:instrText xml:space="preserve">REF _Ref235904613 \h</w:instrText>
            </w:r>
            <w:r>
              <w:instrText xml:space="preserve"> </w:instrText>
            </w:r>
            <w:r>
              <w:fldChar w:fldCharType="separate"/>
            </w:r>
            <w:r>
              <w:rPr>
                <w:rFonts w:hint="eastAsia"/>
              </w:rPr>
              <w:t xml:space="preserve">图 </w:t>
            </w:r>
            <w:r>
              <w:t>3.52</w:t>
            </w:r>
            <w:r>
              <w:fldChar w:fldCharType="end"/>
            </w:r>
            <w:r>
              <w:rPr>
                <w:rFonts w:hint="eastAsia"/>
              </w:rPr>
              <w:t xml:space="preserve">, </w:t>
            </w:r>
            <w:r>
              <w:fldChar w:fldCharType="begin"/>
            </w:r>
            <w:r>
              <w:instrText xml:space="preserve"> </w:instrText>
            </w:r>
            <w:r>
              <w:rPr>
                <w:rFonts w:hint="eastAsia"/>
              </w:rPr>
              <w:instrText xml:space="preserve">REF _Ref235904618 \h</w:instrText>
            </w:r>
            <w:r>
              <w:instrText xml:space="preserve"> </w:instrText>
            </w:r>
            <w:r>
              <w:fldChar w:fldCharType="separate"/>
            </w:r>
            <w:r>
              <w:rPr>
                <w:rFonts w:hint="eastAsia"/>
              </w:rPr>
              <w:t xml:space="preserve">图 </w:t>
            </w:r>
            <w:r>
              <w:t>3.53</w:t>
            </w:r>
            <w:r>
              <w:fldChar w:fldCharType="end"/>
            </w:r>
            <w:r>
              <w:rPr>
                <w:rFonts w:hint="eastAsia"/>
              </w:rPr>
              <w:t xml:space="preserve">, </w:t>
            </w:r>
            <w:r>
              <w:fldChar w:fldCharType="begin"/>
            </w:r>
            <w:r>
              <w:instrText xml:space="preserve"> </w:instrText>
            </w:r>
            <w:r>
              <w:rPr>
                <w:rFonts w:hint="eastAsia"/>
              </w:rPr>
              <w:instrText xml:space="preserve">REF _Ref235904623 \h</w:instrText>
            </w:r>
            <w:r>
              <w:instrText xml:space="preserve"> </w:instrText>
            </w:r>
            <w:r>
              <w:fldChar w:fldCharType="separate"/>
            </w:r>
            <w:r>
              <w:rPr>
                <w:rFonts w:hint="eastAsia"/>
              </w:rPr>
              <w:t xml:space="preserve">图 </w:t>
            </w:r>
            <w:r>
              <w:t>3.54</w:t>
            </w:r>
            <w:r>
              <w:fldChar w:fldCharType="end"/>
            </w:r>
            <w:r>
              <w:rPr>
                <w:rFonts w:hint="eastAsia"/>
              </w:rPr>
              <w:t>)</w:t>
            </w:r>
          </w:p>
        </w:tc>
        <w:tc>
          <w:tcPr>
            <w:tcW w:w="653" w:type="dxa"/>
            <w:vAlign w:val="center"/>
          </w:tcPr>
          <w:p w14:paraId="39D93803">
            <w:pPr>
              <w:pStyle w:val="33"/>
            </w:pPr>
            <w:r>
              <w:rPr>
                <w:rFonts w:hint="eastAsia"/>
              </w:rPr>
              <w:t>完成</w:t>
            </w:r>
          </w:p>
        </w:tc>
      </w:tr>
      <w:tr w14:paraId="4DA5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7A548E94">
            <w:pPr>
              <w:pStyle w:val="33"/>
            </w:pPr>
          </w:p>
        </w:tc>
        <w:tc>
          <w:tcPr>
            <w:tcW w:w="456" w:type="dxa"/>
            <w:vMerge w:val="continue"/>
            <w:vAlign w:val="center"/>
          </w:tcPr>
          <w:p w14:paraId="18EEB86F">
            <w:pPr>
              <w:pStyle w:val="33"/>
            </w:pPr>
          </w:p>
        </w:tc>
        <w:tc>
          <w:tcPr>
            <w:tcW w:w="3706" w:type="dxa"/>
            <w:vAlign w:val="center"/>
          </w:tcPr>
          <w:p w14:paraId="192626C2">
            <w:pPr>
              <w:pStyle w:val="33"/>
            </w:pPr>
            <w:r>
              <w:t>(2)构建三种材料的仿真训练集，三种材料任选其一构建实验测试集，构建温度–声学参数数据库，涵盖仿真与实验数据，至少包括1000组仿真波形和20组实验采集，温度覆盖室温至1500K</w:t>
            </w:r>
          </w:p>
        </w:tc>
        <w:tc>
          <w:tcPr>
            <w:tcW w:w="8080" w:type="dxa"/>
            <w:vAlign w:val="center"/>
          </w:tcPr>
          <w:p w14:paraId="67A9AF4D">
            <w:pPr>
              <w:pStyle w:val="33"/>
            </w:pPr>
            <w:r>
              <w:t>项目分别针对两层W30Mo70多层材料、W基体/SiC纤维金属基复合材料和SiC纤维/CVI-SiC基体硅基复合材料建立仿真训练集，每类材料包含多组“超声波形—温度场”配对样本，其中W30Mo70多层材料1000条，W基体/SiC纤维金属基复合材料200条，SiC纤维/CVI-SiC基体硅基复合材料200条，合计1400条。实验测试集选用两层W30Mo70多层材料构建，收录实验采集波形55组。温度—声学参数数据库统一记录材料类型、稳态/瞬态工况、温度值、超声波形、及对应温度场路径，能够实现仿真数据和实验数据的分类存储与追溯。数据库温度范围覆盖室温至1500 K，仿真样本数量1400条，实验样本数量55组，本项指标达到并部分超过要求。</w:t>
            </w:r>
            <w:r>
              <w:rPr>
                <w:rFonts w:hint="eastAsia"/>
              </w:rPr>
              <w:t>(</w:t>
            </w:r>
            <w:r>
              <w:fldChar w:fldCharType="begin"/>
            </w:r>
            <w:r>
              <w:instrText xml:space="preserve"> </w:instrText>
            </w:r>
            <w:r>
              <w:rPr>
                <w:rFonts w:hint="eastAsia"/>
              </w:rPr>
              <w:instrText xml:space="preserve">REF _Ref235904351 \r \h</w:instrText>
            </w:r>
            <w:r>
              <w:instrText xml:space="preserve"> </w:instrText>
            </w:r>
            <w:r>
              <w:fldChar w:fldCharType="separate"/>
            </w:r>
            <w:r>
              <w:t>3.4.3</w:t>
            </w:r>
            <w:r>
              <w:fldChar w:fldCharType="end"/>
            </w:r>
            <w:r>
              <w:rPr>
                <w:rFonts w:hint="eastAsia"/>
              </w:rPr>
              <w:t xml:space="preserve">, </w:t>
            </w:r>
            <w:r>
              <w:fldChar w:fldCharType="begin"/>
            </w:r>
            <w:r>
              <w:instrText xml:space="preserve"> </w:instrText>
            </w:r>
            <w:r>
              <w:rPr>
                <w:rFonts w:hint="eastAsia"/>
              </w:rPr>
              <w:instrText xml:space="preserve">REF _Ref235904362 \r \h</w:instrText>
            </w:r>
            <w:r>
              <w:instrText xml:space="preserve"> </w:instrText>
            </w:r>
            <w:r>
              <w:fldChar w:fldCharType="separate"/>
            </w:r>
            <w:r>
              <w:t>3.4.6</w:t>
            </w:r>
            <w:r>
              <w:fldChar w:fldCharType="end"/>
            </w:r>
            <w:r>
              <w:rPr>
                <w:rFonts w:hint="eastAsia"/>
              </w:rPr>
              <w:t xml:space="preserve">, </w:t>
            </w:r>
            <w:r>
              <w:fldChar w:fldCharType="begin"/>
            </w:r>
            <w:r>
              <w:instrText xml:space="preserve"> </w:instrText>
            </w:r>
            <w:r>
              <w:rPr>
                <w:rFonts w:hint="eastAsia"/>
              </w:rPr>
              <w:instrText xml:space="preserve">REF _Ref235904371 \r \h</w:instrText>
            </w:r>
            <w:r>
              <w:instrText xml:space="preserve"> </w:instrText>
            </w:r>
            <w:r>
              <w:fldChar w:fldCharType="separate"/>
            </w:r>
            <w:r>
              <w:t>3.4.7</w:t>
            </w:r>
            <w:r>
              <w:fldChar w:fldCharType="end"/>
            </w:r>
            <w:r>
              <w:rPr>
                <w:rFonts w:hint="eastAsia"/>
              </w:rPr>
              <w:t>,</w:t>
            </w:r>
            <w:r>
              <w:fldChar w:fldCharType="begin"/>
            </w:r>
            <w:r>
              <w:instrText xml:space="preserve"> </w:instrText>
            </w:r>
            <w:r>
              <w:rPr>
                <w:rFonts w:hint="eastAsia"/>
              </w:rPr>
              <w:instrText xml:space="preserve">REF _Ref235904714 \h</w:instrText>
            </w:r>
            <w:r>
              <w:instrText xml:space="preserve"> </w:instrText>
            </w:r>
            <w:r>
              <w:fldChar w:fldCharType="separate"/>
            </w:r>
            <w:r>
              <w:rPr>
                <w:rFonts w:hint="eastAsia"/>
              </w:rPr>
              <w:t xml:space="preserve">图 </w:t>
            </w:r>
            <w:r>
              <w:t>3.47</w:t>
            </w:r>
            <w:r>
              <w:fldChar w:fldCharType="end"/>
            </w:r>
            <w:r>
              <w:rPr>
                <w:rFonts w:hint="eastAsia"/>
              </w:rPr>
              <w:t xml:space="preserve">, </w:t>
            </w:r>
            <w:r>
              <w:fldChar w:fldCharType="begin"/>
            </w:r>
            <w:r>
              <w:instrText xml:space="preserve"> </w:instrText>
            </w:r>
            <w:r>
              <w:rPr>
                <w:rFonts w:hint="eastAsia"/>
              </w:rPr>
              <w:instrText xml:space="preserve">REF _Ref235904720 \h</w:instrText>
            </w:r>
            <w:r>
              <w:instrText xml:space="preserve"> </w:instrText>
            </w:r>
            <w:r>
              <w:fldChar w:fldCharType="separate"/>
            </w:r>
            <w:r>
              <w:rPr>
                <w:rFonts w:hint="eastAsia"/>
              </w:rPr>
              <w:t xml:space="preserve">图 </w:t>
            </w:r>
            <w:r>
              <w:t>3.48</w:t>
            </w:r>
            <w:r>
              <w:fldChar w:fldCharType="end"/>
            </w:r>
            <w:r>
              <w:rPr>
                <w:rFonts w:hint="eastAsia"/>
              </w:rPr>
              <w:t xml:space="preserve">, </w:t>
            </w:r>
            <w:r>
              <w:fldChar w:fldCharType="begin"/>
            </w:r>
            <w:r>
              <w:instrText xml:space="preserve"> </w:instrText>
            </w:r>
            <w:r>
              <w:rPr>
                <w:rFonts w:hint="eastAsia"/>
              </w:rPr>
              <w:instrText xml:space="preserve">REF _Ref235904733 \h</w:instrText>
            </w:r>
            <w:r>
              <w:instrText xml:space="preserve"> </w:instrText>
            </w:r>
            <w:r>
              <w:fldChar w:fldCharType="separate"/>
            </w:r>
            <w:r>
              <w:rPr>
                <w:rFonts w:hint="eastAsia"/>
              </w:rPr>
              <w:t xml:space="preserve">图 </w:t>
            </w:r>
            <w:r>
              <w:t>3.57</w:t>
            </w:r>
            <w:r>
              <w:fldChar w:fldCharType="end"/>
            </w:r>
            <w:r>
              <w:rPr>
                <w:rFonts w:hint="eastAsia"/>
              </w:rPr>
              <w:t xml:space="preserve">, </w:t>
            </w:r>
            <w:r>
              <w:fldChar w:fldCharType="begin"/>
            </w:r>
            <w:r>
              <w:instrText xml:space="preserve"> </w:instrText>
            </w:r>
            <w:r>
              <w:rPr>
                <w:rFonts w:hint="eastAsia"/>
              </w:rPr>
              <w:instrText xml:space="preserve">REF _Ref235904739 \h</w:instrText>
            </w:r>
            <w:r>
              <w:instrText xml:space="preserve"> </w:instrText>
            </w:r>
            <w:r>
              <w:fldChar w:fldCharType="separate"/>
            </w:r>
            <w:r>
              <w:rPr>
                <w:rFonts w:hint="eastAsia"/>
              </w:rPr>
              <w:t xml:space="preserve">图 </w:t>
            </w:r>
            <w:r>
              <w:t>3.58</w:t>
            </w:r>
            <w:r>
              <w:fldChar w:fldCharType="end"/>
            </w:r>
            <w:r>
              <w:rPr>
                <w:rFonts w:hint="eastAsia"/>
              </w:rPr>
              <w:t>)</w:t>
            </w:r>
          </w:p>
        </w:tc>
        <w:tc>
          <w:tcPr>
            <w:tcW w:w="653" w:type="dxa"/>
            <w:vAlign w:val="center"/>
          </w:tcPr>
          <w:p w14:paraId="73B6FA1B">
            <w:pPr>
              <w:pStyle w:val="33"/>
            </w:pPr>
            <w:r>
              <w:rPr>
                <w:rFonts w:hint="eastAsia"/>
              </w:rPr>
              <w:t>完成</w:t>
            </w:r>
          </w:p>
        </w:tc>
      </w:tr>
      <w:tr w14:paraId="04393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6DFE1986">
            <w:pPr>
              <w:pStyle w:val="33"/>
            </w:pPr>
          </w:p>
        </w:tc>
        <w:tc>
          <w:tcPr>
            <w:tcW w:w="456" w:type="dxa"/>
            <w:vMerge w:val="continue"/>
            <w:vAlign w:val="center"/>
          </w:tcPr>
          <w:p w14:paraId="48261653">
            <w:pPr>
              <w:pStyle w:val="33"/>
            </w:pPr>
          </w:p>
        </w:tc>
        <w:tc>
          <w:tcPr>
            <w:tcW w:w="3706" w:type="dxa"/>
            <w:vAlign w:val="center"/>
          </w:tcPr>
          <w:p w14:paraId="783356AD">
            <w:pPr>
              <w:pStyle w:val="33"/>
            </w:pPr>
            <w:r>
              <w:t>(3)提供在线增量训练功能，支持模型在新增实验数据后自适应优化</w:t>
            </w:r>
          </w:p>
        </w:tc>
        <w:tc>
          <w:tcPr>
            <w:tcW w:w="8080" w:type="dxa"/>
            <w:vAlign w:val="center"/>
          </w:tcPr>
          <w:p w14:paraId="64911398">
            <w:pPr>
              <w:pStyle w:val="33"/>
            </w:pPr>
            <w:r>
              <w:t>项目已实现“基础模型加载—新增实验数据导入—增量训练—权重更新—新checkpoint保存”的在线更新流程。模型接收新增实验波形及对应温度数据后，可在原有模型参数基础上继续训练，并通过参数冻结机制保留已学习的通用特征，仅对</w:t>
            </w:r>
            <w:r>
              <w:rPr>
                <w:rFonts w:hint="eastAsia"/>
              </w:rPr>
              <w:t>对应材料</w:t>
            </w:r>
            <w:r>
              <w:t>参数进行自适应更新。测试过程中，新增实验数据能够正常载入，训练过程正常结束，非冻结参数完成更新，冻结参数保持不变，并成功生成可用于后续预测的新版本checkpoint。在线增量训练及新增实验数据自适应优化功能已实现，本项指标达到要求。</w:t>
            </w:r>
            <w:r>
              <w:rPr>
                <w:rFonts w:hint="eastAsia"/>
              </w:rPr>
              <w:t>(</w:t>
            </w:r>
            <w:r>
              <w:fldChar w:fldCharType="begin"/>
            </w:r>
            <w:r>
              <w:instrText xml:space="preserve"> </w:instrText>
            </w:r>
            <w:r>
              <w:rPr>
                <w:rFonts w:hint="eastAsia"/>
              </w:rPr>
              <w:instrText xml:space="preserve">REF _Ref235904395 \r \h</w:instrText>
            </w:r>
            <w:r>
              <w:instrText xml:space="preserve"> </w:instrText>
            </w:r>
            <w:r>
              <w:fldChar w:fldCharType="separate"/>
            </w:r>
            <w:r>
              <w:t>3.4.4.3</w:t>
            </w:r>
            <w:r>
              <w:fldChar w:fldCharType="end"/>
            </w:r>
            <w:r>
              <w:rPr>
                <w:rFonts w:hint="eastAsia"/>
              </w:rPr>
              <w:t>,</w:t>
            </w:r>
            <w:r>
              <w:fldChar w:fldCharType="begin"/>
            </w:r>
            <w:r>
              <w:instrText xml:space="preserve"> </w:instrText>
            </w:r>
            <w:r>
              <w:rPr>
                <w:rFonts w:hint="eastAsia"/>
              </w:rPr>
              <w:instrText xml:space="preserve">REF _Ref235904699 \h</w:instrText>
            </w:r>
            <w:r>
              <w:instrText xml:space="preserve"> </w:instrText>
            </w:r>
            <w:r>
              <w:fldChar w:fldCharType="separate"/>
            </w:r>
            <w:r>
              <w:rPr>
                <w:rFonts w:hint="eastAsia"/>
              </w:rPr>
              <w:t xml:space="preserve">图 </w:t>
            </w:r>
            <w:r>
              <w:t>3.50</w:t>
            </w:r>
            <w:r>
              <w:fldChar w:fldCharType="end"/>
            </w:r>
            <w:r>
              <w:rPr>
                <w:rFonts w:hint="eastAsia"/>
              </w:rPr>
              <w:t xml:space="preserve">, </w:t>
            </w:r>
            <w:r>
              <w:fldChar w:fldCharType="begin"/>
            </w:r>
            <w:r>
              <w:instrText xml:space="preserve"> </w:instrText>
            </w:r>
            <w:r>
              <w:rPr>
                <w:rFonts w:hint="eastAsia"/>
              </w:rPr>
              <w:instrText xml:space="preserve">REF _Ref235904705 \h</w:instrText>
            </w:r>
            <w:r>
              <w:instrText xml:space="preserve"> </w:instrText>
            </w:r>
            <w:r>
              <w:fldChar w:fldCharType="separate"/>
            </w:r>
            <w:r>
              <w:rPr>
                <w:rFonts w:hint="eastAsia"/>
              </w:rPr>
              <w:t xml:space="preserve">图 </w:t>
            </w:r>
            <w:r>
              <w:t>3.51</w:t>
            </w:r>
            <w:r>
              <w:fldChar w:fldCharType="end"/>
            </w:r>
            <w:r>
              <w:rPr>
                <w:rFonts w:hint="eastAsia"/>
              </w:rPr>
              <w:t>)</w:t>
            </w:r>
          </w:p>
        </w:tc>
        <w:tc>
          <w:tcPr>
            <w:tcW w:w="653" w:type="dxa"/>
            <w:vAlign w:val="center"/>
          </w:tcPr>
          <w:p w14:paraId="2CA9AC06">
            <w:pPr>
              <w:pStyle w:val="33"/>
            </w:pPr>
            <w:r>
              <w:rPr>
                <w:rFonts w:hint="eastAsia"/>
              </w:rPr>
              <w:t>完成</w:t>
            </w:r>
          </w:p>
        </w:tc>
      </w:tr>
      <w:tr w14:paraId="00B93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229AFF2C">
            <w:pPr>
              <w:pStyle w:val="33"/>
            </w:pPr>
          </w:p>
        </w:tc>
        <w:tc>
          <w:tcPr>
            <w:tcW w:w="456" w:type="dxa"/>
            <w:vMerge w:val="continue"/>
            <w:vAlign w:val="center"/>
          </w:tcPr>
          <w:p w14:paraId="2F3BFD39">
            <w:pPr>
              <w:pStyle w:val="33"/>
            </w:pPr>
          </w:p>
        </w:tc>
        <w:tc>
          <w:tcPr>
            <w:tcW w:w="3706" w:type="dxa"/>
            <w:vAlign w:val="center"/>
          </w:tcPr>
          <w:p w14:paraId="2B6E3D10">
            <w:pPr>
              <w:pStyle w:val="33"/>
            </w:pPr>
            <w:r>
              <w:t>(4)完成基于人工智能的一维和二维稳态、瞬态温度场反演方法的实验验证</w:t>
            </w:r>
          </w:p>
        </w:tc>
        <w:tc>
          <w:tcPr>
            <w:tcW w:w="8080" w:type="dxa"/>
            <w:vAlign w:val="center"/>
          </w:tcPr>
          <w:p w14:paraId="3F2961FC">
            <w:pPr>
              <w:pStyle w:val="33"/>
            </w:pPr>
            <w:r>
              <w:t>项目将实验采集的超声波形输入AI温度场重构模型，分别完成一维稳态、一维瞬态、二维稳态和二维瞬态四类实验工况验证。其中，一维结果由二维重构温度场的固定中心线提取，二维结果采用固化的5个测点及node_id与热电偶数据进行比较，避免不同样本之间测点位置发生变化。测试结果显示，一维稳态和瞬态温度场反演误差分别为0.7221%和3.3637%，二维稳态和瞬态误差分别为0.7095%和3.3221%，均低于10%。AI模型在四类实验工况下均能正常完成温度场重构和结果输出，本项指标达到要求。</w:t>
            </w:r>
            <w:r>
              <w:rPr>
                <w:rFonts w:hint="eastAsia"/>
              </w:rPr>
              <w:t>(</w:t>
            </w:r>
            <w:r>
              <w:fldChar w:fldCharType="begin"/>
            </w:r>
            <w:r>
              <w:instrText xml:space="preserve"> </w:instrText>
            </w:r>
            <w:r>
              <w:rPr>
                <w:rFonts w:hint="eastAsia"/>
              </w:rPr>
              <w:instrText xml:space="preserve">REF _Ref235904328 \r \h</w:instrText>
            </w:r>
            <w:r>
              <w:instrText xml:space="preserve"> </w:instrText>
            </w:r>
            <w:r>
              <w:fldChar w:fldCharType="separate"/>
            </w:r>
            <w:r>
              <w:t>3.4.5.1</w:t>
            </w:r>
            <w:r>
              <w:fldChar w:fldCharType="end"/>
            </w:r>
            <w:r>
              <w:rPr>
                <w:rFonts w:hint="eastAsia"/>
              </w:rPr>
              <w:t xml:space="preserve">, </w:t>
            </w:r>
            <w:r>
              <w:fldChar w:fldCharType="begin"/>
            </w:r>
            <w:r>
              <w:instrText xml:space="preserve"> </w:instrText>
            </w:r>
            <w:r>
              <w:rPr>
                <w:rFonts w:hint="eastAsia"/>
              </w:rPr>
              <w:instrText xml:space="preserve">REF _Ref235904335 \r \h</w:instrText>
            </w:r>
            <w:r>
              <w:instrText xml:space="preserve"> </w:instrText>
            </w:r>
            <w:r>
              <w:fldChar w:fldCharType="separate"/>
            </w:r>
            <w:r>
              <w:t>3.4.5.2</w:t>
            </w:r>
            <w:r>
              <w:fldChar w:fldCharType="end"/>
            </w:r>
            <w:r>
              <w:rPr>
                <w:rFonts w:hint="eastAsia"/>
              </w:rPr>
              <w:t xml:space="preserve">, </w:t>
            </w:r>
            <w:r>
              <w:fldChar w:fldCharType="begin"/>
            </w:r>
            <w:r>
              <w:instrText xml:space="preserve"> </w:instrText>
            </w:r>
            <w:r>
              <w:rPr>
                <w:rFonts w:hint="eastAsia"/>
              </w:rPr>
              <w:instrText xml:space="preserve">REF _Ref235904613 \h</w:instrText>
            </w:r>
            <w:r>
              <w:instrText xml:space="preserve"> </w:instrText>
            </w:r>
            <w:r>
              <w:fldChar w:fldCharType="separate"/>
            </w:r>
            <w:r>
              <w:rPr>
                <w:rFonts w:hint="eastAsia"/>
              </w:rPr>
              <w:t xml:space="preserve">图 </w:t>
            </w:r>
            <w:r>
              <w:t>3.52</w:t>
            </w:r>
            <w:r>
              <w:fldChar w:fldCharType="end"/>
            </w:r>
            <w:r>
              <w:rPr>
                <w:rFonts w:hint="eastAsia"/>
              </w:rPr>
              <w:t xml:space="preserve">, </w:t>
            </w:r>
            <w:r>
              <w:fldChar w:fldCharType="begin"/>
            </w:r>
            <w:r>
              <w:instrText xml:space="preserve"> </w:instrText>
            </w:r>
            <w:r>
              <w:rPr>
                <w:rFonts w:hint="eastAsia"/>
              </w:rPr>
              <w:instrText xml:space="preserve">REF _Ref235904618 \h</w:instrText>
            </w:r>
            <w:r>
              <w:instrText xml:space="preserve"> </w:instrText>
            </w:r>
            <w:r>
              <w:fldChar w:fldCharType="separate"/>
            </w:r>
            <w:r>
              <w:rPr>
                <w:rFonts w:hint="eastAsia"/>
              </w:rPr>
              <w:t xml:space="preserve">图 </w:t>
            </w:r>
            <w:r>
              <w:t>3.53</w:t>
            </w:r>
            <w:r>
              <w:fldChar w:fldCharType="end"/>
            </w:r>
            <w:r>
              <w:rPr>
                <w:rFonts w:hint="eastAsia"/>
              </w:rPr>
              <w:t xml:space="preserve">, </w:t>
            </w:r>
            <w:r>
              <w:fldChar w:fldCharType="begin"/>
            </w:r>
            <w:r>
              <w:instrText xml:space="preserve"> </w:instrText>
            </w:r>
            <w:r>
              <w:rPr>
                <w:rFonts w:hint="eastAsia"/>
              </w:rPr>
              <w:instrText xml:space="preserve">REF _Ref235904623 \h</w:instrText>
            </w:r>
            <w:r>
              <w:instrText xml:space="preserve"> </w:instrText>
            </w:r>
            <w:r>
              <w:fldChar w:fldCharType="separate"/>
            </w:r>
            <w:r>
              <w:rPr>
                <w:rFonts w:hint="eastAsia"/>
              </w:rPr>
              <w:t xml:space="preserve">图 </w:t>
            </w:r>
            <w:r>
              <w:t>3.54</w:t>
            </w:r>
            <w:r>
              <w:fldChar w:fldCharType="end"/>
            </w:r>
            <w:r>
              <w:rPr>
                <w:rFonts w:hint="eastAsia"/>
              </w:rPr>
              <w:t>)</w:t>
            </w:r>
          </w:p>
        </w:tc>
        <w:tc>
          <w:tcPr>
            <w:tcW w:w="653" w:type="dxa"/>
            <w:vAlign w:val="center"/>
          </w:tcPr>
          <w:p w14:paraId="31A0CBDA">
            <w:pPr>
              <w:pStyle w:val="33"/>
            </w:pPr>
            <w:r>
              <w:rPr>
                <w:rFonts w:hint="eastAsia"/>
              </w:rPr>
              <w:t>完成</w:t>
            </w:r>
          </w:p>
        </w:tc>
      </w:tr>
      <w:tr w14:paraId="32C1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5BDBDCD0">
            <w:pPr>
              <w:pStyle w:val="33"/>
            </w:pPr>
          </w:p>
        </w:tc>
        <w:tc>
          <w:tcPr>
            <w:tcW w:w="456" w:type="dxa"/>
            <w:vMerge w:val="continue"/>
            <w:vAlign w:val="center"/>
          </w:tcPr>
          <w:p w14:paraId="1CB31033">
            <w:pPr>
              <w:pStyle w:val="33"/>
            </w:pPr>
          </w:p>
        </w:tc>
        <w:tc>
          <w:tcPr>
            <w:tcW w:w="3706" w:type="dxa"/>
            <w:vAlign w:val="center"/>
          </w:tcPr>
          <w:p w14:paraId="1C814467">
            <w:pPr>
              <w:pStyle w:val="33"/>
            </w:pPr>
            <w:r>
              <w:t>(5)兼容性：支持Windows系统，程序代码采用Fortran语言编写，可调用其他代码语言</w:t>
            </w:r>
          </w:p>
        </w:tc>
        <w:tc>
          <w:tcPr>
            <w:tcW w:w="8080" w:type="dxa"/>
            <w:vAlign w:val="center"/>
          </w:tcPr>
          <w:p w14:paraId="2629EF06">
            <w:pPr>
              <w:pStyle w:val="33"/>
            </w:pPr>
            <w:r>
              <w:t>项目软件已在Windows测试环境中完成数据导入、模型训练、增量更新、温度场预测及结果可视化等功能验证。核心模块采用Fortran语言编写，人工智能模型训练和推理模块采用Python实现，二者通过标准化配置文件、数据文件和程序调用接口完成数据交换与任务调度。测试过程中，Fortran模块能够正常</w:t>
            </w:r>
            <w:r>
              <w:rPr>
                <w:rFonts w:hint="eastAsia"/>
              </w:rPr>
              <w:t>使用且</w:t>
            </w:r>
            <w:r>
              <w:t>Python模型</w:t>
            </w:r>
            <w:r>
              <w:rPr>
                <w:rFonts w:hint="eastAsia"/>
              </w:rPr>
              <w:t>能</w:t>
            </w:r>
            <w:r>
              <w:t>接收温度场预测结果，跨语言输入、输出及异常返回均运行正常。程序具备Windows兼容性和跨语言调用能力，本项指标达到要求。</w:t>
            </w:r>
            <w:r>
              <w:rPr>
                <w:rFonts w:hint="eastAsia"/>
              </w:rPr>
              <w:t>(</w:t>
            </w:r>
            <w:r>
              <w:fldChar w:fldCharType="begin"/>
            </w:r>
            <w:r>
              <w:instrText xml:space="preserve"> </w:instrText>
            </w:r>
            <w:r>
              <w:rPr>
                <w:rFonts w:hint="eastAsia"/>
              </w:rPr>
              <w:instrText xml:space="preserve">REF _Ref235904437 \r \h</w:instrText>
            </w:r>
            <w:r>
              <w:instrText xml:space="preserve"> </w:instrText>
            </w:r>
            <w:r>
              <w:fldChar w:fldCharType="separate"/>
            </w:r>
            <w:r>
              <w:t>3.4.4.1</w:t>
            </w:r>
            <w:r>
              <w:fldChar w:fldCharType="end"/>
            </w:r>
            <w:r>
              <w:rPr>
                <w:rFonts w:hint="eastAsia"/>
              </w:rPr>
              <w:t xml:space="preserve">, </w:t>
            </w:r>
            <w:r>
              <w:fldChar w:fldCharType="begin"/>
            </w:r>
            <w:r>
              <w:instrText xml:space="preserve"> </w:instrText>
            </w:r>
            <w:r>
              <w:rPr>
                <w:rFonts w:hint="eastAsia"/>
              </w:rPr>
              <w:instrText xml:space="preserve">REF _Ref235904455 \r \h</w:instrText>
            </w:r>
            <w:r>
              <w:instrText xml:space="preserve"> </w:instrText>
            </w:r>
            <w:r>
              <w:fldChar w:fldCharType="separate"/>
            </w:r>
            <w:r>
              <w:t>3.4.5.3</w:t>
            </w:r>
            <w:r>
              <w:fldChar w:fldCharType="end"/>
            </w:r>
            <w:r>
              <w:rPr>
                <w:rFonts w:hint="eastAsia"/>
              </w:rPr>
              <w:t xml:space="preserve">, </w:t>
            </w:r>
            <w:r>
              <w:fldChar w:fldCharType="begin"/>
            </w:r>
            <w:r>
              <w:instrText xml:space="preserve"> </w:instrText>
            </w:r>
            <w:r>
              <w:rPr>
                <w:rFonts w:hint="eastAsia"/>
              </w:rPr>
              <w:instrText xml:space="preserve">REF _Ref235904651 \h</w:instrText>
            </w:r>
            <w:r>
              <w:instrText xml:space="preserve"> </w:instrText>
            </w:r>
            <w:r>
              <w:fldChar w:fldCharType="separate"/>
            </w:r>
            <w:r>
              <w:rPr>
                <w:rFonts w:hint="eastAsia"/>
              </w:rPr>
              <w:t xml:space="preserve">图 </w:t>
            </w:r>
            <w:r>
              <w:t>3.49</w:t>
            </w:r>
            <w:r>
              <w:fldChar w:fldCharType="end"/>
            </w:r>
            <w:r>
              <w:rPr>
                <w:rFonts w:hint="eastAsia"/>
              </w:rPr>
              <w:t xml:space="preserve">, </w:t>
            </w:r>
            <w:r>
              <w:fldChar w:fldCharType="begin"/>
            </w:r>
            <w:r>
              <w:instrText xml:space="preserve"> </w:instrText>
            </w:r>
            <w:r>
              <w:rPr>
                <w:rFonts w:hint="eastAsia"/>
              </w:rPr>
              <w:instrText xml:space="preserve">REF _Ref235904659 \h</w:instrText>
            </w:r>
            <w:r>
              <w:instrText xml:space="preserve"> </w:instrText>
            </w:r>
            <w:r>
              <w:fldChar w:fldCharType="separate"/>
            </w:r>
            <w:r>
              <w:rPr>
                <w:rFonts w:hint="eastAsia"/>
              </w:rPr>
              <w:t xml:space="preserve">图 </w:t>
            </w:r>
            <w:r>
              <w:t>3.56</w:t>
            </w:r>
            <w:r>
              <w:fldChar w:fldCharType="end"/>
            </w:r>
            <w:r>
              <w:rPr>
                <w:rFonts w:hint="eastAsia"/>
              </w:rPr>
              <w:t>)</w:t>
            </w:r>
          </w:p>
        </w:tc>
        <w:tc>
          <w:tcPr>
            <w:tcW w:w="653" w:type="dxa"/>
            <w:vAlign w:val="center"/>
          </w:tcPr>
          <w:p w14:paraId="31C37739">
            <w:pPr>
              <w:pStyle w:val="33"/>
            </w:pPr>
            <w:r>
              <w:rPr>
                <w:rFonts w:hint="eastAsia"/>
              </w:rPr>
              <w:t>完成</w:t>
            </w:r>
          </w:p>
        </w:tc>
      </w:tr>
      <w:tr w14:paraId="27326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459D375D">
            <w:pPr>
              <w:pStyle w:val="33"/>
            </w:pPr>
          </w:p>
        </w:tc>
        <w:tc>
          <w:tcPr>
            <w:tcW w:w="456" w:type="dxa"/>
            <w:vMerge w:val="restart"/>
            <w:vAlign w:val="center"/>
          </w:tcPr>
          <w:p w14:paraId="3B61C779">
            <w:pPr>
              <w:pStyle w:val="33"/>
            </w:pPr>
            <w:r>
              <w:rPr>
                <w:rFonts w:hint="eastAsia"/>
              </w:rPr>
              <w:t>性能指标</w:t>
            </w:r>
          </w:p>
        </w:tc>
        <w:tc>
          <w:tcPr>
            <w:tcW w:w="3706" w:type="dxa"/>
            <w:vAlign w:val="center"/>
          </w:tcPr>
          <w:p w14:paraId="312E3AE2">
            <w:pPr>
              <w:pStyle w:val="33"/>
            </w:pPr>
            <w:r>
              <w:rPr>
                <w:rFonts w:hint="eastAsia"/>
              </w:rPr>
              <w:t>(6)在多层材料、金属基复合材料、硅基/碳基复合材料选择一种进行温度场反演的实验验证。一维条件下，多层材料至少达到5mm厚、金属基复合材料至少达到10mm厚、碳基/硅基复合材料至少达到5mm至8mm厚；二维条件下，多层材料至少达到5mm厚、宽度50mm，金属基复合材料至少达到10mm厚、宽度50mm，碳基/硅基复合材料至少达到5mm至8mm厚、宽度50mm。</w:t>
            </w:r>
          </w:p>
          <w:p w14:paraId="5595C658">
            <w:pPr>
              <w:pStyle w:val="33"/>
            </w:pPr>
            <w:r>
              <w:rPr>
                <w:rFonts w:hint="eastAsia"/>
              </w:rPr>
              <w:t>与高温光学测温仪器或热电偶等测温设备（测温范围：室温至1500K内的温度变化，测温精度1%FS）相比，以5个测点平均值计，一维和二维稳态、瞬态温度场反演相对误差温度场反演相对误差≤10%。</w:t>
            </w:r>
          </w:p>
        </w:tc>
        <w:tc>
          <w:tcPr>
            <w:tcW w:w="8080" w:type="dxa"/>
            <w:vAlign w:val="center"/>
          </w:tcPr>
          <w:p w14:paraId="6DE6FA6E">
            <w:pPr>
              <w:pStyle w:val="33"/>
            </w:pPr>
            <w:r>
              <w:t>项目选用两层W30Mo70多层材料试件开展人工智能温度场反演实验，试件尺寸为100 mm×100 mm×19.2 mm；一维反演沿厚度方向进行，二维反演区域宽度为100 mm，实际厚度和宽度均超过多层材料规定下限。实验温度覆盖室温至153</w:t>
            </w:r>
            <w:r>
              <w:rPr>
                <w:rFonts w:hint="eastAsia"/>
              </w:rPr>
              <w:t>1</w:t>
            </w:r>
            <w:r>
              <w:t xml:space="preserve"> K，并以5个固定热电偶测点及固化node_id作为温度对比基准。测试结果显示，一维稳态、一维瞬态、二维稳态和二维瞬态温度场的5测点平均相对误差分别为0.7221%、3.3637%、0.7095%和3.3221%，均低于10%。试件尺寸、实验温区及四类工况的反演精度均达到要求，本项指标完成。</w:t>
            </w:r>
            <w:r>
              <w:rPr>
                <w:rFonts w:hint="eastAsia"/>
              </w:rPr>
              <w:t>(</w:t>
            </w:r>
            <w:r>
              <w:fldChar w:fldCharType="begin"/>
            </w:r>
            <w:r>
              <w:instrText xml:space="preserve"> </w:instrText>
            </w:r>
            <w:r>
              <w:rPr>
                <w:rFonts w:hint="eastAsia"/>
              </w:rPr>
              <w:instrText xml:space="preserve">REF _Ref235904522 \r \h</w:instrText>
            </w:r>
            <w:r>
              <w:instrText xml:space="preserve"> </w:instrText>
            </w:r>
            <w:r>
              <w:fldChar w:fldCharType="separate"/>
            </w:r>
            <w:r>
              <w:t>3.3.3.1</w:t>
            </w:r>
            <w:r>
              <w:fldChar w:fldCharType="end"/>
            </w:r>
            <w:r>
              <w:rPr>
                <w:rFonts w:hint="eastAsia"/>
              </w:rPr>
              <w:t xml:space="preserve">, </w:t>
            </w:r>
            <w:r>
              <w:fldChar w:fldCharType="begin"/>
            </w:r>
            <w:r>
              <w:instrText xml:space="preserve"> </w:instrText>
            </w:r>
            <w:r>
              <w:rPr>
                <w:rFonts w:hint="eastAsia"/>
              </w:rPr>
              <w:instrText xml:space="preserve">REF _Ref235904437 \r \h</w:instrText>
            </w:r>
            <w:r>
              <w:instrText xml:space="preserve"> </w:instrText>
            </w:r>
            <w:r>
              <w:fldChar w:fldCharType="separate"/>
            </w:r>
            <w:r>
              <w:t>3.4.4.1</w:t>
            </w:r>
            <w:r>
              <w:fldChar w:fldCharType="end"/>
            </w:r>
            <w:r>
              <w:rPr>
                <w:rFonts w:hint="eastAsia"/>
              </w:rPr>
              <w:t xml:space="preserve">, </w:t>
            </w:r>
            <w:r>
              <w:fldChar w:fldCharType="begin"/>
            </w:r>
            <w:r>
              <w:instrText xml:space="preserve"> </w:instrText>
            </w:r>
            <w:r>
              <w:rPr>
                <w:rFonts w:hint="eastAsia"/>
              </w:rPr>
              <w:instrText xml:space="preserve">REF _Ref235904335 \r \h</w:instrText>
            </w:r>
            <w:r>
              <w:instrText xml:space="preserve"> </w:instrText>
            </w:r>
            <w:r>
              <w:fldChar w:fldCharType="separate"/>
            </w:r>
            <w:r>
              <w:t>3.4.5.2</w:t>
            </w:r>
            <w:r>
              <w:fldChar w:fldCharType="end"/>
            </w:r>
            <w:r>
              <w:rPr>
                <w:rFonts w:hint="eastAsia"/>
              </w:rPr>
              <w:t xml:space="preserve">, </w:t>
            </w:r>
            <w:r>
              <w:fldChar w:fldCharType="begin"/>
            </w:r>
            <w:r>
              <w:instrText xml:space="preserve"> </w:instrText>
            </w:r>
            <w:r>
              <w:rPr>
                <w:rFonts w:hint="eastAsia"/>
              </w:rPr>
              <w:instrText xml:space="preserve">REF _Ref235466967 \h</w:instrText>
            </w:r>
            <w:r>
              <w:instrText xml:space="preserve"> </w:instrText>
            </w:r>
            <w:r>
              <w:fldChar w:fldCharType="separate"/>
            </w:r>
            <w:r>
              <w:rPr>
                <w:rFonts w:hint="eastAsia"/>
              </w:rPr>
              <w:t xml:space="preserve">图 </w:t>
            </w:r>
            <w:r>
              <w:t>3.29</w:t>
            </w:r>
            <w:r>
              <w:fldChar w:fldCharType="end"/>
            </w:r>
            <w:r>
              <w:rPr>
                <w:rFonts w:hint="eastAsia"/>
              </w:rPr>
              <w:t xml:space="preserve">, </w:t>
            </w:r>
            <w:r>
              <w:fldChar w:fldCharType="begin"/>
            </w:r>
            <w:r>
              <w:instrText xml:space="preserve"> </w:instrText>
            </w:r>
            <w:r>
              <w:rPr>
                <w:rFonts w:hint="eastAsia"/>
              </w:rPr>
              <w:instrText xml:space="preserve">REF _Ref235904613 \h</w:instrText>
            </w:r>
            <w:r>
              <w:instrText xml:space="preserve"> </w:instrText>
            </w:r>
            <w:r>
              <w:fldChar w:fldCharType="separate"/>
            </w:r>
            <w:r>
              <w:rPr>
                <w:rFonts w:hint="eastAsia"/>
              </w:rPr>
              <w:t xml:space="preserve">图 </w:t>
            </w:r>
            <w:r>
              <w:t>3.52</w:t>
            </w:r>
            <w:r>
              <w:fldChar w:fldCharType="end"/>
            </w:r>
            <w:r>
              <w:rPr>
                <w:rFonts w:hint="eastAsia"/>
              </w:rPr>
              <w:t xml:space="preserve">, </w:t>
            </w:r>
            <w:r>
              <w:fldChar w:fldCharType="begin"/>
            </w:r>
            <w:r>
              <w:instrText xml:space="preserve"> </w:instrText>
            </w:r>
            <w:r>
              <w:rPr>
                <w:rFonts w:hint="eastAsia"/>
              </w:rPr>
              <w:instrText xml:space="preserve">REF _Ref235904618 \h</w:instrText>
            </w:r>
            <w:r>
              <w:instrText xml:space="preserve"> </w:instrText>
            </w:r>
            <w:r>
              <w:fldChar w:fldCharType="separate"/>
            </w:r>
            <w:r>
              <w:rPr>
                <w:rFonts w:hint="eastAsia"/>
              </w:rPr>
              <w:t xml:space="preserve">图 </w:t>
            </w:r>
            <w:r>
              <w:t>3.53</w:t>
            </w:r>
            <w:r>
              <w:fldChar w:fldCharType="end"/>
            </w:r>
            <w:r>
              <w:rPr>
                <w:rFonts w:hint="eastAsia"/>
              </w:rPr>
              <w:t xml:space="preserve">, </w:t>
            </w:r>
            <w:r>
              <w:fldChar w:fldCharType="begin"/>
            </w:r>
            <w:r>
              <w:instrText xml:space="preserve"> </w:instrText>
            </w:r>
            <w:r>
              <w:rPr>
                <w:rFonts w:hint="eastAsia"/>
              </w:rPr>
              <w:instrText xml:space="preserve">REF _Ref235904623 \h</w:instrText>
            </w:r>
            <w:r>
              <w:instrText xml:space="preserve"> </w:instrText>
            </w:r>
            <w:r>
              <w:fldChar w:fldCharType="separate"/>
            </w:r>
            <w:r>
              <w:rPr>
                <w:rFonts w:hint="eastAsia"/>
              </w:rPr>
              <w:t xml:space="preserve">图 </w:t>
            </w:r>
            <w:r>
              <w:t>3.54</w:t>
            </w:r>
            <w:r>
              <w:fldChar w:fldCharType="end"/>
            </w:r>
            <w:r>
              <w:rPr>
                <w:rFonts w:hint="eastAsia"/>
              </w:rPr>
              <w:t>)</w:t>
            </w:r>
          </w:p>
        </w:tc>
        <w:tc>
          <w:tcPr>
            <w:tcW w:w="653" w:type="dxa"/>
            <w:vAlign w:val="center"/>
          </w:tcPr>
          <w:p w14:paraId="51222D58">
            <w:pPr>
              <w:pStyle w:val="33"/>
            </w:pPr>
            <w:r>
              <w:rPr>
                <w:rFonts w:hint="eastAsia"/>
              </w:rPr>
              <w:t>完成</w:t>
            </w:r>
          </w:p>
        </w:tc>
      </w:tr>
      <w:tr w14:paraId="7522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5458A19C">
            <w:pPr>
              <w:pStyle w:val="33"/>
            </w:pPr>
          </w:p>
        </w:tc>
        <w:tc>
          <w:tcPr>
            <w:tcW w:w="456" w:type="dxa"/>
            <w:vMerge w:val="continue"/>
            <w:vAlign w:val="center"/>
          </w:tcPr>
          <w:p w14:paraId="673CC37F">
            <w:pPr>
              <w:pStyle w:val="33"/>
            </w:pPr>
          </w:p>
        </w:tc>
        <w:tc>
          <w:tcPr>
            <w:tcW w:w="3706" w:type="dxa"/>
            <w:vAlign w:val="center"/>
          </w:tcPr>
          <w:p w14:paraId="2124D992">
            <w:pPr>
              <w:pStyle w:val="33"/>
            </w:pPr>
            <w:r>
              <w:t>(7)算法效率比共轭梯度法、灵敏度法、最速下降法等经典优化方法提高1个数量级</w:t>
            </w:r>
          </w:p>
        </w:tc>
        <w:tc>
          <w:tcPr>
            <w:tcW w:w="8080" w:type="dxa"/>
            <w:vAlign w:val="center"/>
          </w:tcPr>
          <w:p w14:paraId="1DBB883D">
            <w:pPr>
              <w:pStyle w:val="33"/>
            </w:pPr>
            <w:r>
              <w:t>在相同温度场任务、输入数据、计算环境和精度判据下，对AI模型与共轭梯度法、灵敏度法和最速下降法进行计算时间比较。AI模型完成4个温度场重构任务的总耗时约为0.248766s，平均每个完整温度场推理耗时约0.0622s；共轭梯度法、灵敏度法和最速下降法的运行时间分别约为18.67s、11.10s和12.44s。AI模型相对三种经典方法的计算速度分别提高约300.2倍、178.5倍和200.0倍，且四类实验工况的温度场反演误差均低于10%。实际效率提升远高于10倍，本项指标完成。</w:t>
            </w:r>
            <w:r>
              <w:rPr>
                <w:rFonts w:hint="eastAsia"/>
              </w:rPr>
              <w:t>(</w:t>
            </w:r>
            <w:r>
              <w:fldChar w:fldCharType="begin"/>
            </w:r>
            <w:r>
              <w:instrText xml:space="preserve"> </w:instrText>
            </w:r>
            <w:r>
              <w:rPr>
                <w:rFonts w:hint="eastAsia"/>
              </w:rPr>
              <w:instrText xml:space="preserve">REF _Ref235904455 \r \h</w:instrText>
            </w:r>
            <w:r>
              <w:instrText xml:space="preserve"> </w:instrText>
            </w:r>
            <w:r>
              <w:fldChar w:fldCharType="separate"/>
            </w:r>
            <w:r>
              <w:t>3.4.5.3</w:t>
            </w:r>
            <w:r>
              <w:fldChar w:fldCharType="end"/>
            </w:r>
            <w:r>
              <w:rPr>
                <w:rFonts w:hint="eastAsia"/>
              </w:rPr>
              <w:t xml:space="preserve">, </w:t>
            </w:r>
            <w:r>
              <w:fldChar w:fldCharType="begin"/>
            </w:r>
            <w:r>
              <w:instrText xml:space="preserve"> </w:instrText>
            </w:r>
            <w:r>
              <w:rPr>
                <w:rFonts w:hint="eastAsia"/>
              </w:rPr>
              <w:instrText xml:space="preserve">REF _Ref235904571 \h</w:instrText>
            </w:r>
            <w:r>
              <w:instrText xml:space="preserve"> </w:instrText>
            </w:r>
            <w:r>
              <w:fldChar w:fldCharType="separate"/>
            </w:r>
            <w:r>
              <w:rPr>
                <w:rFonts w:hint="eastAsia"/>
              </w:rPr>
              <w:t xml:space="preserve">图 </w:t>
            </w:r>
            <w:r>
              <w:t>3.55</w:t>
            </w:r>
            <w:r>
              <w:fldChar w:fldCharType="end"/>
            </w:r>
            <w:r>
              <w:rPr>
                <w:rFonts w:hint="eastAsia"/>
              </w:rPr>
              <w:t>)</w:t>
            </w:r>
          </w:p>
        </w:tc>
        <w:tc>
          <w:tcPr>
            <w:tcW w:w="653" w:type="dxa"/>
            <w:vAlign w:val="center"/>
          </w:tcPr>
          <w:p w14:paraId="3E66499A">
            <w:pPr>
              <w:pStyle w:val="33"/>
            </w:pPr>
            <w:r>
              <w:rPr>
                <w:rFonts w:hint="eastAsia"/>
              </w:rPr>
              <w:t>完成</w:t>
            </w:r>
          </w:p>
        </w:tc>
      </w:tr>
    </w:tbl>
    <w:p w14:paraId="4549DE50"/>
    <w:p w14:paraId="3DE27CE7">
      <w:pPr>
        <w:sectPr>
          <w:pgSz w:w="16838" w:h="11906" w:orient="landscape"/>
          <w:pgMar w:top="1701" w:right="1440" w:bottom="1701" w:left="1440" w:header="851" w:footer="992" w:gutter="0"/>
          <w:cols w:space="425" w:num="1"/>
          <w:docGrid w:type="lines" w:linePitch="326" w:charSpace="0"/>
        </w:sectPr>
      </w:pPr>
    </w:p>
    <w:p w14:paraId="34DE7B97">
      <w:pPr>
        <w:pStyle w:val="4"/>
      </w:pPr>
      <w:bookmarkStart w:id="8" w:name="_Toc235910437"/>
      <w:r>
        <w:rPr>
          <w:rFonts w:hint="eastAsia"/>
        </w:rPr>
        <w:t>资料清单，</w:t>
      </w:r>
      <w:r>
        <w:t>资料整理及提交情况</w:t>
      </w:r>
      <w:r>
        <w:rPr>
          <w:rFonts w:hint="eastAsia"/>
        </w:rPr>
        <w:t>，</w:t>
      </w:r>
      <w:r>
        <w:t>含归档资料清单</w:t>
      </w:r>
      <w:bookmarkEnd w:id="8"/>
    </w:p>
    <w:p w14:paraId="5638293E">
      <w:pPr>
        <w:pStyle w:val="3"/>
      </w:pPr>
      <w:r>
        <w:rPr>
          <w:rFonts w:hint="eastAsia"/>
        </w:rPr>
        <w:t>根据合同、技术任务书及项目验收资料管理要求，项目组对项目实施过程中形成的合同管理资料、设计资料、研制资料、测试验收资料、安装调试资料、数据资料、声像资料和项目过程资料进行了分类整理、版本核查和归档。各类资料内容完整、版本统一、依据明确，能够反映项目从合同签订、方案设计、技术研究、程序开发、试验测试、专家评审、问题整改到成果交付的全过程。</w:t>
      </w:r>
    </w:p>
    <w:p w14:paraId="4393241D">
      <w:pPr>
        <w:pStyle w:val="3"/>
      </w:pPr>
      <w:r>
        <w:rPr>
          <w:rFonts w:hint="eastAsia"/>
        </w:rPr>
        <w:t>项目资料整理过程中，对文件名称、文件编号、版本状态、形成时间、审批情况、数据来源及对应技术指标进行了统一。纸质资料与电子资料内容保持一致，程序代码、可执行程序、模型权重、数据库和测试数据均建立了相应的文件目录和版本标识，能够实现技术指标、测试结果、图表和原始数据之间的追溯。</w:t>
      </w:r>
    </w:p>
    <w:p w14:paraId="7EDD3849">
      <w:pPr>
        <w:pStyle w:val="3"/>
        <w:sectPr>
          <w:pgSz w:w="11906" w:h="16838"/>
          <w:pgMar w:top="1440" w:right="1701" w:bottom="1440" w:left="1701" w:header="851" w:footer="992" w:gutter="0"/>
          <w:cols w:space="425" w:num="1"/>
          <w:docGrid w:type="lines" w:linePitch="312" w:charSpace="0"/>
        </w:sectPr>
      </w:pPr>
      <w:r>
        <w:rPr>
          <w:rFonts w:hint="eastAsia"/>
        </w:rPr>
        <w:t>《实施方案》《测试大纲》和《测试报告》均已完成评审。其中，《实施方案》于2025年10月24日完成评审，《测试大纲》于2026年6月5日完成评审，《测试报告》于2026年7月18日完成评审。项目组根据专家评审意见完成了相关文件的修改和完善，并对不同文件中的材料名称、试件尺寸、温度范围、测试工况、数据来源、误差定义和技术指标完成情况进行了统一。</w:t>
      </w:r>
      <w:r>
        <w:t>项目资料清单及整理提交情况见</w:t>
      </w:r>
      <w:r>
        <w:fldChar w:fldCharType="begin"/>
      </w:r>
      <w:r>
        <w:instrText xml:space="preserve"> REF _Ref235891611 \h </w:instrText>
      </w:r>
      <w:r>
        <w:fldChar w:fldCharType="separate"/>
      </w:r>
      <w:r>
        <w:rPr>
          <w:rFonts w:hint="eastAsia"/>
        </w:rPr>
        <w:t xml:space="preserve">表 </w:t>
      </w:r>
      <w:r>
        <w:t>2</w:t>
      </w:r>
      <w:r>
        <w:noBreakHyphen/>
      </w:r>
      <w:r>
        <w:t>3</w:t>
      </w:r>
      <w:r>
        <w:fldChar w:fldCharType="end"/>
      </w:r>
      <w:r>
        <w:rPr>
          <w:rFonts w:hint="eastAsia"/>
        </w:rPr>
        <w:t>。</w:t>
      </w:r>
    </w:p>
    <w:p w14:paraId="07C53ADD">
      <w:pPr>
        <w:pStyle w:val="33"/>
      </w:pPr>
      <w:bookmarkStart w:id="9" w:name="_Ref2358916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bookmarkEnd w:id="9"/>
      <w:r>
        <w:t>项目资料清单及整理情况</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4"/>
        <w:gridCol w:w="1201"/>
        <w:gridCol w:w="4819"/>
        <w:gridCol w:w="567"/>
        <w:gridCol w:w="425"/>
        <w:gridCol w:w="6582"/>
      </w:tblGrid>
      <w:tr w14:paraId="13E5C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 w:type="dxa"/>
            <w:noWrap/>
            <w:vAlign w:val="center"/>
          </w:tcPr>
          <w:p w14:paraId="346FEAF4">
            <w:pPr>
              <w:pStyle w:val="33"/>
            </w:pPr>
            <w:r>
              <w:t>序号</w:t>
            </w:r>
          </w:p>
        </w:tc>
        <w:tc>
          <w:tcPr>
            <w:tcW w:w="1201" w:type="dxa"/>
            <w:noWrap/>
            <w:vAlign w:val="center"/>
          </w:tcPr>
          <w:p w14:paraId="44957519">
            <w:pPr>
              <w:pStyle w:val="33"/>
            </w:pPr>
            <w:r>
              <w:t>资料类别</w:t>
            </w:r>
          </w:p>
        </w:tc>
        <w:tc>
          <w:tcPr>
            <w:tcW w:w="4819" w:type="dxa"/>
            <w:noWrap/>
            <w:vAlign w:val="center"/>
          </w:tcPr>
          <w:p w14:paraId="34BA0D7C">
            <w:pPr>
              <w:pStyle w:val="33"/>
            </w:pPr>
            <w:r>
              <w:t>资料名称及主要内容</w:t>
            </w:r>
          </w:p>
        </w:tc>
        <w:tc>
          <w:tcPr>
            <w:tcW w:w="567" w:type="dxa"/>
            <w:noWrap/>
            <w:vAlign w:val="center"/>
          </w:tcPr>
          <w:p w14:paraId="60A419DF">
            <w:pPr>
              <w:pStyle w:val="33"/>
            </w:pPr>
            <w:r>
              <w:t>单位</w:t>
            </w:r>
          </w:p>
        </w:tc>
        <w:tc>
          <w:tcPr>
            <w:tcW w:w="425" w:type="dxa"/>
            <w:noWrap/>
            <w:vAlign w:val="center"/>
          </w:tcPr>
          <w:p w14:paraId="12817953">
            <w:pPr>
              <w:pStyle w:val="33"/>
            </w:pPr>
            <w:r>
              <w:t>数量</w:t>
            </w:r>
          </w:p>
        </w:tc>
        <w:tc>
          <w:tcPr>
            <w:tcW w:w="6582" w:type="dxa"/>
            <w:noWrap/>
            <w:vAlign w:val="center"/>
          </w:tcPr>
          <w:p w14:paraId="0C181B8E">
            <w:pPr>
              <w:pStyle w:val="33"/>
            </w:pPr>
            <w:r>
              <w:t>资料整理及提交情况</w:t>
            </w:r>
          </w:p>
        </w:tc>
      </w:tr>
      <w:tr w14:paraId="29BAF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 w:type="dxa"/>
            <w:noWrap/>
            <w:vAlign w:val="center"/>
          </w:tcPr>
          <w:p w14:paraId="70C7E204">
            <w:pPr>
              <w:pStyle w:val="33"/>
            </w:pPr>
            <w:r>
              <w:t>1</w:t>
            </w:r>
          </w:p>
        </w:tc>
        <w:tc>
          <w:tcPr>
            <w:tcW w:w="1201" w:type="dxa"/>
            <w:noWrap/>
            <w:vAlign w:val="center"/>
          </w:tcPr>
          <w:p w14:paraId="3F36B6A7">
            <w:pPr>
              <w:pStyle w:val="33"/>
            </w:pPr>
            <w:r>
              <w:t>合同资料</w:t>
            </w:r>
          </w:p>
        </w:tc>
        <w:tc>
          <w:tcPr>
            <w:tcW w:w="4819" w:type="dxa"/>
            <w:noWrap/>
            <w:vAlign w:val="center"/>
          </w:tcPr>
          <w:p w14:paraId="310A009B">
            <w:pPr>
              <w:pStyle w:val="33"/>
            </w:pPr>
            <w:r>
              <w:t>招标文件、投标文件、技术开发合同、技术任务书、保密协议及与项目实施和验收有关的合同附件</w:t>
            </w:r>
          </w:p>
        </w:tc>
        <w:tc>
          <w:tcPr>
            <w:tcW w:w="567" w:type="dxa"/>
            <w:noWrap/>
            <w:vAlign w:val="center"/>
          </w:tcPr>
          <w:p w14:paraId="67C60F46">
            <w:pPr>
              <w:pStyle w:val="33"/>
            </w:pPr>
            <w:r>
              <w:t>套</w:t>
            </w:r>
          </w:p>
        </w:tc>
        <w:tc>
          <w:tcPr>
            <w:tcW w:w="425" w:type="dxa"/>
            <w:noWrap/>
            <w:vAlign w:val="center"/>
          </w:tcPr>
          <w:p w14:paraId="3444EFE2">
            <w:pPr>
              <w:pStyle w:val="33"/>
            </w:pPr>
            <w:r>
              <w:t>1</w:t>
            </w:r>
          </w:p>
        </w:tc>
        <w:tc>
          <w:tcPr>
            <w:tcW w:w="6582" w:type="dxa"/>
            <w:noWrap/>
            <w:vAlign w:val="center"/>
          </w:tcPr>
          <w:p w14:paraId="53B389D1">
            <w:pPr>
              <w:pStyle w:val="33"/>
            </w:pPr>
            <w:r>
              <w:t>已完成收集、核对和分类整理，文件版本、签章及合同附件完整，已按要求提交。</w:t>
            </w:r>
          </w:p>
        </w:tc>
      </w:tr>
      <w:tr w14:paraId="1E88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 w:type="dxa"/>
            <w:noWrap/>
            <w:vAlign w:val="center"/>
          </w:tcPr>
          <w:p w14:paraId="040F5CBE">
            <w:pPr>
              <w:pStyle w:val="33"/>
            </w:pPr>
            <w:r>
              <w:t>2</w:t>
            </w:r>
          </w:p>
        </w:tc>
        <w:tc>
          <w:tcPr>
            <w:tcW w:w="1201" w:type="dxa"/>
            <w:noWrap/>
            <w:vAlign w:val="center"/>
          </w:tcPr>
          <w:p w14:paraId="5C658744">
            <w:pPr>
              <w:pStyle w:val="33"/>
            </w:pPr>
            <w:r>
              <w:t>设计资料</w:t>
            </w:r>
          </w:p>
        </w:tc>
        <w:tc>
          <w:tcPr>
            <w:tcW w:w="4819" w:type="dxa"/>
            <w:noWrap/>
            <w:vAlign w:val="center"/>
          </w:tcPr>
          <w:p w14:paraId="3E0315EB">
            <w:pPr>
              <w:pStyle w:val="33"/>
            </w:pPr>
            <w:r>
              <w:t>《实施方案》、专家评审意见</w:t>
            </w:r>
          </w:p>
        </w:tc>
        <w:tc>
          <w:tcPr>
            <w:tcW w:w="567" w:type="dxa"/>
            <w:noWrap/>
            <w:vAlign w:val="center"/>
          </w:tcPr>
          <w:p w14:paraId="176CA686">
            <w:pPr>
              <w:pStyle w:val="33"/>
            </w:pPr>
            <w:r>
              <w:t>套</w:t>
            </w:r>
          </w:p>
        </w:tc>
        <w:tc>
          <w:tcPr>
            <w:tcW w:w="425" w:type="dxa"/>
            <w:noWrap/>
            <w:vAlign w:val="center"/>
          </w:tcPr>
          <w:p w14:paraId="3E3D2777">
            <w:pPr>
              <w:pStyle w:val="33"/>
            </w:pPr>
            <w:r>
              <w:t>1</w:t>
            </w:r>
          </w:p>
        </w:tc>
        <w:tc>
          <w:tcPr>
            <w:tcW w:w="6582" w:type="dxa"/>
            <w:noWrap/>
            <w:vAlign w:val="center"/>
          </w:tcPr>
          <w:p w14:paraId="4B1FD054">
            <w:pPr>
              <w:pStyle w:val="33"/>
            </w:pPr>
            <w:r>
              <w:t>《实施方案》已完成评审并根据专家意见及项目实际执行情况完成修改，已形成正式归档版本并提交。</w:t>
            </w:r>
          </w:p>
        </w:tc>
      </w:tr>
      <w:tr w14:paraId="2C276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 w:type="dxa"/>
            <w:noWrap/>
            <w:vAlign w:val="center"/>
          </w:tcPr>
          <w:p w14:paraId="63824938">
            <w:pPr>
              <w:pStyle w:val="33"/>
            </w:pPr>
            <w:r>
              <w:t>3</w:t>
            </w:r>
          </w:p>
        </w:tc>
        <w:tc>
          <w:tcPr>
            <w:tcW w:w="1201" w:type="dxa"/>
            <w:noWrap/>
            <w:vAlign w:val="center"/>
          </w:tcPr>
          <w:p w14:paraId="183FD398">
            <w:pPr>
              <w:pStyle w:val="33"/>
            </w:pPr>
            <w:r>
              <w:rPr>
                <w:rFonts w:hint="eastAsia"/>
              </w:rPr>
              <w:t>研究</w:t>
            </w:r>
            <w:r>
              <w:t>资料</w:t>
            </w:r>
          </w:p>
        </w:tc>
        <w:tc>
          <w:tcPr>
            <w:tcW w:w="4819" w:type="dxa"/>
            <w:noWrap/>
            <w:vAlign w:val="center"/>
          </w:tcPr>
          <w:p w14:paraId="63A5376C">
            <w:pPr>
              <w:pStyle w:val="33"/>
            </w:pPr>
            <w:r>
              <w:rPr>
                <w:rFonts w:hint="eastAsia" w:ascii="宋体" w:hAnsi="宋体" w:cs="宋体"/>
                <w:color w:val="000000"/>
              </w:rPr>
              <w:t>复合材料中的热声固耦合分析、声学多参数融合的温度场反演、基于人工智能的温度场反演</w:t>
            </w:r>
            <w:r>
              <w:t>三个模块的完整程序代码</w:t>
            </w:r>
            <w:r>
              <w:rPr>
                <w:rFonts w:hint="eastAsia"/>
              </w:rPr>
              <w:t>及</w:t>
            </w:r>
            <w:r>
              <w:t>技术文档、</w:t>
            </w:r>
            <w:r>
              <w:rPr>
                <w:rFonts w:hint="eastAsia"/>
              </w:rPr>
              <w:t>数据资料及误差分析。根据研究过程形成的《技术报告》。</w:t>
            </w:r>
          </w:p>
        </w:tc>
        <w:tc>
          <w:tcPr>
            <w:tcW w:w="567" w:type="dxa"/>
            <w:noWrap/>
            <w:vAlign w:val="center"/>
          </w:tcPr>
          <w:p w14:paraId="544C15D5">
            <w:pPr>
              <w:pStyle w:val="33"/>
            </w:pPr>
            <w:r>
              <w:t>套</w:t>
            </w:r>
          </w:p>
        </w:tc>
        <w:tc>
          <w:tcPr>
            <w:tcW w:w="425" w:type="dxa"/>
            <w:noWrap/>
            <w:vAlign w:val="center"/>
          </w:tcPr>
          <w:p w14:paraId="05EE5FEE">
            <w:pPr>
              <w:pStyle w:val="33"/>
            </w:pPr>
            <w:r>
              <w:rPr>
                <w:rFonts w:hint="eastAsia"/>
              </w:rPr>
              <w:t>4</w:t>
            </w:r>
          </w:p>
        </w:tc>
        <w:tc>
          <w:tcPr>
            <w:tcW w:w="6582" w:type="dxa"/>
            <w:noWrap/>
            <w:vAlign w:val="center"/>
          </w:tcPr>
          <w:p w14:paraId="24E2CEE2">
            <w:pPr>
              <w:pStyle w:val="33"/>
            </w:pPr>
            <w:r>
              <w:t>三个模块程序、三份模块技术文档及技术总结报告均已完成。程序版本、文档版本、运行环境及输入输出接口已经统一，源代码注释、程序文件和成果文件完整，已按要求提交。</w:t>
            </w:r>
            <w:r>
              <w:rPr>
                <w:rFonts w:hint="eastAsia"/>
              </w:rPr>
              <w:t>技术报告含相关理论、关键技术攻关</w:t>
            </w:r>
            <w:r>
              <w:t>等内容</w:t>
            </w:r>
            <w:r>
              <w:rPr>
                <w:rFonts w:hint="eastAsia"/>
              </w:rPr>
              <w:t>。</w:t>
            </w:r>
          </w:p>
        </w:tc>
      </w:tr>
      <w:tr w14:paraId="69213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 w:type="dxa"/>
            <w:noWrap/>
            <w:vAlign w:val="center"/>
          </w:tcPr>
          <w:p w14:paraId="7ECEA9A8">
            <w:pPr>
              <w:pStyle w:val="33"/>
            </w:pPr>
            <w:r>
              <w:t>4</w:t>
            </w:r>
          </w:p>
        </w:tc>
        <w:tc>
          <w:tcPr>
            <w:tcW w:w="1201" w:type="dxa"/>
            <w:noWrap/>
            <w:vAlign w:val="center"/>
          </w:tcPr>
          <w:p w14:paraId="594F9F6B">
            <w:pPr>
              <w:pStyle w:val="33"/>
            </w:pPr>
            <w:r>
              <w:t>验收资料</w:t>
            </w:r>
          </w:p>
        </w:tc>
        <w:tc>
          <w:tcPr>
            <w:tcW w:w="4819" w:type="dxa"/>
            <w:noWrap/>
            <w:vAlign w:val="center"/>
          </w:tcPr>
          <w:p w14:paraId="5EA3C2C8">
            <w:pPr>
              <w:pStyle w:val="33"/>
            </w:pPr>
            <w:r>
              <w:t>《测试大纲》及评审意见，《测试报告》及评审意见；</w:t>
            </w:r>
            <w:r>
              <w:rPr>
                <w:rFonts w:hint="eastAsia"/>
              </w:rPr>
              <w:t>含</w:t>
            </w:r>
            <w:r>
              <w:t>测试条件、测试场景、测试流程、测试数据、结果分析和指标判定</w:t>
            </w:r>
            <w:r>
              <w:rPr>
                <w:rFonts w:hint="eastAsia"/>
              </w:rPr>
              <w:t>等。</w:t>
            </w:r>
          </w:p>
        </w:tc>
        <w:tc>
          <w:tcPr>
            <w:tcW w:w="567" w:type="dxa"/>
            <w:noWrap/>
            <w:vAlign w:val="center"/>
          </w:tcPr>
          <w:p w14:paraId="4B74569C">
            <w:pPr>
              <w:pStyle w:val="33"/>
            </w:pPr>
            <w:r>
              <w:t>套</w:t>
            </w:r>
          </w:p>
        </w:tc>
        <w:tc>
          <w:tcPr>
            <w:tcW w:w="425" w:type="dxa"/>
            <w:noWrap/>
            <w:vAlign w:val="center"/>
          </w:tcPr>
          <w:p w14:paraId="492B8459">
            <w:pPr>
              <w:pStyle w:val="33"/>
            </w:pPr>
            <w:r>
              <w:t>2</w:t>
            </w:r>
          </w:p>
        </w:tc>
        <w:tc>
          <w:tcPr>
            <w:tcW w:w="6582" w:type="dxa"/>
            <w:noWrap/>
            <w:vAlign w:val="center"/>
          </w:tcPr>
          <w:p w14:paraId="258136D5">
            <w:pPr>
              <w:pStyle w:val="33"/>
            </w:pPr>
            <w:r>
              <w:t>《测试大纲》和《测试报告》均已完成评审及评审后修改。测试条件、场景、数据、结果和指标判定内容完整，已形成正式归档版本并提交。</w:t>
            </w:r>
          </w:p>
        </w:tc>
      </w:tr>
    </w:tbl>
    <w:p w14:paraId="3B3F6E32">
      <w:r>
        <w:t>注：</w:t>
      </w:r>
    </w:p>
    <w:p w14:paraId="0B7352F4">
      <w:r>
        <w:t>(1) 文档资料按照合同和技术任务书要求形成盖章纸质版1套和电子版1套；程序代码、可执行程序、模型权重、数据库及测试数据以电子文件为主要交付载体，并在纸质资料中列明文件目录、版本号和存储位置。</w:t>
      </w:r>
    </w:p>
    <w:p w14:paraId="6242057F">
      <w:bookmarkStart w:id="10" w:name="_Ref235908497"/>
      <w:r>
        <w:t>(2) 三个模块的源代码、运行程序、技术文档、输入输出文件及接口说明保持版本一致，源代码注释比例满足合同和技术任务书要求。</w:t>
      </w:r>
      <w:bookmarkEnd w:id="10"/>
    </w:p>
    <w:p w14:paraId="19D9D572">
      <w:r>
        <w:t>(3) 仿真数据、实验数据和人工智能训练样本分别统计和管理。其中，仿真波形数量不少于1000组，实验采集数据不少于20组，满足技术任务书规定的最低数量要求。</w:t>
      </w:r>
    </w:p>
    <w:p w14:paraId="54DE3700">
      <w:r>
        <w:t>(4) 数据资料中明确标注材料类型、模型维度、稳态或瞬态工况、温度范围、测点位置、数据来源及生成方式。仿真数据与真实实验数据分类清楚，不存在将仿真波形作为真实实验数据统计的情况。</w:t>
      </w:r>
    </w:p>
    <w:p w14:paraId="6BF0EADE">
      <w:r>
        <w:t>(5) 各项技术指标均建立了与模块技术文档、测试报告、程序测试记录及原始数据的对应关系，相关资料能够支持表2.2及第6.2节中技术指标完成情况的复核。</w:t>
      </w:r>
    </w:p>
    <w:p w14:paraId="146F27C2">
      <w:pPr>
        <w:pStyle w:val="3"/>
      </w:pPr>
    </w:p>
    <w:p w14:paraId="0755008B">
      <w:pPr>
        <w:pStyle w:val="3"/>
        <w:sectPr>
          <w:pgSz w:w="16838" w:h="11906" w:orient="landscape"/>
          <w:pgMar w:top="1701" w:right="1440" w:bottom="1701" w:left="1440" w:header="851" w:footer="992" w:gutter="0"/>
          <w:cols w:space="425" w:num="1"/>
          <w:docGrid w:type="lines" w:linePitch="326" w:charSpace="0"/>
        </w:sectPr>
      </w:pPr>
    </w:p>
    <w:p w14:paraId="63027769">
      <w:pPr>
        <w:pStyle w:val="4"/>
      </w:pPr>
      <w:bookmarkStart w:id="11" w:name="_Toc235910438"/>
      <w:r>
        <w:t>进度对比表</w:t>
      </w:r>
      <w:bookmarkEnd w:id="11"/>
    </w:p>
    <w:p w14:paraId="70ABE9B5">
      <w:pPr>
        <w:pStyle w:val="3"/>
      </w:pPr>
      <w:r>
        <w:rPr>
          <w:rFonts w:hint="eastAsia"/>
        </w:rPr>
        <w:t>2025年9月28日，四川大学与中国人民解放军63821部队签订《超声波全波形温度场重构理论及方法研究合同》。合同约定研制周期为合同签订日起10个月，乙方应在规定周期内完成项目设计研制、程序开发、集成调试、试验验证、成果交付及测试验收等工作。</w:t>
      </w:r>
    </w:p>
    <w:p w14:paraId="0E31BA8B">
      <w:pPr>
        <w:pStyle w:val="3"/>
      </w:pPr>
      <w:r>
        <w:rPr>
          <w:rFonts w:hint="eastAsia"/>
        </w:rPr>
        <w:t>项目组依据合同及技术任务书规定的研究内容和进度要求，将项目实施过程划分为实施方案编制与评审、热声固耦合及多参数反演方法研究、人工智能温度场反演及项目集成验收三个阶段，并按照“方案设计—理论研究—程序开发—仿真验证—实验验证—程序测试—专家评审—成果交付”的顺序组织实施。</w:t>
      </w:r>
    </w:p>
    <w:p w14:paraId="24CE2EA7">
      <w:pPr>
        <w:pStyle w:val="3"/>
      </w:pPr>
      <w:r>
        <w:rPr>
          <w:rFonts w:hint="eastAsia"/>
        </w:rPr>
        <w:t>项目实施过程中，项目组完成了三个模块的理论方法研究、程序开发、数据生成、试验测试和技术文档编制，完成了《实施方案》《测试大纲》和《测试报告》的专家评审及评审意见整改，并在合同规定周期内完成了项目成果整理、资料提交和验收准备工作。合同约定进度与项目实际完成情况的对比见</w:t>
      </w:r>
      <w:r>
        <w:fldChar w:fldCharType="begin"/>
      </w:r>
      <w:r>
        <w:instrText xml:space="preserve"> </w:instrText>
      </w:r>
      <w:r>
        <w:rPr>
          <w:rFonts w:hint="eastAsia"/>
        </w:rPr>
        <w:instrText xml:space="preserve">REF _Ref235744397 \h</w:instrText>
      </w:r>
      <w:r>
        <w:instrText xml:space="preserve"> </w:instrText>
      </w:r>
      <w:r>
        <w:fldChar w:fldCharType="separate"/>
      </w:r>
      <w:r>
        <w:rPr>
          <w:rFonts w:hint="eastAsia"/>
        </w:rPr>
        <w:t xml:space="preserve">表 </w:t>
      </w:r>
      <w:r>
        <w:t>2</w:t>
      </w:r>
      <w:r>
        <w:noBreakHyphen/>
      </w:r>
      <w:r>
        <w:t>4</w:t>
      </w:r>
      <w:r>
        <w:fldChar w:fldCharType="end"/>
      </w:r>
      <w:r>
        <w:rPr>
          <w:rFonts w:hint="eastAsia"/>
        </w:rPr>
        <w:t>。</w:t>
      </w:r>
    </w:p>
    <w:p w14:paraId="14E09370">
      <w:pPr>
        <w:pStyle w:val="33"/>
      </w:pPr>
      <w:bookmarkStart w:id="12" w:name="_Ref23574439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bookmarkEnd w:id="12"/>
      <w:r>
        <w:rPr>
          <w:rFonts w:hint="eastAsia"/>
        </w:rPr>
        <w:t xml:space="preserve"> </w:t>
      </w:r>
      <w:r>
        <w:t>合同约定进度与项目实际完成情况对比表</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2083"/>
        <w:gridCol w:w="5039"/>
        <w:gridCol w:w="702"/>
      </w:tblGrid>
      <w:tr w14:paraId="55CA0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ign w:val="center"/>
          </w:tcPr>
          <w:p w14:paraId="0684F034">
            <w:pPr>
              <w:pStyle w:val="33"/>
            </w:pPr>
            <w:r>
              <w:t>序号</w:t>
            </w:r>
          </w:p>
        </w:tc>
        <w:tc>
          <w:tcPr>
            <w:tcW w:w="2083" w:type="dxa"/>
            <w:noWrap/>
            <w:vAlign w:val="center"/>
          </w:tcPr>
          <w:p w14:paraId="34FFBD6E">
            <w:pPr>
              <w:pStyle w:val="33"/>
            </w:pPr>
            <w:r>
              <w:t>合同约定的研制进度</w:t>
            </w:r>
          </w:p>
        </w:tc>
        <w:tc>
          <w:tcPr>
            <w:tcW w:w="5039" w:type="dxa"/>
            <w:noWrap/>
            <w:vAlign w:val="center"/>
          </w:tcPr>
          <w:p w14:paraId="5212E3D3">
            <w:pPr>
              <w:pStyle w:val="33"/>
            </w:pPr>
            <w:r>
              <w:t>项目实际完成情况</w:t>
            </w:r>
          </w:p>
        </w:tc>
        <w:tc>
          <w:tcPr>
            <w:tcW w:w="702" w:type="dxa"/>
            <w:noWrap/>
            <w:vAlign w:val="center"/>
          </w:tcPr>
          <w:p w14:paraId="39BAFEB4">
            <w:pPr>
              <w:pStyle w:val="33"/>
            </w:pPr>
            <w:r>
              <w:t>完成情况</w:t>
            </w:r>
          </w:p>
        </w:tc>
      </w:tr>
      <w:tr w14:paraId="1F9A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ign w:val="center"/>
          </w:tcPr>
          <w:p w14:paraId="4342949C">
            <w:pPr>
              <w:pStyle w:val="33"/>
            </w:pPr>
            <w:r>
              <w:t>1</w:t>
            </w:r>
          </w:p>
        </w:tc>
        <w:tc>
          <w:tcPr>
            <w:tcW w:w="2083" w:type="dxa"/>
            <w:noWrap/>
            <w:vAlign w:val="center"/>
          </w:tcPr>
          <w:p w14:paraId="6C4BF238">
            <w:pPr>
              <w:pStyle w:val="33"/>
            </w:pPr>
            <w:r>
              <w:t>合同签订日起2个月内完成实施方案评审。</w:t>
            </w:r>
          </w:p>
        </w:tc>
        <w:tc>
          <w:tcPr>
            <w:tcW w:w="5039" w:type="dxa"/>
            <w:noWrap/>
            <w:vAlign w:val="center"/>
          </w:tcPr>
          <w:p w14:paraId="38984E79">
            <w:pPr>
              <w:pStyle w:val="33"/>
            </w:pPr>
            <w:r>
              <w:t>项目组在合同签订后完成了项目需求分析、总体技术路线设计、三个研究模块划分、研究任务分解、人员安排、质量控制及进度计划编制，形成《超声波全波形温度场重构理论及方法研究实施方案》。2025年10月24日，《实施方案》通过专家评审，并根据专家意见完成修改和定版，完成时间早于合同规定节点。</w:t>
            </w:r>
          </w:p>
        </w:tc>
        <w:tc>
          <w:tcPr>
            <w:tcW w:w="702" w:type="dxa"/>
            <w:noWrap/>
            <w:vAlign w:val="center"/>
          </w:tcPr>
          <w:p w14:paraId="460742CF">
            <w:pPr>
              <w:pStyle w:val="33"/>
            </w:pPr>
            <w:r>
              <w:t>提前完成</w:t>
            </w:r>
          </w:p>
        </w:tc>
      </w:tr>
      <w:tr w14:paraId="5BC5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ign w:val="center"/>
          </w:tcPr>
          <w:p w14:paraId="1528A7EA">
            <w:pPr>
              <w:pStyle w:val="33"/>
            </w:pPr>
            <w:r>
              <w:t>2</w:t>
            </w:r>
          </w:p>
        </w:tc>
        <w:tc>
          <w:tcPr>
            <w:tcW w:w="2083" w:type="dxa"/>
            <w:noWrap/>
            <w:vAlign w:val="center"/>
          </w:tcPr>
          <w:p w14:paraId="53BE8C08">
            <w:pPr>
              <w:pStyle w:val="33"/>
            </w:pPr>
            <w:r>
              <w:t>合同签订日起8个月内完成复合材料中的热声固耦合分析方法、多参数融合温度场反演方法，包括理论方法建立、验证和标准测试算例的模拟计算和验证、实验验证及数据对比分析。</w:t>
            </w:r>
          </w:p>
        </w:tc>
        <w:tc>
          <w:tcPr>
            <w:tcW w:w="5039" w:type="dxa"/>
            <w:noWrap/>
            <w:vAlign w:val="center"/>
          </w:tcPr>
          <w:p w14:paraId="500EE872">
            <w:pPr>
              <w:pStyle w:val="33"/>
            </w:pPr>
            <w:r>
              <w:t>项目组在合同约定的前8个月内完成了模块一“复合材料中的热声固耦合分析方法”和模块二“声学多参数融合的温度场反演方法”的研究。完成了三类材料的温变参数模型、热—声—固耦合计算模型、一维和二维稳态及瞬态标准算例、时域和频域及时频域声学特征提取、声学多参数融合反演、温度场与试件厚度联合反演以及二维弯曲声线处理等研究内容；完成了相应程序开发、标准算例计算、通用软件对比、试验验证及数据分析，形成了模块程序、测试数据和模块技术文档。</w:t>
            </w:r>
          </w:p>
        </w:tc>
        <w:tc>
          <w:tcPr>
            <w:tcW w:w="702" w:type="dxa"/>
            <w:noWrap/>
            <w:vAlign w:val="center"/>
          </w:tcPr>
          <w:p w14:paraId="66F83993">
            <w:pPr>
              <w:pStyle w:val="33"/>
            </w:pPr>
            <w:r>
              <w:t>按期完成</w:t>
            </w:r>
          </w:p>
        </w:tc>
      </w:tr>
      <w:tr w14:paraId="4F3D8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ign w:val="center"/>
          </w:tcPr>
          <w:p w14:paraId="4888BE85">
            <w:pPr>
              <w:pStyle w:val="33"/>
            </w:pPr>
            <w:r>
              <w:t>3</w:t>
            </w:r>
          </w:p>
        </w:tc>
        <w:tc>
          <w:tcPr>
            <w:tcW w:w="2083" w:type="dxa"/>
            <w:noWrap/>
            <w:vAlign w:val="center"/>
          </w:tcPr>
          <w:p w14:paraId="4101CE28">
            <w:pPr>
              <w:pStyle w:val="33"/>
            </w:pPr>
            <w:r>
              <w:t>合同签订日起10个月内完成详细的基于人工智能方法的温度场声学参数反演方法及温度场反演重构方法的测试与验证，完成技术报告撰写、程序测试、实验验证及数据分析，并配合甲方完成验收。</w:t>
            </w:r>
          </w:p>
        </w:tc>
        <w:tc>
          <w:tcPr>
            <w:tcW w:w="5039" w:type="dxa"/>
            <w:noWrap/>
            <w:vAlign w:val="center"/>
          </w:tcPr>
          <w:p w14:paraId="7D4EA633">
            <w:pPr>
              <w:pStyle w:val="33"/>
            </w:pPr>
            <w:r>
              <w:t>项目组在合同约定周期内完成了模块三“基于人工智能的温度场反演方法”的研究，完成了三类材料仿真训练集、实验测试集和温度—声学参数数据库建设，完成了AI温度场重构模型、模型训练与推理、在线增量训练、一维和二维稳态及瞬态温度场重构以及Fortran与Python跨语言调用等功能。项目组完成了三个模块的程序集成、安装运行、程序测试、实验验证、数据分析及技术指标核查。2026年6月5日，《测试大纲》通过专家评审；2026年7月18日，《测试报告》通过专家评审。项目组根据专家意见完成了相关文件整改，并完成技术总结报告、操作手册、程序测试记录、程序代码、数据资料和声像资料的整理与提交，具备合同验收条件。</w:t>
            </w:r>
          </w:p>
        </w:tc>
        <w:tc>
          <w:tcPr>
            <w:tcW w:w="702" w:type="dxa"/>
            <w:noWrap/>
            <w:vAlign w:val="center"/>
          </w:tcPr>
          <w:p w14:paraId="4D4AF248">
            <w:pPr>
              <w:pStyle w:val="33"/>
            </w:pPr>
            <w:r>
              <w:t>按期完成</w:t>
            </w:r>
          </w:p>
        </w:tc>
      </w:tr>
    </w:tbl>
    <w:p w14:paraId="05C2953B">
      <w:pPr>
        <w:pStyle w:val="2"/>
      </w:pPr>
      <w:bookmarkStart w:id="13" w:name="_Toc235910439"/>
      <w:r>
        <w:rPr>
          <w:rFonts w:hint="eastAsia"/>
        </w:rPr>
        <w:t>项目过程情况</w:t>
      </w:r>
      <w:bookmarkEnd w:id="13"/>
    </w:p>
    <w:p w14:paraId="14E399EE">
      <w:pPr>
        <w:pStyle w:val="4"/>
      </w:pPr>
      <w:bookmarkStart w:id="14" w:name="_Toc235910440"/>
      <w:r>
        <w:rPr>
          <w:rFonts w:hint="eastAsia"/>
        </w:rPr>
        <w:t>总体设计方案</w:t>
      </w:r>
      <w:bookmarkEnd w:id="14"/>
    </w:p>
    <w:p w14:paraId="7A94FA5A">
      <w:pPr>
        <w:pStyle w:val="3"/>
      </w:pPr>
      <w:r>
        <w:rPr>
          <w:rFonts w:hint="eastAsia"/>
        </w:rPr>
        <w:t>本项目依据技术任务书、合同及经评审的实施方案开展设计与实施，围绕“复合材料中的热声固耦合分析方法”“声学多参数融合的温度场反演方法”和“基于人工智能的温度场反演方法”三个研究模块，完成了超声波全波形温度场重构总体方案设计，形成了集多物理场正演分析、声学特征提取、物理模型驱动反演、人工智能反演、数据管理和结果可视化于一体的SCU-仿真分析平台。</w:t>
      </w:r>
    </w:p>
    <w:p w14:paraId="4055460E">
      <w:pPr>
        <w:pStyle w:val="3"/>
      </w:pPr>
      <w:r>
        <w:rPr>
          <w:rFonts w:hint="eastAsia"/>
        </w:rPr>
        <w:t>项目设计以技术任务书规定的研究内容和技术指标为约束，以多层材料、金属基复合材料以及碳/硅基复合材料为主要研究对象，覆盖室温至1500 K温度范围内的一维、二维稳态和瞬态温度场重构问题。通过统一正演模型、反演模型、数据接口和评价方法，将三个研究模块组织为相互衔接、相互校核的完整技术体系。</w:t>
      </w:r>
    </w:p>
    <w:p w14:paraId="226D6E90">
      <w:pPr>
        <w:pStyle w:val="3"/>
      </w:pPr>
      <w:r>
        <w:t>本章重点说明项目总体设计以及三个研究模块的研究实施过程、程序实现情况和代表性验证结果；各模块关键技术难点、解决措施及取得的成就见第5章，主要内容及技术指标完成情况见6.2节。</w:t>
      </w:r>
    </w:p>
    <w:p w14:paraId="5B375E3B">
      <w:pPr>
        <w:pStyle w:val="5"/>
      </w:pPr>
      <w:bookmarkStart w:id="15" w:name="_Toc235910441"/>
      <w:r>
        <w:t>设计目标与原则</w:t>
      </w:r>
      <w:bookmarkEnd w:id="15"/>
    </w:p>
    <w:p w14:paraId="7626E80E">
      <w:pPr>
        <w:pStyle w:val="3"/>
      </w:pPr>
      <w:r>
        <w:rPr>
          <w:rFonts w:hint="eastAsia"/>
        </w:rPr>
        <w:t>项目总体设计目标是建立适用于复合材料复杂热环境的超声波全波形温度场重构方法，实现由材料结构、热边界条件和超声激励条件出发，经热—声—固多物理场正演、全波形特征提取、物理模型反演或人工智能反演，最终获得材料内部一维、二维稳态和瞬态温度场的完整技术流程。</w:t>
      </w:r>
    </w:p>
    <w:p w14:paraId="4DA14D22">
      <w:pPr>
        <w:pStyle w:val="3"/>
      </w:pPr>
      <w:r>
        <w:rPr>
          <w:rFonts w:hint="eastAsia"/>
        </w:rPr>
        <w:t>围绕上述目标，项目设计遵循以下原则：</w:t>
      </w:r>
    </w:p>
    <w:p w14:paraId="4018E87E">
      <w:pPr>
        <w:pStyle w:val="3"/>
      </w:pPr>
      <w:r>
        <w:rPr>
          <w:rFonts w:hint="eastAsia"/>
        </w:rPr>
        <w:t>（1）任务书约束原则。以技术任务书规定的研究对象、研究内容、温度范围、温度场类型和技术指标作为总体设计边界，将有关要求分解落实到三个研究模块及其软件功能中。</w:t>
      </w:r>
    </w:p>
    <w:p w14:paraId="169C0D22">
      <w:pPr>
        <w:pStyle w:val="3"/>
      </w:pPr>
      <w:r>
        <w:rPr>
          <w:rFonts w:hint="eastAsia"/>
        </w:rPr>
        <w:t>（2）物理一致性原则。以热传导理论、弹性动力学理论和超声传播规律为基础，建立温度场、应力场、位移场与超声全波形之间的物理联系，保证正演计算、特征提取和反演结果具有明确的物理含义。</w:t>
      </w:r>
    </w:p>
    <w:p w14:paraId="7BB07F47">
      <w:pPr>
        <w:pStyle w:val="3"/>
      </w:pPr>
      <w:r>
        <w:rPr>
          <w:rFonts w:hint="eastAsia"/>
        </w:rPr>
        <w:t>（3）模块化设计原则。将材料建模、网格生成、热场计算、声固耦合计算、特征提取、灵敏度分析、目标函数构建、优化反演、人工智能训练和结果输出等功能分别封装，通过标准化接口实现模块之间的数据传递和功能调用。</w:t>
      </w:r>
    </w:p>
    <w:p w14:paraId="3D0FD442">
      <w:pPr>
        <w:pStyle w:val="3"/>
      </w:pPr>
      <w:r>
        <w:rPr>
          <w:rFonts w:hint="eastAsia"/>
        </w:rPr>
        <w:t>（4）正演与反演协同原则。正演模块为物理模型驱动反演提供传播模型、灵敏度信息和目标响应，同时为人工智能反演提供规模化训练样本；反演结果又可用于修正模型参数、优化样本分布和改进正演模型，从而形成正演与反演之间的闭环关系。</w:t>
      </w:r>
    </w:p>
    <w:p w14:paraId="234EBF6C">
      <w:pPr>
        <w:pStyle w:val="3"/>
      </w:pPr>
      <w:r>
        <w:rPr>
          <w:rFonts w:hint="eastAsia"/>
        </w:rPr>
        <w:t>（5）仿真与试验结合原则。采用标准算例、商业软件对比、数值仿真数据、低温超声实测数据和高温热电偶温度历程对不同层级的模型和算法进行验证，建立从单元功能验证到系统综合验证的验证体系。</w:t>
      </w:r>
    </w:p>
    <w:p w14:paraId="1F1244BD">
      <w:pPr>
        <w:pStyle w:val="3"/>
      </w:pPr>
      <w:r>
        <w:rPr>
          <w:rFonts w:hint="eastAsia"/>
        </w:rPr>
        <w:t>（6）可扩展与可追溯原则。采用统一的数据格式、配置文件、日志记录和版本管理方法，实现模型参数、数据来源、计算过程和结果文件的全过程追溯，并为材料模型、反演算法及人工智能模型的扩展预留接口。</w:t>
      </w:r>
    </w:p>
    <w:p w14:paraId="1AE3CA79">
      <w:pPr>
        <w:pStyle w:val="5"/>
      </w:pPr>
      <w:bookmarkStart w:id="16" w:name="_Toc235910442"/>
      <w:r>
        <w:t>系统总体架构</w:t>
      </w:r>
      <w:bookmarkEnd w:id="16"/>
    </w:p>
    <w:p w14:paraId="2FDB4632">
      <w:pPr>
        <w:pStyle w:val="3"/>
      </w:pPr>
      <w:r>
        <w:t>项目采用“数据与试验支撑层—核心计算层—应用交互层”的分层架构。数据与试验支撑层负责提供材料参数、几何模型、网格信息、热边界条件、超声激励参数、数值仿真数据及试验测量数据；核心计算层由三个研究模块构成，负责完成热—声—固正演分析、声学多参数融合反演和人工智能温度场反演；应用交互层负责项目配置、任务调度、结果显示、数据导出、误差分析和报告生成。超声波全波形温度场重构系统总体架构</w:t>
      </w:r>
      <w:r>
        <w:rPr>
          <w:rFonts w:hint="eastAsia"/>
        </w:rPr>
        <w:t>如</w:t>
      </w:r>
      <w:r>
        <w:fldChar w:fldCharType="begin"/>
      </w:r>
      <w:r>
        <w:instrText xml:space="preserve"> </w:instrText>
      </w:r>
      <w:r>
        <w:rPr>
          <w:rFonts w:hint="eastAsia"/>
        </w:rPr>
        <w:instrText xml:space="preserve">REF _Ref235745504 \h</w:instrText>
      </w:r>
      <w:r>
        <w:instrText xml:space="preserve"> </w:instrText>
      </w:r>
      <w:r>
        <w:fldChar w:fldCharType="separate"/>
      </w:r>
      <w:r>
        <w:rPr>
          <w:rFonts w:hint="eastAsia"/>
        </w:rPr>
        <w:t xml:space="preserve">图 </w:t>
      </w:r>
      <w:r>
        <w:t>3.1</w:t>
      </w:r>
      <w:r>
        <w:fldChar w:fldCharType="end"/>
      </w:r>
      <w:r>
        <w:rPr>
          <w:rFonts w:hint="eastAsia"/>
        </w:rPr>
        <w:t>所示：</w:t>
      </w:r>
    </w:p>
    <w:p w14:paraId="0A20B586">
      <w:pPr>
        <w:pStyle w:val="3"/>
      </w:pPr>
      <w:r>
        <w:rPr>
          <w:rFonts w:hint="eastAsia"/>
        </w:rPr>
        <w:t>系统以材料属性、结构尺寸、温度边界条件和超声激励条件为输入，首先通过热—声—固耦合分析获得温度场、应力场、位移场和超声全波形响应；然后分别进入物理模型驱动反演路线和人工智能反演路线；最后对两条路线获得的温度场结果进行统一后处理、精度评价和可视化输出。</w:t>
      </w:r>
    </w:p>
    <w:p w14:paraId="23E0827D">
      <w:pPr>
        <w:pStyle w:val="3"/>
      </w:pPr>
      <w:r>
        <w:rPr>
          <w:rFonts w:hint="eastAsia"/>
        </w:rPr>
        <w:t>物理模型驱动反演具有物理含义清晰、约束条件明确和结果可解释等特点；人工智能反演具有计算速度快、适合批量处理和在线预测等特点。两条路线既可独立运行，也可相互提供初始条件、先验约束或校核结果，提高复杂温度场重构的稳定性和计算效率。</w:t>
      </w:r>
    </w:p>
    <w:p w14:paraId="76FAC0B6">
      <w:pPr>
        <w:pStyle w:val="33"/>
      </w:pPr>
      <w:r>
        <w:object>
          <v:shape id="_x0000_i1025" o:spt="75" type="#_x0000_t75" style="height:222.5pt;width:414.5pt;" o:ole="t" filled="f" o:preferrelative="t" stroked="f" coordsize="21600,21600">
            <v:path/>
            <v:fill on="f" focussize="0,0"/>
            <v:stroke on="f" joinstyle="miter"/>
            <v:imagedata r:id="rId13" o:title=""/>
            <o:lock v:ext="edit" aspectratio="t"/>
            <w10:wrap type="none"/>
            <w10:anchorlock/>
          </v:shape>
          <o:OLEObject Type="Embed" ProgID="Visio.Drawing.15" ShapeID="_x0000_i1025" DrawAspect="Content" ObjectID="_1468075725" r:id="rId12">
            <o:LockedField>false</o:LockedField>
          </o:OLEObject>
        </w:object>
      </w:r>
    </w:p>
    <w:p w14:paraId="0CBFF504">
      <w:pPr>
        <w:pStyle w:val="33"/>
      </w:pPr>
      <w:bookmarkStart w:id="17" w:name="_Ref23574550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17"/>
      <w:r>
        <w:rPr>
          <w:rFonts w:hint="eastAsia"/>
        </w:rPr>
        <w:t xml:space="preserve"> </w:t>
      </w:r>
      <w:r>
        <w:t>超声波全波形温度场重构系统总体架构</w:t>
      </w:r>
    </w:p>
    <w:p w14:paraId="3B274756">
      <w:pPr>
        <w:pStyle w:val="5"/>
      </w:pPr>
      <w:bookmarkStart w:id="18" w:name="_Toc235910443"/>
      <w:r>
        <w:t>三个研究模块的组成及功能关系</w:t>
      </w:r>
      <w:bookmarkEnd w:id="18"/>
    </w:p>
    <w:p w14:paraId="6CE88083">
      <w:pPr>
        <w:pStyle w:val="3"/>
      </w:pPr>
      <w:r>
        <w:t>项目将技术任务书规定的研究内容分解为三个相互关联的研究模块。三个模块不是彼此独立的程序，而是按照“正演建模—物理反演—智能反演”的逻辑组成完整系统。</w:t>
      </w:r>
    </w:p>
    <w:p w14:paraId="2E970C5D">
      <w:pPr>
        <w:pStyle w:val="3"/>
      </w:pPr>
      <w:r>
        <w:rPr>
          <w:rFonts w:hint="eastAsia"/>
        </w:rPr>
        <w:t>（1）复合材料中的热声固耦合分析模块</w:t>
      </w:r>
    </w:p>
    <w:p w14:paraId="73C21F7A">
      <w:pPr>
        <w:pStyle w:val="3"/>
      </w:pPr>
      <w:r>
        <w:rPr>
          <w:rFonts w:hint="eastAsia"/>
        </w:rPr>
        <w:t>该模块针对多层材料、金属基复合材料以及碳/硅基复合材料，建立材料内部温度场、热应力场、结构响应与超声传播过程之间的耦合模型。模块根据材料参数、结构参数、热边界条件和超声激励条件，计算一维、二维稳态和瞬态温度场，并获得超声波在非均匀温度场和复杂材料界面中的传播响应。</w:t>
      </w:r>
    </w:p>
    <w:p w14:paraId="793E8766">
      <w:pPr>
        <w:pStyle w:val="3"/>
      </w:pPr>
      <w:r>
        <w:rPr>
          <w:rFonts w:hint="eastAsia"/>
        </w:rPr>
        <w:t>模块输出包括温度场、应力场、位移场、超声全波形、声时、幅值、频谱及其他声学特征。这些结果既用于验证热—声—固耦合模型，也作为声学多参数融合反演和人工智能反演的数据基础。</w:t>
      </w:r>
    </w:p>
    <w:p w14:paraId="6EDD4C76">
      <w:pPr>
        <w:pStyle w:val="3"/>
      </w:pPr>
      <w:r>
        <w:rPr>
          <w:rFonts w:hint="eastAsia"/>
        </w:rPr>
        <w:t>（2）声学多参数融合的温度场反演模块</w:t>
      </w:r>
    </w:p>
    <w:p w14:paraId="3ACB472D">
      <w:pPr>
        <w:pStyle w:val="3"/>
      </w:pPr>
      <w:r>
        <w:rPr>
          <w:rFonts w:hint="eastAsia"/>
        </w:rPr>
        <w:t>该模块以热—声—固正演模型为基础，将声时、幅值、频谱、波形相关性及材料和边界先验信息进行融合，构建温度场反演目标函数和约束条件，通过灵敏度分析、参数优化和联合反演获得材料内部温度场。</w:t>
      </w:r>
    </w:p>
    <w:p w14:paraId="23764A03">
      <w:pPr>
        <w:pStyle w:val="3"/>
      </w:pPr>
      <w:r>
        <w:rPr>
          <w:rFonts w:hint="eastAsia"/>
        </w:rPr>
        <w:t>针对温度变化与材料厚度、界面状态及超声传播路径之间的耦合关系，模块建立了温度场与结构参数的联合识别方法，降低单一声时参数反演存在的非唯一性和误差累积问题。该模块输出物理模型驱动的温度场反演结果、结构参数识别结果、目标函数收敛过程和误差评价结果，并为人工智能模型提供具有物理一致性的训练标签和校核数据。</w:t>
      </w:r>
    </w:p>
    <w:p w14:paraId="0C022591">
      <w:pPr>
        <w:pStyle w:val="3"/>
      </w:pPr>
      <w:r>
        <w:rPr>
          <w:rFonts w:hint="eastAsia"/>
        </w:rPr>
        <w:t>（3）基于人工智能的温度场反演模块</w:t>
      </w:r>
    </w:p>
    <w:p w14:paraId="4967E24C">
      <w:pPr>
        <w:pStyle w:val="3"/>
      </w:pPr>
      <w:r>
        <w:rPr>
          <w:rFonts w:hint="eastAsia"/>
        </w:rPr>
        <w:t>该模块以正演仿真数据和试验数据为基础，建立超声全波形或多维声学特征与材料内部温度场之间的非线性映射关系。模型融合时空特征提取、序列信息处理和物理约束机制，实现一维、二维稳态和瞬态温度场的快速反演。</w:t>
      </w:r>
    </w:p>
    <w:p w14:paraId="31616769">
      <w:pPr>
        <w:pStyle w:val="3"/>
      </w:pPr>
      <w:r>
        <w:rPr>
          <w:rFonts w:hint="eastAsia"/>
        </w:rPr>
        <w:t>模块通过仿真样本预训练、试验样本校正、增量训练和独立测试等方式提高模型对不同材料、不同边界条件和不同噪声水平的适应能力。人工智能反演结果既可以直接作为温度场重构结果，也可以作为物理模型驱动反演的初始值或先验分布，缩小优化搜索范围，提高反演效率。</w:t>
      </w:r>
    </w:p>
    <w:p w14:paraId="00C8ECE8">
      <w:pPr>
        <w:pStyle w:val="3"/>
      </w:pPr>
      <w:r>
        <w:t>三个模块的输入、输出及接口关系见</w:t>
      </w:r>
      <w:r>
        <w:fldChar w:fldCharType="begin"/>
      </w:r>
      <w:r>
        <w:instrText xml:space="preserve"> REF _Ref235745730 \h </w:instrText>
      </w:r>
      <w:r>
        <w:fldChar w:fldCharType="separate"/>
      </w:r>
      <w:r>
        <w:rPr>
          <w:rFonts w:hint="eastAsia"/>
        </w:rPr>
        <w:t xml:space="preserve">表 </w:t>
      </w:r>
      <w:r>
        <w:t>3</w:t>
      </w:r>
      <w:r>
        <w:noBreakHyphen/>
      </w:r>
      <w:r>
        <w:t>1</w:t>
      </w:r>
      <w:r>
        <w:fldChar w:fldCharType="end"/>
      </w:r>
    </w:p>
    <w:p w14:paraId="373537E1">
      <w:pPr>
        <w:pStyle w:val="33"/>
      </w:pPr>
      <w:bookmarkStart w:id="19" w:name="_Ref23574573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19"/>
      <w:r>
        <w:rPr>
          <w:rFonts w:hint="eastAsia"/>
        </w:rPr>
        <w:t xml:space="preserve"> </w:t>
      </w:r>
      <w:r>
        <w:t>三个研究模块的功能及接口关系</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5"/>
        <w:gridCol w:w="1892"/>
        <w:gridCol w:w="1683"/>
        <w:gridCol w:w="1627"/>
        <w:gridCol w:w="2213"/>
      </w:tblGrid>
      <w:tr w14:paraId="2D759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pct"/>
            <w:noWrap/>
            <w:vAlign w:val="center"/>
          </w:tcPr>
          <w:p w14:paraId="0FAD840A">
            <w:pPr>
              <w:pStyle w:val="33"/>
            </w:pPr>
            <w:r>
              <w:t>研究模块</w:t>
            </w:r>
          </w:p>
        </w:tc>
        <w:tc>
          <w:tcPr>
            <w:tcW w:w="1085" w:type="pct"/>
            <w:noWrap/>
            <w:vAlign w:val="center"/>
          </w:tcPr>
          <w:p w14:paraId="0EAF35A6">
            <w:pPr>
              <w:pStyle w:val="33"/>
            </w:pPr>
            <w:r>
              <w:t>主要功能</w:t>
            </w:r>
          </w:p>
        </w:tc>
        <w:tc>
          <w:tcPr>
            <w:tcW w:w="965" w:type="pct"/>
            <w:noWrap/>
            <w:vAlign w:val="center"/>
          </w:tcPr>
          <w:p w14:paraId="72A9D5C0">
            <w:pPr>
              <w:pStyle w:val="33"/>
            </w:pPr>
            <w:r>
              <w:t>主要输入</w:t>
            </w:r>
          </w:p>
        </w:tc>
        <w:tc>
          <w:tcPr>
            <w:tcW w:w="933" w:type="pct"/>
            <w:noWrap/>
            <w:vAlign w:val="center"/>
          </w:tcPr>
          <w:p w14:paraId="787A2CA5">
            <w:pPr>
              <w:pStyle w:val="33"/>
            </w:pPr>
            <w:r>
              <w:t>主要输出</w:t>
            </w:r>
          </w:p>
        </w:tc>
        <w:tc>
          <w:tcPr>
            <w:tcW w:w="1269" w:type="pct"/>
            <w:noWrap/>
            <w:vAlign w:val="center"/>
          </w:tcPr>
          <w:p w14:paraId="020FA690">
            <w:pPr>
              <w:pStyle w:val="33"/>
            </w:pPr>
            <w:r>
              <w:t>与其他模块的关系</w:t>
            </w:r>
          </w:p>
        </w:tc>
      </w:tr>
      <w:tr w14:paraId="4F2A0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pct"/>
            <w:noWrap/>
            <w:vAlign w:val="center"/>
          </w:tcPr>
          <w:p w14:paraId="130BB78B">
            <w:pPr>
              <w:pStyle w:val="33"/>
            </w:pPr>
            <w:r>
              <w:t>复合材料中的热声固耦合分析模块</w:t>
            </w:r>
          </w:p>
        </w:tc>
        <w:tc>
          <w:tcPr>
            <w:tcW w:w="1085" w:type="pct"/>
            <w:noWrap/>
            <w:vAlign w:val="center"/>
          </w:tcPr>
          <w:p w14:paraId="438D090B">
            <w:pPr>
              <w:pStyle w:val="33"/>
            </w:pPr>
            <w:r>
              <w:t>计算温度场、应力场、位移场及超声传播全波形，开展声学特征分析</w:t>
            </w:r>
          </w:p>
        </w:tc>
        <w:tc>
          <w:tcPr>
            <w:tcW w:w="965" w:type="pct"/>
            <w:noWrap/>
            <w:vAlign w:val="center"/>
          </w:tcPr>
          <w:p w14:paraId="14A0B1A8">
            <w:pPr>
              <w:pStyle w:val="33"/>
            </w:pPr>
            <w:r>
              <w:t>材料参数、几何结构、网格、热边界条件、超声激励条件</w:t>
            </w:r>
          </w:p>
        </w:tc>
        <w:tc>
          <w:tcPr>
            <w:tcW w:w="933" w:type="pct"/>
            <w:noWrap/>
            <w:vAlign w:val="center"/>
          </w:tcPr>
          <w:p w14:paraId="73CC3885">
            <w:pPr>
              <w:pStyle w:val="33"/>
            </w:pPr>
            <w:r>
              <w:t>温度场、应力场、位移场、超声全波形及声学特征</w:t>
            </w:r>
          </w:p>
        </w:tc>
        <w:tc>
          <w:tcPr>
            <w:tcW w:w="1269" w:type="pct"/>
            <w:noWrap/>
            <w:vAlign w:val="center"/>
          </w:tcPr>
          <w:p w14:paraId="7CA132E2">
            <w:pPr>
              <w:pStyle w:val="33"/>
            </w:pPr>
            <w:r>
              <w:t>为物理反演提供正演模型和灵敏度信息，为人工智能反演提供训练与测试数据</w:t>
            </w:r>
          </w:p>
        </w:tc>
      </w:tr>
      <w:tr w14:paraId="58E3C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pct"/>
            <w:noWrap/>
            <w:vAlign w:val="center"/>
          </w:tcPr>
          <w:p w14:paraId="1BB29CE5">
            <w:pPr>
              <w:pStyle w:val="33"/>
            </w:pPr>
            <w:r>
              <w:t>声学多参数融合的温度场反演模块</w:t>
            </w:r>
          </w:p>
        </w:tc>
        <w:tc>
          <w:tcPr>
            <w:tcW w:w="1085" w:type="pct"/>
            <w:noWrap/>
            <w:vAlign w:val="center"/>
          </w:tcPr>
          <w:p w14:paraId="2E39B8D6">
            <w:pPr>
              <w:pStyle w:val="33"/>
            </w:pPr>
            <w:r>
              <w:t>融合声时、幅值、频谱等参数开展温度场及相关参数联合反演</w:t>
            </w:r>
          </w:p>
        </w:tc>
        <w:tc>
          <w:tcPr>
            <w:tcW w:w="965" w:type="pct"/>
            <w:noWrap/>
            <w:vAlign w:val="center"/>
          </w:tcPr>
          <w:p w14:paraId="7774B3B1">
            <w:pPr>
              <w:pStyle w:val="33"/>
            </w:pPr>
            <w:r>
              <w:t>正演模型、仿真或试验波形、声学特征、边界温度及先验信息</w:t>
            </w:r>
          </w:p>
        </w:tc>
        <w:tc>
          <w:tcPr>
            <w:tcW w:w="933" w:type="pct"/>
            <w:noWrap/>
            <w:vAlign w:val="center"/>
          </w:tcPr>
          <w:p w14:paraId="531E9838">
            <w:pPr>
              <w:pStyle w:val="33"/>
            </w:pPr>
            <w:r>
              <w:t>温度场重构结果、参数识别结果、收敛过程和误差评价</w:t>
            </w:r>
          </w:p>
        </w:tc>
        <w:tc>
          <w:tcPr>
            <w:tcW w:w="1269" w:type="pct"/>
            <w:noWrap/>
            <w:vAlign w:val="center"/>
          </w:tcPr>
          <w:p w14:paraId="57C26D31">
            <w:pPr>
              <w:pStyle w:val="33"/>
            </w:pPr>
            <w:r>
              <w:t>调用正演模块进行迭代计算，为人工智能模型提供物理一致性标签和校核结果</w:t>
            </w:r>
          </w:p>
        </w:tc>
      </w:tr>
      <w:tr w14:paraId="7E83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pct"/>
            <w:noWrap/>
            <w:vAlign w:val="center"/>
          </w:tcPr>
          <w:p w14:paraId="35D367E6">
            <w:pPr>
              <w:pStyle w:val="33"/>
            </w:pPr>
            <w:r>
              <w:t>基于人工智能的温度场反演模块</w:t>
            </w:r>
          </w:p>
        </w:tc>
        <w:tc>
          <w:tcPr>
            <w:tcW w:w="1085" w:type="pct"/>
            <w:noWrap/>
            <w:vAlign w:val="center"/>
          </w:tcPr>
          <w:p w14:paraId="0A45AA31">
            <w:pPr>
              <w:pStyle w:val="33"/>
            </w:pPr>
            <w:r>
              <w:t>建立超声全波形或声学特征与温度场之间的映射，实现快速反演</w:t>
            </w:r>
          </w:p>
        </w:tc>
        <w:tc>
          <w:tcPr>
            <w:tcW w:w="965" w:type="pct"/>
            <w:noWrap/>
            <w:vAlign w:val="center"/>
          </w:tcPr>
          <w:p w14:paraId="2D9EBFCA">
            <w:pPr>
              <w:pStyle w:val="33"/>
            </w:pPr>
            <w:r>
              <w:t>仿真样本、试验样本、温度场标签、材料及工况信息</w:t>
            </w:r>
          </w:p>
        </w:tc>
        <w:tc>
          <w:tcPr>
            <w:tcW w:w="933" w:type="pct"/>
            <w:noWrap/>
            <w:vAlign w:val="center"/>
          </w:tcPr>
          <w:p w14:paraId="3E3085BE">
            <w:pPr>
              <w:pStyle w:val="33"/>
            </w:pPr>
            <w:r>
              <w:t>一维和二维温度场、模型参数、预测结果及评价指标</w:t>
            </w:r>
          </w:p>
        </w:tc>
        <w:tc>
          <w:tcPr>
            <w:tcW w:w="1269" w:type="pct"/>
            <w:noWrap/>
            <w:vAlign w:val="center"/>
          </w:tcPr>
          <w:p w14:paraId="6687B04C">
            <w:pPr>
              <w:pStyle w:val="33"/>
            </w:pPr>
            <w:r>
              <w:t>使用正演和物理反演数据训练，可向物理反演模块提供初始值和先验信息</w:t>
            </w:r>
          </w:p>
        </w:tc>
      </w:tr>
    </w:tbl>
    <w:p w14:paraId="0EDA083F">
      <w:pPr>
        <w:pStyle w:val="5"/>
      </w:pPr>
      <w:bookmarkStart w:id="20" w:name="_Toc235910444"/>
      <w:r>
        <w:t>系统工作流程与数据闭环</w:t>
      </w:r>
      <w:bookmarkEnd w:id="20"/>
    </w:p>
    <w:p w14:paraId="5D7B18A6">
      <w:pPr>
        <w:pStyle w:val="3"/>
      </w:pPr>
      <w:r>
        <w:rPr>
          <w:rFonts w:hint="eastAsia"/>
        </w:rPr>
        <w:t>系统运行过程包括任务配置、正演计算、特征提取、温度场反演、结果评价和数据归档六个主要环节。</w:t>
      </w:r>
    </w:p>
    <w:p w14:paraId="566D883F">
      <w:pPr>
        <w:pStyle w:val="3"/>
      </w:pPr>
      <w:r>
        <w:rPr>
          <w:rFonts w:hint="eastAsia"/>
        </w:rPr>
        <w:t>（1）任务配置。读取材料类型、材料属性、结构尺寸、温度边界条件、超声激励参数、计算网格和求解控制参数，完成输入数据合法性和完整性检查。</w:t>
      </w:r>
    </w:p>
    <w:p w14:paraId="4310C0F6">
      <w:pPr>
        <w:pStyle w:val="3"/>
      </w:pPr>
      <w:r>
        <w:rPr>
          <w:rFonts w:hint="eastAsia"/>
        </w:rPr>
        <w:t>（2）正演计算。根据任务配置开展热传导分析，获得材料内部稳态或瞬态温度场；在此基础上计算温度相关材料参数、热应力和结构响应，并完成超声波传播全波形计算。</w:t>
      </w:r>
    </w:p>
    <w:p w14:paraId="74C782AB">
      <w:pPr>
        <w:pStyle w:val="3"/>
      </w:pPr>
      <w:r>
        <w:rPr>
          <w:rFonts w:hint="eastAsia"/>
        </w:rPr>
        <w:t>（3）特征提取。对仿真或试验超声全波形进行预处理，提取声时、幅值、包络、频谱、相关系数等声学特征，形成统一的特征数据集。</w:t>
      </w:r>
    </w:p>
    <w:p w14:paraId="24ECCA24">
      <w:pPr>
        <w:pStyle w:val="3"/>
      </w:pPr>
      <w:r>
        <w:rPr>
          <w:rFonts w:hint="eastAsia"/>
        </w:rPr>
        <w:t>（4）温度场反演。系统根据任务要求选择物理模型驱动反演路线或人工智能反演路线。物理模型驱动路线通过正演—反演迭代和多参数优化获得温度场；人工智能路线通过训练完成的模型直接预测温度场。对于复杂工况，可采用人工智能结果作为物理反演初始值，形成组合反演模式。</w:t>
      </w:r>
    </w:p>
    <w:p w14:paraId="2B138FD6">
      <w:pPr>
        <w:pStyle w:val="3"/>
      </w:pPr>
      <w:r>
        <w:rPr>
          <w:rFonts w:hint="eastAsia"/>
        </w:rPr>
        <w:t>（5）结果评价。对重构温度场与参考温度场、仿真温度场或试验测温结果进行对比，计算误差、相关性、稳定性和运行效率等评价指标。</w:t>
      </w:r>
    </w:p>
    <w:p w14:paraId="2881C688">
      <w:pPr>
        <w:pStyle w:val="3"/>
      </w:pPr>
      <w:r>
        <w:rPr>
          <w:rFonts w:hint="eastAsia"/>
        </w:rPr>
        <w:t>（6）数据归档。保存输入配置、计算模型、原始波形、特征数据、温度场结果、评价指标和运行日志，保证全过程可查询、可复现和可追溯。</w:t>
      </w:r>
    </w:p>
    <w:p w14:paraId="15AA1551">
      <w:pPr>
        <w:pStyle w:val="5"/>
      </w:pPr>
      <w:bookmarkStart w:id="21" w:name="_Toc235910445"/>
      <w:r>
        <w:t>软件结构与接口设计</w:t>
      </w:r>
      <w:bookmarkEnd w:id="21"/>
    </w:p>
    <w:p w14:paraId="390089F6">
      <w:pPr>
        <w:pStyle w:val="3"/>
      </w:pPr>
      <w:r>
        <w:rPr>
          <w:rFonts w:hint="eastAsia"/>
        </w:rPr>
        <w:t>项目软件运行于Windows环境，核心数值计算程序采用Fortran实现，人工智能模型训练与推理程序采用Python实现，同时预留C/C++接口，以满足不同程序之间的调用和后续功能扩展要求。</w:t>
      </w:r>
    </w:p>
    <w:p w14:paraId="64B96B6C">
      <w:pPr>
        <w:pStyle w:val="3"/>
      </w:pPr>
      <w:r>
        <w:rPr>
          <w:rFonts w:hint="eastAsia"/>
        </w:rPr>
        <w:t>软件采用分层、模块化结构，主要包括基础支撑、正演分析、物理反演、人工智能反演和系统集成五类功能。主要软件模块见</w:t>
      </w:r>
      <w:r>
        <w:fldChar w:fldCharType="begin"/>
      </w:r>
      <w:r>
        <w:instrText xml:space="preserve"> </w:instrText>
      </w:r>
      <w:r>
        <w:rPr>
          <w:rFonts w:hint="eastAsia"/>
        </w:rPr>
        <w:instrText xml:space="preserve">REF _Ref235769768 \h</w:instrText>
      </w:r>
      <w:r>
        <w:instrText xml:space="preserve"> </w:instrText>
      </w:r>
      <w:r>
        <w:fldChar w:fldCharType="separate"/>
      </w:r>
      <w:r>
        <w:rPr>
          <w:rFonts w:hint="eastAsia"/>
        </w:rPr>
        <w:t xml:space="preserve">表 </w:t>
      </w:r>
      <w:r>
        <w:t>3</w:t>
      </w:r>
      <w:r>
        <w:noBreakHyphen/>
      </w:r>
      <w:r>
        <w:t>2</w:t>
      </w:r>
      <w:r>
        <w:fldChar w:fldCharType="end"/>
      </w:r>
      <w:r>
        <w:rPr>
          <w:rFonts w:hint="eastAsia"/>
        </w:rPr>
        <w:t>。</w:t>
      </w:r>
    </w:p>
    <w:p w14:paraId="385AEBE5">
      <w:pPr>
        <w:pStyle w:val="33"/>
      </w:pPr>
      <w:bookmarkStart w:id="22" w:name="_Ref23576976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bookmarkEnd w:id="22"/>
      <w:r>
        <w:rPr>
          <w:rFonts w:hint="eastAsia"/>
        </w:rPr>
        <w:t xml:space="preserve"> </w:t>
      </w:r>
      <w:r>
        <w:t>软件层次及主要功能模块</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3260"/>
        <w:gridCol w:w="3679"/>
      </w:tblGrid>
      <w:tr w14:paraId="5BD65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noWrap/>
            <w:vAlign w:val="center"/>
          </w:tcPr>
          <w:p w14:paraId="13188BFB">
            <w:pPr>
              <w:pStyle w:val="33"/>
            </w:pPr>
            <w:r>
              <w:t>软件层次</w:t>
            </w:r>
          </w:p>
        </w:tc>
        <w:tc>
          <w:tcPr>
            <w:tcW w:w="3260" w:type="dxa"/>
            <w:noWrap/>
            <w:vAlign w:val="center"/>
          </w:tcPr>
          <w:p w14:paraId="2FBEE338">
            <w:pPr>
              <w:pStyle w:val="33"/>
            </w:pPr>
            <w:r>
              <w:t>主要子模块</w:t>
            </w:r>
          </w:p>
        </w:tc>
        <w:tc>
          <w:tcPr>
            <w:tcW w:w="3679" w:type="dxa"/>
            <w:noWrap/>
            <w:vAlign w:val="center"/>
          </w:tcPr>
          <w:p w14:paraId="491F9650">
            <w:pPr>
              <w:pStyle w:val="33"/>
            </w:pPr>
            <w:r>
              <w:t>主要功能</w:t>
            </w:r>
          </w:p>
        </w:tc>
      </w:tr>
      <w:tr w14:paraId="6923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noWrap/>
            <w:vAlign w:val="center"/>
          </w:tcPr>
          <w:p w14:paraId="483C16D3">
            <w:pPr>
              <w:pStyle w:val="33"/>
            </w:pPr>
            <w:r>
              <w:t>基础支撑层</w:t>
            </w:r>
          </w:p>
        </w:tc>
        <w:tc>
          <w:tcPr>
            <w:tcW w:w="3260" w:type="dxa"/>
            <w:noWrap/>
            <w:vAlign w:val="center"/>
          </w:tcPr>
          <w:p w14:paraId="444469FA">
            <w:pPr>
              <w:pStyle w:val="33"/>
            </w:pPr>
            <w:r>
              <w:t>cfg、mesh、mat、io、logx</w:t>
            </w:r>
          </w:p>
        </w:tc>
        <w:tc>
          <w:tcPr>
            <w:tcW w:w="3679" w:type="dxa"/>
            <w:noWrap/>
            <w:vAlign w:val="center"/>
          </w:tcPr>
          <w:p w14:paraId="0FA2870C">
            <w:pPr>
              <w:pStyle w:val="33"/>
            </w:pPr>
            <w:r>
              <w:t>参数配置、网格管理、材料参数管理、数据读写和运行日志管理</w:t>
            </w:r>
          </w:p>
        </w:tc>
      </w:tr>
      <w:tr w14:paraId="23B5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noWrap/>
            <w:vAlign w:val="center"/>
          </w:tcPr>
          <w:p w14:paraId="1327AA34">
            <w:pPr>
              <w:pStyle w:val="33"/>
            </w:pPr>
            <w:r>
              <w:t>正演分析层</w:t>
            </w:r>
          </w:p>
        </w:tc>
        <w:tc>
          <w:tcPr>
            <w:tcW w:w="3260" w:type="dxa"/>
            <w:noWrap/>
            <w:vAlign w:val="center"/>
          </w:tcPr>
          <w:p w14:paraId="73B93EF1">
            <w:pPr>
              <w:pStyle w:val="33"/>
            </w:pPr>
            <w:r>
              <w:t>heat、wave、feature、sens</w:t>
            </w:r>
          </w:p>
        </w:tc>
        <w:tc>
          <w:tcPr>
            <w:tcW w:w="3679" w:type="dxa"/>
            <w:noWrap/>
            <w:vAlign w:val="center"/>
          </w:tcPr>
          <w:p w14:paraId="24B08A48">
            <w:pPr>
              <w:pStyle w:val="33"/>
            </w:pPr>
            <w:r>
              <w:t>热场计算、超声传播计算、全波形特征提取和灵敏度分析</w:t>
            </w:r>
          </w:p>
        </w:tc>
      </w:tr>
      <w:tr w14:paraId="3A234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noWrap/>
            <w:vAlign w:val="center"/>
          </w:tcPr>
          <w:p w14:paraId="09E7D975">
            <w:pPr>
              <w:pStyle w:val="33"/>
            </w:pPr>
            <w:r>
              <w:t>物理反演层</w:t>
            </w:r>
          </w:p>
        </w:tc>
        <w:tc>
          <w:tcPr>
            <w:tcW w:w="3260" w:type="dxa"/>
            <w:noWrap/>
            <w:vAlign w:val="center"/>
          </w:tcPr>
          <w:p w14:paraId="1E8E1B52">
            <w:pPr>
              <w:pStyle w:val="33"/>
            </w:pPr>
            <w:r>
              <w:t>objfun、opt、joint</w:t>
            </w:r>
          </w:p>
        </w:tc>
        <w:tc>
          <w:tcPr>
            <w:tcW w:w="3679" w:type="dxa"/>
            <w:noWrap/>
            <w:vAlign w:val="center"/>
          </w:tcPr>
          <w:p w14:paraId="4CBAED02">
            <w:pPr>
              <w:pStyle w:val="33"/>
            </w:pPr>
            <w:r>
              <w:t>目标函数构建、优化求解以及温度场与相关参数联合反演</w:t>
            </w:r>
          </w:p>
        </w:tc>
      </w:tr>
      <w:tr w14:paraId="45181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noWrap/>
            <w:vAlign w:val="center"/>
          </w:tcPr>
          <w:p w14:paraId="763BE47B">
            <w:pPr>
              <w:pStyle w:val="33"/>
            </w:pPr>
            <w:r>
              <w:t>人工智能层</w:t>
            </w:r>
          </w:p>
        </w:tc>
        <w:tc>
          <w:tcPr>
            <w:tcW w:w="3260" w:type="dxa"/>
            <w:noWrap/>
            <w:vAlign w:val="center"/>
          </w:tcPr>
          <w:p w14:paraId="72B94189">
            <w:pPr>
              <w:pStyle w:val="33"/>
            </w:pPr>
            <w:r>
              <w:t>ai</w:t>
            </w:r>
          </w:p>
        </w:tc>
        <w:tc>
          <w:tcPr>
            <w:tcW w:w="3679" w:type="dxa"/>
            <w:noWrap/>
            <w:vAlign w:val="center"/>
          </w:tcPr>
          <w:p w14:paraId="4814128A">
            <w:pPr>
              <w:pStyle w:val="33"/>
            </w:pPr>
            <w:r>
              <w:t>样本处理、模型训练、模型推理、增量学习和结果评价</w:t>
            </w:r>
          </w:p>
        </w:tc>
      </w:tr>
      <w:tr w14:paraId="31C3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noWrap/>
            <w:vAlign w:val="center"/>
          </w:tcPr>
          <w:p w14:paraId="48118825">
            <w:pPr>
              <w:pStyle w:val="33"/>
            </w:pPr>
            <w:r>
              <w:t>系统集成层</w:t>
            </w:r>
          </w:p>
        </w:tc>
        <w:tc>
          <w:tcPr>
            <w:tcW w:w="3260" w:type="dxa"/>
            <w:noWrap/>
            <w:vAlign w:val="center"/>
          </w:tcPr>
          <w:p w14:paraId="63A0D479">
            <w:pPr>
              <w:pStyle w:val="33"/>
            </w:pPr>
            <w:r>
              <w:t>api、main</w:t>
            </w:r>
          </w:p>
        </w:tc>
        <w:tc>
          <w:tcPr>
            <w:tcW w:w="3679" w:type="dxa"/>
            <w:noWrap/>
            <w:vAlign w:val="center"/>
          </w:tcPr>
          <w:p w14:paraId="2C04086A">
            <w:pPr>
              <w:pStyle w:val="33"/>
            </w:pPr>
            <w:r>
              <w:t>模块调用、任务调度、流程控制、接口封装和系统运行</w:t>
            </w:r>
          </w:p>
        </w:tc>
      </w:tr>
    </w:tbl>
    <w:p w14:paraId="37A79179">
      <w:pPr>
        <w:pStyle w:val="5"/>
      </w:pPr>
      <w:bookmarkStart w:id="23" w:name="_Toc235910446"/>
      <w:r>
        <w:t>仿真与试验验证设计</w:t>
      </w:r>
      <w:bookmarkEnd w:id="23"/>
    </w:p>
    <w:p w14:paraId="3284A1E7">
      <w:pPr>
        <w:pStyle w:val="3"/>
      </w:pPr>
      <w:r>
        <w:rPr>
          <w:rFonts w:hint="eastAsia"/>
        </w:rPr>
        <w:t>为保证设计方案的正确性和技术指标验证的完整性，项目建立了由基础算例验证、模块功能验证、模块间接口验证和系统综合验证组成的分级验证体系。</w:t>
      </w:r>
    </w:p>
    <w:p w14:paraId="2543F7AE">
      <w:pPr>
        <w:pStyle w:val="3"/>
      </w:pPr>
      <w:r>
        <w:rPr>
          <w:rFonts w:hint="eastAsia"/>
        </w:rPr>
        <w:t>第一层为基础算例验证。利用具有解析解或明确参考结果的一维、二维热传导算例及标准超声传播算例，验证网格、材料参数、边界条件、热场求解和波动求解等基础功能。</w:t>
      </w:r>
    </w:p>
    <w:p w14:paraId="3B81A31B">
      <w:pPr>
        <w:pStyle w:val="3"/>
      </w:pPr>
      <w:r>
        <w:rPr>
          <w:rFonts w:hint="eastAsia"/>
        </w:rPr>
        <w:t>第二层为正演模型验证。将热—声—固耦合计算结果与商业有限元软件或公开参考结果进行对比，验证不同材料、不同温度边界和不同结构条件下温度场、应力场及超声响应计算的正确性。</w:t>
      </w:r>
    </w:p>
    <w:p w14:paraId="775B14ED">
      <w:pPr>
        <w:pStyle w:val="3"/>
      </w:pPr>
      <w:r>
        <w:rPr>
          <w:rFonts w:hint="eastAsia"/>
        </w:rPr>
        <w:t>第三层为反演算法验证。以正演模型生成的温度场和超声全波形作为已知参考，对声学多参数融合反演和人工智能反演进行盲测，评价温度场重构精度、噪声适应性、收敛稳定性和计算效率。</w:t>
      </w:r>
    </w:p>
    <w:p w14:paraId="7C3ECB4B">
      <w:pPr>
        <w:pStyle w:val="3"/>
      </w:pPr>
      <w:r>
        <w:rPr>
          <w:rFonts w:hint="eastAsia"/>
        </w:rPr>
        <w:t>第四层为钨钼合金试验及多源数据验证。项目选用两层W30Mo70合金试件作为试验对象，试件平面尺寸为100 mm×100 mm，总厚度为19.2 mm，由厚度分别为9.5mm和9.7mm的两层材料通过耐高温粘结剂粘接组成。围绕一维、二维稳态和瞬态温度场重构需求，设计了低温稳态、低温瞬态、高温瞬态和高温稳态参考四类试验工况，并建立数值仿真与试验数据相结合的宽温域验证方法。</w:t>
      </w:r>
    </w:p>
    <w:p w14:paraId="1009FE8D">
      <w:pPr>
        <w:pStyle w:val="3"/>
      </w:pPr>
      <w:r>
        <w:rPr>
          <w:rFonts w:hint="eastAsia"/>
        </w:rPr>
        <w:t>低温稳态和低温瞬态试验采用恒温加热台对试件进行分级稳态加热或连续升温，并在试件低温面布置四个收发一体式超声探头。四个探头采用分时自发自收脉冲回波方式工作，每一时刻仅选通一个探头完成超声激励和同位置回波接收，按照A—A、B—B、C—C、D—D的顺序循环测量。每个通道对应试件一个局部位置沿厚度方向的超声传播路径，其余未选通探头接收到的声学响应不纳入数据处理和温度场反演。</w:t>
      </w:r>
    </w:p>
    <w:p w14:paraId="6A7715E7">
      <w:pPr>
        <w:pStyle w:val="3"/>
      </w:pPr>
      <w:r>
        <w:rPr>
          <w:rFonts w:hint="eastAsia"/>
        </w:rPr>
        <w:t>单通道分析模式选取A—A通道的自发自收波形，提取探头A对应位置的声时、幅值、包络面积和中心频率等声学参数；四通道分析模式则分别提取A—A、B—B、C—C和D—D四条局部声路的声学参数，并将四个空间测点的数据组合为同一测量帧，用于多测点温度信息融合和二维温度场重构。单通道数据直接来源于四通道测量帧中的A—A通道，不再作为另一套独立试验重复采集和统计。</w:t>
      </w:r>
    </w:p>
    <w:p w14:paraId="75901EF9">
      <w:pPr>
        <w:pStyle w:val="3"/>
      </w:pPr>
      <w:r>
        <w:rPr>
          <w:rFonts w:hint="eastAsia"/>
        </w:rPr>
        <w:t>高温瞬态试验采用氧乙炔火焰对试件高温面进行加热，通过布置于试件内部不同位置的T1～T5热电偶记录瞬态温度变化，同时按照设定的时间间隔完成四通道超声波形采集。热电偶温度、超声波形和通道状态采用统一时间基准进行关联，用于形成高温瞬态条件下的“多点温度—多通道超声全波形”对应数据，支撑高温温度场正演模型校核、多参数融合反演和人工智能温度场重构。</w:t>
      </w:r>
    </w:p>
    <w:p w14:paraId="3501316A">
      <w:pPr>
        <w:pStyle w:val="3"/>
      </w:pPr>
      <w:r>
        <w:rPr>
          <w:rFonts w:hint="eastAsia"/>
        </w:rPr>
        <w:t>高温稳态条件下的声学响应验证引用已验收“面向高温材料的激光超声探测系统研制”项目形成的W30Mo70合金高温激光超声测试成果。该组数据用于分析高温条件下超声声时和波形特征随温度变化的总体规律，并作为本项目室温至1500K温区声学模型及反演结果的高温参考数据。鉴于既有项目采用的试件厚度、激励接收方式和传播路径与本项目接触式压电超声试验不同，相关数据按照独立来源进行管理，并在使用过程中实施温度范围、传播距离和声学参数的统一处理。</w:t>
      </w:r>
    </w:p>
    <w:p w14:paraId="09D18C33">
      <w:pPr>
        <w:pStyle w:val="3"/>
      </w:pPr>
      <w:r>
        <w:rPr>
          <w:rFonts w:hint="eastAsia"/>
        </w:rPr>
        <w:t>第五层为系统综合验证。按照经评审的测试大纲，对三个研究模块及其集成接口进行统一测试，验证输入输出、计算流程、数据格式、反演结果、运行效率和异常处理等功能，并在测试报告中形成完整记录。</w:t>
      </w:r>
    </w:p>
    <w:p w14:paraId="46FC2817">
      <w:pPr>
        <w:pStyle w:val="4"/>
      </w:pPr>
      <w:bookmarkStart w:id="24" w:name="_Toc235910447"/>
      <w:r>
        <w:t>复合材料中的热声固耦合分析方法研究情况</w:t>
      </w:r>
      <w:bookmarkEnd w:id="24"/>
    </w:p>
    <w:p w14:paraId="529AD099">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 xml:space="preserve"> </w:t>
      </w:r>
      <w:r>
        <w:t>热声固耦合分析方法</w:t>
      </w:r>
      <w:r>
        <w:rPr>
          <w:rFonts w:hint="eastAsia"/>
        </w:rPr>
        <w:t>技术指标对比表</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2"/>
        <w:gridCol w:w="456"/>
        <w:gridCol w:w="2426"/>
        <w:gridCol w:w="4604"/>
        <w:gridCol w:w="552"/>
      </w:tblGrid>
      <w:tr w14:paraId="0B705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8415A0C">
            <w:pPr>
              <w:pStyle w:val="33"/>
            </w:pPr>
            <w:r>
              <w:t>模块</w:t>
            </w:r>
          </w:p>
        </w:tc>
        <w:tc>
          <w:tcPr>
            <w:tcW w:w="456" w:type="dxa"/>
            <w:vAlign w:val="center"/>
          </w:tcPr>
          <w:p w14:paraId="1E283762">
            <w:pPr>
              <w:pStyle w:val="33"/>
            </w:pPr>
            <w:r>
              <w:t>类别</w:t>
            </w:r>
          </w:p>
        </w:tc>
        <w:tc>
          <w:tcPr>
            <w:tcW w:w="2426" w:type="dxa"/>
            <w:vAlign w:val="center"/>
          </w:tcPr>
          <w:p w14:paraId="07E166D9">
            <w:pPr>
              <w:pStyle w:val="33"/>
            </w:pPr>
            <w:r>
              <w:t>合同任务书要求</w:t>
            </w:r>
          </w:p>
        </w:tc>
        <w:tc>
          <w:tcPr>
            <w:tcW w:w="4604" w:type="dxa"/>
            <w:vAlign w:val="center"/>
          </w:tcPr>
          <w:p w14:paraId="6D3347CE">
            <w:pPr>
              <w:pStyle w:val="33"/>
            </w:pPr>
            <w:r>
              <w:t>完成情况</w:t>
            </w:r>
          </w:p>
        </w:tc>
        <w:tc>
          <w:tcPr>
            <w:tcW w:w="552" w:type="dxa"/>
            <w:vAlign w:val="center"/>
          </w:tcPr>
          <w:p w14:paraId="635693C8">
            <w:pPr>
              <w:pStyle w:val="33"/>
            </w:pPr>
            <w:r>
              <w:t>对比</w:t>
            </w:r>
          </w:p>
        </w:tc>
      </w:tr>
      <w:tr w14:paraId="13732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vAlign w:val="center"/>
          </w:tcPr>
          <w:p w14:paraId="703456F0">
            <w:pPr>
              <w:pStyle w:val="33"/>
            </w:pPr>
            <w:r>
              <w:t>模块一</w:t>
            </w:r>
          </w:p>
        </w:tc>
        <w:tc>
          <w:tcPr>
            <w:tcW w:w="456" w:type="dxa"/>
            <w:vMerge w:val="restart"/>
            <w:vAlign w:val="center"/>
          </w:tcPr>
          <w:p w14:paraId="22F8255B">
            <w:pPr>
              <w:pStyle w:val="33"/>
            </w:pPr>
            <w:r>
              <w:t>功能要求</w:t>
            </w:r>
          </w:p>
        </w:tc>
        <w:tc>
          <w:tcPr>
            <w:tcW w:w="2426" w:type="dxa"/>
            <w:vAlign w:val="center"/>
          </w:tcPr>
          <w:p w14:paraId="24BDEAC1">
            <w:pPr>
              <w:pStyle w:val="33"/>
            </w:pPr>
            <w:r>
              <w:t>(1)模型适用于三种材料（多层材料、金属基复合材料、碳基/硅基复合材料），材料参数随温度变化，波传播厚度方向（材料厚度要求）：一维条件下，多层材料至少达到5mm厚、金属基复合材料至少达到10mm厚、碳基/硅基复合材料至少达到5mm至8mm厚；二维条件下，多层材料至少达到5mm厚、宽度50mm，金属基复合材料至少达到10mm厚、宽度50mm，碳基/硅基复合材料至少达到5mm至8mm厚、宽度50mm。</w:t>
            </w:r>
          </w:p>
        </w:tc>
        <w:tc>
          <w:tcPr>
            <w:tcW w:w="4604" w:type="dxa"/>
            <w:vAlign w:val="center"/>
          </w:tcPr>
          <w:p w14:paraId="24E3A7A9">
            <w:pPr>
              <w:pStyle w:val="33"/>
            </w:pPr>
            <w:r>
              <w:t>基于非线性热传导模型以及弹性波模型，建立了两层W30Mo70多层材料、W基体/SiC纤维金属基复合材料和SiC纤维/CVI-SiC基体硅基复合材料模型，并将密度、导热系数、比热容、弹性模量及声速等参数设置为随温度变化。</w:t>
            </w:r>
          </w:p>
          <w:p w14:paraId="4CA3C50D">
            <w:pPr>
              <w:pStyle w:val="33"/>
            </w:pPr>
            <w:r>
              <w:t>实际建立的一维模型厚度分别为20 mm、10 mm和10 mm；</w:t>
            </w:r>
          </w:p>
          <w:p w14:paraId="41CB6894">
            <w:pPr>
              <w:pStyle w:val="33"/>
            </w:pPr>
            <w:r>
              <w:t>二维模型尺寸（宽度×厚度）分别为100 mm×20 mm、50 mm×10 mm和50 mm×10 mm。三类模型均完成了一维、二维稳态及瞬态工况运行，能够正常输出温度场、固体场和超声波动场结果。与任务书规定的尺寸下限相比，多层材料和碳基/硅基复合材料的厚度指标超过要求，金属基复合材料的厚度及宽度指标达到要求（</w:t>
            </w:r>
            <w:r>
              <w:fldChar w:fldCharType="begin"/>
            </w:r>
            <w:r>
              <w:instrText xml:space="preserve"> REF _Ref235902152 \h  \* MERGEFORMAT </w:instrText>
            </w:r>
            <w:r>
              <w:fldChar w:fldCharType="separate"/>
            </w:r>
            <w:r>
              <w:rPr>
                <w:rFonts w:hint="eastAsia"/>
              </w:rPr>
              <w:t xml:space="preserve">图 </w:t>
            </w:r>
            <w:r>
              <w:t>3.5</w:t>
            </w:r>
            <w:r>
              <w:fldChar w:fldCharType="end"/>
            </w:r>
            <w:r>
              <w:t>、</w:t>
            </w:r>
            <w:r>
              <w:fldChar w:fldCharType="begin"/>
            </w:r>
            <w:r>
              <w:instrText xml:space="preserve"> REF _Ref235902160 \h  \* MERGEFORMAT </w:instrText>
            </w:r>
            <w:r>
              <w:fldChar w:fldCharType="separate"/>
            </w:r>
            <w:r>
              <w:rPr>
                <w:rFonts w:hint="eastAsia"/>
              </w:rPr>
              <w:t xml:space="preserve">图 </w:t>
            </w:r>
            <w:r>
              <w:t>3.11</w:t>
            </w:r>
            <w:r>
              <w:fldChar w:fldCharType="end"/>
            </w:r>
            <w:r>
              <w:t>、</w:t>
            </w:r>
            <w:r>
              <w:fldChar w:fldCharType="begin"/>
            </w:r>
            <w:r>
              <w:instrText xml:space="preserve"> REF _Ref235902167 \h  \* MERGEFORMAT </w:instrText>
            </w:r>
            <w:r>
              <w:fldChar w:fldCharType="separate"/>
            </w:r>
            <w:r>
              <w:rPr>
                <w:rFonts w:hint="eastAsia"/>
              </w:rPr>
              <w:t xml:space="preserve">图 </w:t>
            </w:r>
            <w:r>
              <w:t>3.17</w:t>
            </w:r>
            <w:r>
              <w:fldChar w:fldCharType="end"/>
            </w:r>
            <w:r>
              <w:t>、</w:t>
            </w:r>
            <w:r>
              <w:fldChar w:fldCharType="begin"/>
            </w:r>
            <w:r>
              <w:instrText xml:space="preserve"> REF _Ref235902169 \h  \* MERGEFORMAT </w:instrText>
            </w:r>
            <w:r>
              <w:fldChar w:fldCharType="separate"/>
            </w:r>
            <w:r>
              <w:rPr>
                <w:rFonts w:hint="eastAsia"/>
              </w:rPr>
              <w:t xml:space="preserve">图 </w:t>
            </w:r>
            <w:r>
              <w:t>3.18</w:t>
            </w:r>
            <w:r>
              <w:fldChar w:fldCharType="end"/>
            </w:r>
            <w:r>
              <w:t>、</w:t>
            </w:r>
            <w:r>
              <w:fldChar w:fldCharType="begin"/>
            </w:r>
            <w:r>
              <w:instrText xml:space="preserve"> REF _Ref235902258 \h  \* MERGEFORMAT </w:instrText>
            </w:r>
            <w:r>
              <w:fldChar w:fldCharType="separate"/>
            </w:r>
            <w:r>
              <w:rPr>
                <w:rFonts w:hint="eastAsia"/>
              </w:rPr>
              <w:t xml:space="preserve">表 </w:t>
            </w:r>
            <w:r>
              <w:t>3</w:t>
            </w:r>
            <w:r>
              <w:noBreakHyphen/>
            </w:r>
            <w:r>
              <w:t>4</w:t>
            </w:r>
            <w:r>
              <w:fldChar w:fldCharType="end"/>
            </w:r>
            <w:r>
              <w:t>）。</w:t>
            </w:r>
          </w:p>
        </w:tc>
        <w:tc>
          <w:tcPr>
            <w:tcW w:w="552" w:type="dxa"/>
            <w:vAlign w:val="center"/>
          </w:tcPr>
          <w:p w14:paraId="3377BBF9">
            <w:pPr>
              <w:pStyle w:val="33"/>
            </w:pPr>
            <w:r>
              <w:t>完成</w:t>
            </w:r>
          </w:p>
        </w:tc>
      </w:tr>
      <w:tr w14:paraId="4890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42C09D38">
            <w:pPr>
              <w:pStyle w:val="33"/>
            </w:pPr>
          </w:p>
        </w:tc>
        <w:tc>
          <w:tcPr>
            <w:tcW w:w="456" w:type="dxa"/>
            <w:vMerge w:val="continue"/>
            <w:vAlign w:val="center"/>
          </w:tcPr>
          <w:p w14:paraId="725C4C80">
            <w:pPr>
              <w:pStyle w:val="33"/>
            </w:pPr>
          </w:p>
        </w:tc>
        <w:tc>
          <w:tcPr>
            <w:tcW w:w="2426" w:type="dxa"/>
            <w:vAlign w:val="center"/>
          </w:tcPr>
          <w:p w14:paraId="59EFBE90">
            <w:pPr>
              <w:pStyle w:val="33"/>
            </w:pPr>
            <w:r>
              <w:t>(2)室温至1500K温度条件下，基于有限元法（FEM）或有限差分法（FDM）或谱元法（SEM）进行热声固多物理场耦合求解（在时域、频域、时频耦合域内的数值求解）</w:t>
            </w:r>
          </w:p>
        </w:tc>
        <w:tc>
          <w:tcPr>
            <w:tcW w:w="4604" w:type="dxa"/>
            <w:vAlign w:val="center"/>
          </w:tcPr>
          <w:p w14:paraId="5D6E8216">
            <w:pPr>
              <w:pStyle w:val="33"/>
            </w:pPr>
            <w:r>
              <w:t>采用Gmsh完成几何离散与网格划分，利用自主开发的Fortran有限元程序，按照“热传导场计算—温度相关材料参数更新—热弹性固体场计算—超声波传播计算”的顺序实现热、声、固场量传递与耦合。计算温度范围覆盖300～1500 K，并完成三类材料的一维、二维稳态及瞬态工况求解。时域内获得温度、位移、应力及超声接收波形等结果；频域内通过FFT获得振幅谱、中心频率等特征；时频域内通过STFT和Morlet小波分析获得超声信号能量随时间和频率的变化结果。程序能够稳定输出各物理场曲线、云图及声学特征，相关结果与COMSOL对比一致，表明室温至1500 K范围内的热—声—固多物理场有限元耦合及时域、频域、时频域分析功能已经完成，本项指标达到要求（</w:t>
            </w:r>
            <w:r>
              <w:fldChar w:fldCharType="begin"/>
            </w:r>
            <w:r>
              <w:instrText xml:space="preserve"> REF _Ref235902380 \h  \* MERGEFORMAT </w:instrText>
            </w:r>
            <w:r>
              <w:fldChar w:fldCharType="separate"/>
            </w:r>
            <w:r>
              <w:t>图 3.2</w:t>
            </w:r>
            <w:r>
              <w:fldChar w:fldCharType="end"/>
            </w:r>
            <w:r>
              <w:t>、</w:t>
            </w:r>
            <w:r>
              <w:fldChar w:fldCharType="begin"/>
            </w:r>
            <w:r>
              <w:instrText xml:space="preserve"> REF _Ref235902425 \r \h  \* MERGEFORMAT </w:instrText>
            </w:r>
            <w:r>
              <w:fldChar w:fldCharType="separate"/>
            </w:r>
            <w:r>
              <w:t>3.2.2</w:t>
            </w:r>
            <w:r>
              <w:fldChar w:fldCharType="end"/>
            </w:r>
            <w:r>
              <w:t>节）。</w:t>
            </w:r>
          </w:p>
        </w:tc>
        <w:tc>
          <w:tcPr>
            <w:tcW w:w="552" w:type="dxa"/>
            <w:vAlign w:val="center"/>
          </w:tcPr>
          <w:p w14:paraId="738175C8">
            <w:pPr>
              <w:pStyle w:val="33"/>
            </w:pPr>
            <w:r>
              <w:t>完成</w:t>
            </w:r>
          </w:p>
        </w:tc>
      </w:tr>
      <w:tr w14:paraId="78F6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69AB3E26">
            <w:pPr>
              <w:pStyle w:val="33"/>
            </w:pPr>
          </w:p>
        </w:tc>
        <w:tc>
          <w:tcPr>
            <w:tcW w:w="456" w:type="dxa"/>
            <w:vMerge w:val="continue"/>
            <w:vAlign w:val="center"/>
          </w:tcPr>
          <w:p w14:paraId="697C2E0A">
            <w:pPr>
              <w:pStyle w:val="33"/>
            </w:pPr>
          </w:p>
        </w:tc>
        <w:tc>
          <w:tcPr>
            <w:tcW w:w="2426" w:type="dxa"/>
            <w:vAlign w:val="center"/>
          </w:tcPr>
          <w:p w14:paraId="5BFF2799">
            <w:pPr>
              <w:pStyle w:val="33"/>
            </w:pPr>
            <w:r>
              <w:t>(3)计算温度场、波动场、固体场，后处理可提取相关声学参数，时域：声时、幅值、回波上包络面积等；频域：振幅谱、中心频率等</w:t>
            </w:r>
          </w:p>
        </w:tc>
        <w:tc>
          <w:tcPr>
            <w:tcW w:w="4604" w:type="dxa"/>
            <w:vAlign w:val="center"/>
          </w:tcPr>
          <w:p w14:paraId="669EFCFC">
            <w:pPr>
              <w:pStyle w:val="33"/>
            </w:pPr>
            <w:r>
              <w:t>已实现温度场、超声波动场以及固体位移场的同步计算与结果输出，可生成典型测点时程曲线和典型时刻场分布云图。针对接收端超声波形，程序利用Hilbert包络及回波识别方法计算传播声时、峰值幅度和回波上包络面积；利用FFT获得振幅谱，并根据频谱分布提取中心频率。上述场量和声学特征已在三类材料的一维、二维稳态及瞬态测试中完成提取，并用于后续温度敏感性分析和温度场反演，相关功能运行正常（</w:t>
            </w:r>
            <w:r>
              <w:fldChar w:fldCharType="begin"/>
            </w:r>
            <w:r>
              <w:instrText xml:space="preserve"> REF _Ref235902522 \h  \* MERGEFORMAT </w:instrText>
            </w:r>
            <w:r>
              <w:fldChar w:fldCharType="separate"/>
            </w:r>
            <w:r>
              <w:rPr>
                <w:rFonts w:hint="eastAsia"/>
              </w:rPr>
              <w:t xml:space="preserve">图 </w:t>
            </w:r>
            <w:r>
              <w:t>3.7</w:t>
            </w:r>
            <w:r>
              <w:fldChar w:fldCharType="end"/>
            </w:r>
            <w:r>
              <w:t>、</w:t>
            </w:r>
            <w:r>
              <w:fldChar w:fldCharType="begin"/>
            </w:r>
            <w:r>
              <w:instrText xml:space="preserve"> REF _Ref235902523 \h  \* MERGEFORMAT </w:instrText>
            </w:r>
            <w:r>
              <w:fldChar w:fldCharType="separate"/>
            </w:r>
            <w:r>
              <w:rPr>
                <w:rFonts w:hint="eastAsia"/>
              </w:rPr>
              <w:t xml:space="preserve">图 </w:t>
            </w:r>
            <w:r>
              <w:t>3.8</w:t>
            </w:r>
            <w:r>
              <w:fldChar w:fldCharType="end"/>
            </w:r>
            <w:r>
              <w:t>、</w:t>
            </w:r>
            <w:r>
              <w:fldChar w:fldCharType="begin"/>
            </w:r>
            <w:r>
              <w:instrText xml:space="preserve"> REF _Ref235902525 \h  \* MERGEFORMAT </w:instrText>
            </w:r>
            <w:r>
              <w:fldChar w:fldCharType="separate"/>
            </w:r>
            <w:r>
              <w:rPr>
                <w:rFonts w:hint="eastAsia"/>
              </w:rPr>
              <w:t xml:space="preserve">图 </w:t>
            </w:r>
            <w:r>
              <w:t>3.9</w:t>
            </w:r>
            <w:r>
              <w:fldChar w:fldCharType="end"/>
            </w:r>
            <w:r>
              <w:t>、</w:t>
            </w:r>
            <w:r>
              <w:fldChar w:fldCharType="begin"/>
            </w:r>
            <w:r>
              <w:instrText xml:space="preserve"> REF _Ref235902527 \h  \* MERGEFORMAT </w:instrText>
            </w:r>
            <w:r>
              <w:fldChar w:fldCharType="separate"/>
            </w:r>
            <w:r>
              <w:rPr>
                <w:rFonts w:hint="eastAsia"/>
              </w:rPr>
              <w:t xml:space="preserve">图 </w:t>
            </w:r>
            <w:r>
              <w:t>3.10</w:t>
            </w:r>
            <w:r>
              <w:fldChar w:fldCharType="end"/>
            </w:r>
            <w:r>
              <w:t>、</w:t>
            </w:r>
            <w:r>
              <w:fldChar w:fldCharType="begin"/>
            </w:r>
            <w:r>
              <w:instrText xml:space="preserve"> REF _Ref235902534 \h  \* MERGEFORMAT </w:instrText>
            </w:r>
            <w:r>
              <w:fldChar w:fldCharType="separate"/>
            </w:r>
            <w:r>
              <w:rPr>
                <w:rFonts w:hint="eastAsia"/>
              </w:rPr>
              <w:t xml:space="preserve">图 </w:t>
            </w:r>
            <w:r>
              <w:t>3.13</w:t>
            </w:r>
            <w:r>
              <w:fldChar w:fldCharType="end"/>
            </w:r>
            <w:r>
              <w:t>、</w:t>
            </w:r>
            <w:r>
              <w:fldChar w:fldCharType="begin"/>
            </w:r>
            <w:r>
              <w:instrText xml:space="preserve"> REF _Ref235902535 \h  \* MERGEFORMAT </w:instrText>
            </w:r>
            <w:r>
              <w:fldChar w:fldCharType="separate"/>
            </w:r>
            <w:r>
              <w:rPr>
                <w:rFonts w:hint="eastAsia"/>
              </w:rPr>
              <w:t xml:space="preserve">图 </w:t>
            </w:r>
            <w:r>
              <w:t>3.14</w:t>
            </w:r>
            <w:r>
              <w:fldChar w:fldCharType="end"/>
            </w:r>
            <w:r>
              <w:t>、</w:t>
            </w:r>
            <w:r>
              <w:fldChar w:fldCharType="begin"/>
            </w:r>
            <w:r>
              <w:instrText xml:space="preserve"> REF _Ref235902537 \h  \* MERGEFORMAT </w:instrText>
            </w:r>
            <w:r>
              <w:fldChar w:fldCharType="separate"/>
            </w:r>
            <w:r>
              <w:rPr>
                <w:rFonts w:hint="eastAsia"/>
              </w:rPr>
              <w:t xml:space="preserve">图 </w:t>
            </w:r>
            <w:r>
              <w:t>3.15</w:t>
            </w:r>
            <w:r>
              <w:fldChar w:fldCharType="end"/>
            </w:r>
            <w:r>
              <w:t>、</w:t>
            </w:r>
            <w:r>
              <w:fldChar w:fldCharType="begin"/>
            </w:r>
            <w:r>
              <w:instrText xml:space="preserve"> REF _Ref235902539 \h  \* MERGEFORMAT </w:instrText>
            </w:r>
            <w:r>
              <w:fldChar w:fldCharType="separate"/>
            </w:r>
            <w:r>
              <w:rPr>
                <w:rFonts w:hint="eastAsia"/>
              </w:rPr>
              <w:t xml:space="preserve">图 </w:t>
            </w:r>
            <w:r>
              <w:t>3.20</w:t>
            </w:r>
            <w:r>
              <w:fldChar w:fldCharType="end"/>
            </w:r>
            <w:r>
              <w:t>、</w:t>
            </w:r>
            <w:r>
              <w:fldChar w:fldCharType="begin"/>
            </w:r>
            <w:r>
              <w:instrText xml:space="preserve"> REF _Ref235902541 \h  \* MERGEFORMAT </w:instrText>
            </w:r>
            <w:r>
              <w:fldChar w:fldCharType="separate"/>
            </w:r>
            <w:r>
              <w:rPr>
                <w:rFonts w:hint="eastAsia"/>
              </w:rPr>
              <w:t xml:space="preserve">图 </w:t>
            </w:r>
            <w:r>
              <w:t>3.21</w:t>
            </w:r>
            <w:r>
              <w:fldChar w:fldCharType="end"/>
            </w:r>
            <w:r>
              <w:t>、</w:t>
            </w:r>
            <w:r>
              <w:fldChar w:fldCharType="begin"/>
            </w:r>
            <w:r>
              <w:instrText xml:space="preserve"> REF _Ref235902549 \h  \* MERGEFORMAT </w:instrText>
            </w:r>
            <w:r>
              <w:fldChar w:fldCharType="separate"/>
            </w:r>
            <w:r>
              <w:rPr>
                <w:rFonts w:hint="eastAsia"/>
              </w:rPr>
              <w:t xml:space="preserve">图 </w:t>
            </w:r>
            <w:r>
              <w:t>3.24</w:t>
            </w:r>
            <w:r>
              <w:fldChar w:fldCharType="end"/>
            </w:r>
            <w:r>
              <w:t>）。</w:t>
            </w:r>
          </w:p>
        </w:tc>
        <w:tc>
          <w:tcPr>
            <w:tcW w:w="552" w:type="dxa"/>
            <w:vAlign w:val="center"/>
          </w:tcPr>
          <w:p w14:paraId="7C5C38AB">
            <w:pPr>
              <w:pStyle w:val="33"/>
            </w:pPr>
            <w:r>
              <w:t>完成</w:t>
            </w:r>
          </w:p>
        </w:tc>
      </w:tr>
      <w:tr w14:paraId="72B04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34B88473">
            <w:pPr>
              <w:pStyle w:val="33"/>
            </w:pPr>
          </w:p>
        </w:tc>
        <w:tc>
          <w:tcPr>
            <w:tcW w:w="456" w:type="dxa"/>
            <w:vMerge w:val="continue"/>
            <w:vAlign w:val="center"/>
          </w:tcPr>
          <w:p w14:paraId="25BE0BB7">
            <w:pPr>
              <w:pStyle w:val="33"/>
            </w:pPr>
          </w:p>
        </w:tc>
        <w:tc>
          <w:tcPr>
            <w:tcW w:w="2426" w:type="dxa"/>
            <w:vAlign w:val="center"/>
          </w:tcPr>
          <w:p w14:paraId="06D44074">
            <w:pPr>
              <w:pStyle w:val="33"/>
            </w:pPr>
            <w:r>
              <w:t>(4)给出时域、频域、时频耦合域中声学参数对温度敏感性分析的仿真报告</w:t>
            </w:r>
          </w:p>
        </w:tc>
        <w:tc>
          <w:tcPr>
            <w:tcW w:w="4604" w:type="dxa"/>
            <w:vAlign w:val="center"/>
          </w:tcPr>
          <w:p w14:paraId="17B954DF">
            <w:pPr>
              <w:pStyle w:val="33"/>
            </w:pPr>
            <w:r>
              <w:t>在保持材料结构、边界条件和激励参数一致的情况下，对300～1500K范围内不同温度工况进行分组计算，并以温度为自变量，对提取的声学特征进行归一化和对比分析。时域分析包括声时、峰值幅度和回波上包络面积随温度的变化；频域分析包括振幅谱及中心频率随温度的变化；时频耦合域采用STFT和Morlet小波分析超声信号能量分布随时间、频率和温度的变化。完成了二维稳态及瞬态场景，已形成声学参数—温度关系曲线、时频图和对比分析结果，并纳入测试报告及其附件，为后续温度场反演筛选温度敏感参数提供了依据，本项指标完成（</w:t>
            </w:r>
            <w:r>
              <w:fldChar w:fldCharType="begin"/>
            </w:r>
            <w:r>
              <w:instrText xml:space="preserve"> REF _Ref235902664 \r \h  \* MERGEFORMAT </w:instrText>
            </w:r>
            <w:r>
              <w:fldChar w:fldCharType="separate"/>
            </w:r>
            <w:r>
              <w:t>3.2.7</w:t>
            </w:r>
            <w:r>
              <w:fldChar w:fldCharType="end"/>
            </w:r>
            <w:r>
              <w:t>节）。</w:t>
            </w:r>
          </w:p>
        </w:tc>
        <w:tc>
          <w:tcPr>
            <w:tcW w:w="552" w:type="dxa"/>
            <w:vAlign w:val="center"/>
          </w:tcPr>
          <w:p w14:paraId="3BF9A15D">
            <w:pPr>
              <w:pStyle w:val="33"/>
            </w:pPr>
            <w:r>
              <w:t>完成</w:t>
            </w:r>
          </w:p>
        </w:tc>
      </w:tr>
      <w:tr w14:paraId="3CB1F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6FEE35A8">
            <w:pPr>
              <w:pStyle w:val="33"/>
            </w:pPr>
          </w:p>
        </w:tc>
        <w:tc>
          <w:tcPr>
            <w:tcW w:w="456" w:type="dxa"/>
            <w:vMerge w:val="restart"/>
            <w:vAlign w:val="center"/>
          </w:tcPr>
          <w:p w14:paraId="208D5D27">
            <w:pPr>
              <w:pStyle w:val="33"/>
            </w:pPr>
            <w:r>
              <w:t>性能指标</w:t>
            </w:r>
          </w:p>
        </w:tc>
        <w:tc>
          <w:tcPr>
            <w:tcW w:w="2426" w:type="dxa"/>
            <w:vAlign w:val="center"/>
          </w:tcPr>
          <w:p w14:paraId="6A3B6307">
            <w:pPr>
              <w:pStyle w:val="33"/>
            </w:pPr>
            <w:r>
              <w:t>(5)与通用软件或实验结果比较，耦合分析所得的温度、结构位移、声学特性（声速或幅值或衰减系数等）的预测相对误差≤10%；</w:t>
            </w:r>
          </w:p>
        </w:tc>
        <w:tc>
          <w:tcPr>
            <w:tcW w:w="4604" w:type="dxa"/>
            <w:vAlign w:val="center"/>
          </w:tcPr>
          <w:p w14:paraId="0352F6C9">
            <w:pPr>
              <w:pStyle w:val="33"/>
            </w:pPr>
            <w:r>
              <w:t>项目在统一几何模型、材料参数、边界条件、物理单位和采样时刻的条件下，对三类材料一维、二维工况的温度场、结构位移和声学特征进行了对比。测试结果显示：温度场全场最大逐点相对误差为1.232%，；结构位移场全场最大逐点相对误差为3.843%；声学特征最大相对误差为3.629%。上述各项最大误差均低于10%，表明自主程序与COMSOL计算结果具有良好的一致性，本项指标达到要求（</w:t>
            </w:r>
            <w:r>
              <w:fldChar w:fldCharType="begin"/>
            </w:r>
            <w:r>
              <w:instrText xml:space="preserve"> REF _Ref235902770 \r \h  \* MERGEFORMAT </w:instrText>
            </w:r>
            <w:r>
              <w:fldChar w:fldCharType="separate"/>
            </w:r>
            <w:r>
              <w:t>3.2.4.2</w:t>
            </w:r>
            <w:r>
              <w:fldChar w:fldCharType="end"/>
            </w:r>
            <w:r>
              <w:t>节、</w:t>
            </w:r>
            <w:r>
              <w:fldChar w:fldCharType="begin"/>
            </w:r>
            <w:r>
              <w:instrText xml:space="preserve"> REF _Ref235902773 \r \h  \* MERGEFORMAT </w:instrText>
            </w:r>
            <w:r>
              <w:fldChar w:fldCharType="separate"/>
            </w:r>
            <w:r>
              <w:t>3.2.4.3</w:t>
            </w:r>
            <w:r>
              <w:fldChar w:fldCharType="end"/>
            </w:r>
            <w:r>
              <w:t>节、</w:t>
            </w:r>
            <w:r>
              <w:fldChar w:fldCharType="begin"/>
            </w:r>
            <w:r>
              <w:instrText xml:space="preserve"> REF _Ref235902780 \r \h  \* MERGEFORMAT </w:instrText>
            </w:r>
            <w:r>
              <w:fldChar w:fldCharType="separate"/>
            </w:r>
            <w:r>
              <w:t>3.2.5.2</w:t>
            </w:r>
            <w:r>
              <w:fldChar w:fldCharType="end"/>
            </w:r>
            <w:r>
              <w:t>节、</w:t>
            </w:r>
            <w:r>
              <w:fldChar w:fldCharType="begin"/>
            </w:r>
            <w:r>
              <w:instrText xml:space="preserve"> REF _Ref235902782 \r \h  \* MERGEFORMAT </w:instrText>
            </w:r>
            <w:r>
              <w:fldChar w:fldCharType="separate"/>
            </w:r>
            <w:r>
              <w:t>3.2.6.3</w:t>
            </w:r>
            <w:r>
              <w:fldChar w:fldCharType="end"/>
            </w:r>
            <w:r>
              <w:t>节）。</w:t>
            </w:r>
          </w:p>
        </w:tc>
        <w:tc>
          <w:tcPr>
            <w:tcW w:w="552" w:type="dxa"/>
            <w:vAlign w:val="center"/>
          </w:tcPr>
          <w:p w14:paraId="20D23E6F">
            <w:pPr>
              <w:pStyle w:val="33"/>
            </w:pPr>
            <w:r>
              <w:t>完成</w:t>
            </w:r>
          </w:p>
        </w:tc>
      </w:tr>
      <w:tr w14:paraId="5AAB3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11946A42">
            <w:pPr>
              <w:pStyle w:val="33"/>
            </w:pPr>
          </w:p>
        </w:tc>
        <w:tc>
          <w:tcPr>
            <w:tcW w:w="456" w:type="dxa"/>
            <w:vMerge w:val="continue"/>
            <w:vAlign w:val="center"/>
          </w:tcPr>
          <w:p w14:paraId="05BD2419">
            <w:pPr>
              <w:pStyle w:val="33"/>
            </w:pPr>
          </w:p>
        </w:tc>
        <w:tc>
          <w:tcPr>
            <w:tcW w:w="2426" w:type="dxa"/>
            <w:vAlign w:val="center"/>
          </w:tcPr>
          <w:p w14:paraId="441E7673">
            <w:pPr>
              <w:pStyle w:val="33"/>
            </w:pPr>
            <w:r>
              <w:t>(6)支持上述三种不同材料瞬态和稳态耦合特性的数值仿真，后处理可以获得典型点三场特性随时间的变化曲线以及整个材料三场特性典型时刻的云图。</w:t>
            </w:r>
          </w:p>
        </w:tc>
        <w:tc>
          <w:tcPr>
            <w:tcW w:w="4604" w:type="dxa"/>
            <w:vAlign w:val="center"/>
          </w:tcPr>
          <w:p w14:paraId="5FB2E96D">
            <w:pPr>
              <w:pStyle w:val="33"/>
            </w:pPr>
            <w:r>
              <w:t>项目已完成多层材料、金属基复合材料和硅基复合材料共6类一维、二维模型的稳态及瞬态热—声—固耦合计算。程序可在指定监测点连续输出温度、结构位移和波动速度随时间变化的曲线，并可在设定时刻输出整个模型的温度场、固体位移场和波动场云图。结果能够反映升温过程、热致位移演化以及超声波传播、反射和透射过程；典型点温度时程最大NRMSE为1.451%，位移时程最大NRMSE为2.938%，典型时刻波动场最大逐点相对误差为3.437%，均低于10%。三类材料的稳态、瞬态曲线和云图输出功能均已完成并通过测试，本项指标达到要求（</w:t>
            </w:r>
            <w:r>
              <w:fldChar w:fldCharType="begin"/>
            </w:r>
            <w:r>
              <w:instrText xml:space="preserve"> REF _Ref235902522 \h  \* MERGEFORMAT </w:instrText>
            </w:r>
            <w:r>
              <w:fldChar w:fldCharType="separate"/>
            </w:r>
            <w:r>
              <w:rPr>
                <w:rFonts w:hint="eastAsia"/>
              </w:rPr>
              <w:t xml:space="preserve">图 </w:t>
            </w:r>
            <w:r>
              <w:t>3.7</w:t>
            </w:r>
            <w:r>
              <w:fldChar w:fldCharType="end"/>
            </w:r>
            <w:r>
              <w:t>、</w:t>
            </w:r>
            <w:r>
              <w:fldChar w:fldCharType="begin"/>
            </w:r>
            <w:r>
              <w:instrText xml:space="preserve"> REF _Ref235902523 \h  \* MERGEFORMAT </w:instrText>
            </w:r>
            <w:r>
              <w:fldChar w:fldCharType="separate"/>
            </w:r>
            <w:r>
              <w:rPr>
                <w:rFonts w:hint="eastAsia"/>
              </w:rPr>
              <w:t xml:space="preserve">图 </w:t>
            </w:r>
            <w:r>
              <w:t>3.8</w:t>
            </w:r>
            <w:r>
              <w:fldChar w:fldCharType="end"/>
            </w:r>
            <w:r>
              <w:t>、</w:t>
            </w:r>
            <w:r>
              <w:fldChar w:fldCharType="begin"/>
            </w:r>
            <w:r>
              <w:instrText xml:space="preserve"> REF _Ref235902525 \h  \* MERGEFORMAT </w:instrText>
            </w:r>
            <w:r>
              <w:fldChar w:fldCharType="separate"/>
            </w:r>
            <w:r>
              <w:rPr>
                <w:rFonts w:hint="eastAsia"/>
              </w:rPr>
              <w:t xml:space="preserve">图 </w:t>
            </w:r>
            <w:r>
              <w:t>3.9</w:t>
            </w:r>
            <w:r>
              <w:fldChar w:fldCharType="end"/>
            </w:r>
            <w:r>
              <w:t>、</w:t>
            </w:r>
            <w:r>
              <w:fldChar w:fldCharType="begin"/>
            </w:r>
            <w:r>
              <w:instrText xml:space="preserve"> REF _Ref235902527 \h  \* MERGEFORMAT </w:instrText>
            </w:r>
            <w:r>
              <w:fldChar w:fldCharType="separate"/>
            </w:r>
            <w:r>
              <w:rPr>
                <w:rFonts w:hint="eastAsia"/>
              </w:rPr>
              <w:t xml:space="preserve">图 </w:t>
            </w:r>
            <w:r>
              <w:t>3.10</w:t>
            </w:r>
            <w:r>
              <w:fldChar w:fldCharType="end"/>
            </w:r>
            <w:r>
              <w:t>、</w:t>
            </w:r>
            <w:r>
              <w:fldChar w:fldCharType="begin"/>
            </w:r>
            <w:r>
              <w:instrText xml:space="preserve"> REF _Ref235902534 \h  \* MERGEFORMAT </w:instrText>
            </w:r>
            <w:r>
              <w:fldChar w:fldCharType="separate"/>
            </w:r>
            <w:r>
              <w:rPr>
                <w:rFonts w:hint="eastAsia"/>
              </w:rPr>
              <w:t xml:space="preserve">图 </w:t>
            </w:r>
            <w:r>
              <w:t>3.13</w:t>
            </w:r>
            <w:r>
              <w:fldChar w:fldCharType="end"/>
            </w:r>
            <w:r>
              <w:t>、</w:t>
            </w:r>
            <w:r>
              <w:fldChar w:fldCharType="begin"/>
            </w:r>
            <w:r>
              <w:instrText xml:space="preserve"> REF _Ref235902535 \h  \* MERGEFORMAT </w:instrText>
            </w:r>
            <w:r>
              <w:fldChar w:fldCharType="separate"/>
            </w:r>
            <w:r>
              <w:rPr>
                <w:rFonts w:hint="eastAsia"/>
              </w:rPr>
              <w:t xml:space="preserve">图 </w:t>
            </w:r>
            <w:r>
              <w:t>3.14</w:t>
            </w:r>
            <w:r>
              <w:fldChar w:fldCharType="end"/>
            </w:r>
            <w:r>
              <w:t>、</w:t>
            </w:r>
            <w:r>
              <w:fldChar w:fldCharType="begin"/>
            </w:r>
            <w:r>
              <w:instrText xml:space="preserve"> REF _Ref235902537 \h  \* MERGEFORMAT </w:instrText>
            </w:r>
            <w:r>
              <w:fldChar w:fldCharType="separate"/>
            </w:r>
            <w:r>
              <w:rPr>
                <w:rFonts w:hint="eastAsia"/>
              </w:rPr>
              <w:t xml:space="preserve">图 </w:t>
            </w:r>
            <w:r>
              <w:t>3.15</w:t>
            </w:r>
            <w:r>
              <w:fldChar w:fldCharType="end"/>
            </w:r>
            <w:r>
              <w:t>、</w:t>
            </w:r>
            <w:r>
              <w:fldChar w:fldCharType="begin"/>
            </w:r>
            <w:r>
              <w:instrText xml:space="preserve"> REF _Ref235902539 \h  \* MERGEFORMAT </w:instrText>
            </w:r>
            <w:r>
              <w:fldChar w:fldCharType="separate"/>
            </w:r>
            <w:r>
              <w:rPr>
                <w:rFonts w:hint="eastAsia"/>
              </w:rPr>
              <w:t xml:space="preserve">图 </w:t>
            </w:r>
            <w:r>
              <w:t>3.20</w:t>
            </w:r>
            <w:r>
              <w:fldChar w:fldCharType="end"/>
            </w:r>
            <w:r>
              <w:t>、</w:t>
            </w:r>
            <w:r>
              <w:fldChar w:fldCharType="begin"/>
            </w:r>
            <w:r>
              <w:instrText xml:space="preserve"> REF _Ref235902541 \h  \* MERGEFORMAT </w:instrText>
            </w:r>
            <w:r>
              <w:fldChar w:fldCharType="separate"/>
            </w:r>
            <w:r>
              <w:rPr>
                <w:rFonts w:hint="eastAsia"/>
              </w:rPr>
              <w:t xml:space="preserve">图 </w:t>
            </w:r>
            <w:r>
              <w:t>3.21</w:t>
            </w:r>
            <w:r>
              <w:fldChar w:fldCharType="end"/>
            </w:r>
            <w:r>
              <w:t>、</w:t>
            </w:r>
            <w:r>
              <w:fldChar w:fldCharType="begin"/>
            </w:r>
            <w:r>
              <w:instrText xml:space="preserve"> REF _Ref235902549 \h  \* MERGEFORMAT </w:instrText>
            </w:r>
            <w:r>
              <w:fldChar w:fldCharType="separate"/>
            </w:r>
            <w:r>
              <w:rPr>
                <w:rFonts w:hint="eastAsia"/>
              </w:rPr>
              <w:t xml:space="preserve">图 </w:t>
            </w:r>
            <w:r>
              <w:t>3.24</w:t>
            </w:r>
            <w:r>
              <w:fldChar w:fldCharType="end"/>
            </w:r>
            <w:r>
              <w:t>）。</w:t>
            </w:r>
          </w:p>
        </w:tc>
        <w:tc>
          <w:tcPr>
            <w:tcW w:w="552" w:type="dxa"/>
            <w:vAlign w:val="center"/>
          </w:tcPr>
          <w:p w14:paraId="6DB1D7A8">
            <w:pPr>
              <w:pStyle w:val="33"/>
            </w:pPr>
            <w:r>
              <w:t>完成</w:t>
            </w:r>
          </w:p>
        </w:tc>
      </w:tr>
      <w:tr w14:paraId="461D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75AED22F">
            <w:pPr>
              <w:pStyle w:val="33"/>
            </w:pPr>
          </w:p>
        </w:tc>
        <w:tc>
          <w:tcPr>
            <w:tcW w:w="456" w:type="dxa"/>
            <w:vMerge w:val="continue"/>
            <w:vAlign w:val="center"/>
          </w:tcPr>
          <w:p w14:paraId="4EC23A60">
            <w:pPr>
              <w:pStyle w:val="33"/>
            </w:pPr>
          </w:p>
        </w:tc>
        <w:tc>
          <w:tcPr>
            <w:tcW w:w="2426" w:type="dxa"/>
            <w:vAlign w:val="center"/>
          </w:tcPr>
          <w:p w14:paraId="0C4664E5">
            <w:pPr>
              <w:pStyle w:val="33"/>
            </w:pPr>
            <w:r>
              <w:t>(7)兼容性：支持Windows系统，程序代码采用Fortran语言编写。</w:t>
            </w:r>
          </w:p>
        </w:tc>
        <w:tc>
          <w:tcPr>
            <w:tcW w:w="4604" w:type="dxa"/>
            <w:vAlign w:val="center"/>
          </w:tcPr>
          <w:p w14:paraId="03996DE0">
            <w:pPr>
              <w:pStyle w:val="33"/>
            </w:pPr>
            <w:r>
              <w:t>项目程序已在Windows测试环境中完成部署和连续运行验证，模型参数配置、计算任务启动、结果文件生成以及曲线、云图显示等功能均运行正常。热传导、热弹性固体场和超声波动场等核心数值求解模块采用Fortran语言开发，源代码包含网格及参数读取、有限元矩阵组装、时步迭代、场量计算和结果输出等功能，并已随项目成果一并交付。测试过程中未出现影响程序运行的系统兼容性问题，本项指标达到要求（</w:t>
            </w:r>
            <w:r>
              <w:fldChar w:fldCharType="begin"/>
            </w:r>
            <w:r>
              <w:instrText xml:space="preserve"> REF _Ref235902880 \r \h  \* MERGEFORMAT </w:instrText>
            </w:r>
            <w:r>
              <w:fldChar w:fldCharType="separate"/>
            </w:r>
            <w:r>
              <w:t>3.2.3</w:t>
            </w:r>
            <w:r>
              <w:fldChar w:fldCharType="end"/>
            </w:r>
            <w:r>
              <w:t>节）。</w:t>
            </w:r>
          </w:p>
        </w:tc>
        <w:tc>
          <w:tcPr>
            <w:tcW w:w="552" w:type="dxa"/>
            <w:vAlign w:val="center"/>
          </w:tcPr>
          <w:p w14:paraId="3018E532">
            <w:pPr>
              <w:pStyle w:val="33"/>
            </w:pPr>
            <w:r>
              <w:t>完成</w:t>
            </w:r>
          </w:p>
        </w:tc>
      </w:tr>
    </w:tbl>
    <w:p w14:paraId="09E094BC">
      <w:pPr>
        <w:pStyle w:val="5"/>
      </w:pPr>
      <w:bookmarkStart w:id="25" w:name="_Toc235910448"/>
      <w:r>
        <w:t>研究目标与总体技术路线</w:t>
      </w:r>
      <w:bookmarkEnd w:id="25"/>
    </w:p>
    <w:p w14:paraId="07B695FD">
      <w:pPr>
        <w:ind w:firstLine="420"/>
      </w:pPr>
      <w:r>
        <w:rPr>
          <w:color w:val="222222"/>
        </w:rPr>
        <w:t>本模块承担复合材料温度场重构系统的正演分析任务。其核心目标是在给定材料组成、几何尺寸、温度相关物性、热边界、力学界面和超声激励条件下，计算复合材料内部的温度场、热变形与预应力状态，并进一步求解超声波在非均匀温度场和复杂界面中的传播、反射、透射及衰减过程。与仅输出单一温度或位移结果的常规分析不同，本模块需要保持热场、固体场和超声全波形之间的数据连续性，使每一个声学特征都能够追溯到对应的材料状态和温度分布。</w:t>
      </w:r>
    </w:p>
    <w:p w14:paraId="02A4CC67">
      <w:pPr>
        <w:ind w:firstLine="420"/>
      </w:pPr>
      <w:r>
        <w:rPr>
          <w:color w:val="222222"/>
        </w:rPr>
        <w:t>研究对象覆盖三类具有代表性的复合材料：一是具有明确层间界面的多层材料；二是由连续金属基体和随机颗粒组成的金属基复合材料；三是具有周期纤维细观结构、需要通过均匀化向宏观尺度传递参数的碳基或硅基复合材料。研究范围同时包含一维与二维、稳态与瞬态计算。一维模型用于厚度方向的快速参数分析和大批量样本生成，二维模型用于描述横向非均匀性、显式颗粒、界面波动以及多尺度宏观响应。</w:t>
      </w:r>
    </w:p>
    <w:p w14:paraId="07423575">
      <w:pPr>
        <w:ind w:firstLine="420"/>
      </w:pPr>
      <w:r>
        <w:rPr>
          <w:color w:val="222222"/>
        </w:rPr>
        <w:t>模块采用温度场—固体场—超声波动场的顺序耦合方式。热传导求解首先给出节点温度及其时间演化；热弹性求解将温度变化转化为热应变、位移、应力和预应力；超声求解再读取温度场、材料本构和预应力状态，建立质量、刚度、阻尼及几何刚度矩阵，计算高频脉冲响应。最后，后处理程序从接收信号中提取声时、回波幅值、包络面积、中心频率和时频能量等特征。</w:t>
      </w:r>
    </w:p>
    <w:p w14:paraId="1209792A">
      <w:pPr>
        <w:pStyle w:val="3"/>
        <w:ind w:firstLine="0" w:firstLineChars="0"/>
        <w:jc w:val="center"/>
      </w:pPr>
      <w:r>
        <w:drawing>
          <wp:inline distT="0" distB="0" distL="0" distR="0">
            <wp:extent cx="5400040" cy="2339340"/>
            <wp:effectExtent l="0" t="0" r="0" b="3810"/>
            <wp:docPr id="85626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68811" name="Picture 1"/>
                    <pic:cNvPicPr>
                      <a:picLocks noChangeAspect="1"/>
                    </pic:cNvPicPr>
                  </pic:nvPicPr>
                  <pic:blipFill>
                    <a:blip r:embed="rId14"/>
                    <a:stretch>
                      <a:fillRect/>
                    </a:stretch>
                  </pic:blipFill>
                  <pic:spPr>
                    <a:xfrm>
                      <a:off x="0" y="0"/>
                      <a:ext cx="5400040" cy="2339893"/>
                    </a:xfrm>
                    <a:prstGeom prst="rect">
                      <a:avLst/>
                    </a:prstGeom>
                  </pic:spPr>
                </pic:pic>
              </a:graphicData>
            </a:graphic>
          </wp:inline>
        </w:drawing>
      </w:r>
    </w:p>
    <w:p w14:paraId="1079F873">
      <w:pPr>
        <w:pStyle w:val="33"/>
      </w:pPr>
      <w:bookmarkStart w:id="26" w:name="_Ref235902380"/>
      <w:r>
        <w:t xml:space="preserve">图 </w:t>
      </w:r>
      <w:r>
        <w:fldChar w:fldCharType="begin"/>
      </w:r>
      <w:r>
        <w:instrText xml:space="preserve"> STYLEREF 1 \s </w:instrText>
      </w:r>
      <w:r>
        <w:fldChar w:fldCharType="separate"/>
      </w:r>
      <w:r>
        <w:t>3</w:t>
      </w:r>
      <w:r>
        <w:fldChar w:fldCharType="end"/>
      </w:r>
      <w:r>
        <w:t>.</w:t>
      </w:r>
      <w:r>
        <w:fldChar w:fldCharType="begin"/>
      </w:r>
      <w:r>
        <w:instrText xml:space="preserve"> SEQ 图 \* ARABIC \s 1 </w:instrText>
      </w:r>
      <w:r>
        <w:fldChar w:fldCharType="separate"/>
      </w:r>
      <w:r>
        <w:t>2</w:t>
      </w:r>
      <w:r>
        <w:fldChar w:fldCharType="end"/>
      </w:r>
      <w:bookmarkEnd w:id="26"/>
      <w:r>
        <w:t xml:space="preserve"> 模块一研究技术路线及与后续模块的数据关系</w:t>
      </w:r>
    </w:p>
    <w:p w14:paraId="323D00D9">
      <w:pPr>
        <w:pStyle w:val="33"/>
      </w:pPr>
      <w:bookmarkStart w:id="27" w:name="_Ref23590225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bookmarkEnd w:id="27"/>
      <w:r>
        <w:t>模块一主要输入、处理过程和输出</w:t>
      </w:r>
    </w:p>
    <w:tbl>
      <w:tblPr>
        <w:tblStyle w:val="62"/>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2500"/>
        <w:gridCol w:w="2750"/>
        <w:gridCol w:w="2676"/>
      </w:tblGrid>
      <w:tr w14:paraId="3B12D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00" w:type="dxa"/>
            <w:tcMar>
              <w:top w:w="90" w:type="dxa"/>
              <w:left w:w="120" w:type="dxa"/>
              <w:bottom w:w="90" w:type="dxa"/>
              <w:right w:w="120" w:type="dxa"/>
            </w:tcMar>
            <w:vAlign w:val="center"/>
          </w:tcPr>
          <w:p w14:paraId="69565557">
            <w:pPr>
              <w:rPr>
                <w:lang w:eastAsia="en-US"/>
              </w:rPr>
            </w:pPr>
            <w:r>
              <w:rPr>
                <w:lang w:eastAsia="en-US"/>
              </w:rPr>
              <w:t>层级</w:t>
            </w:r>
          </w:p>
        </w:tc>
        <w:tc>
          <w:tcPr>
            <w:tcW w:w="2500" w:type="dxa"/>
            <w:tcMar>
              <w:top w:w="90" w:type="dxa"/>
              <w:left w:w="120" w:type="dxa"/>
              <w:bottom w:w="90" w:type="dxa"/>
              <w:right w:w="120" w:type="dxa"/>
            </w:tcMar>
            <w:vAlign w:val="center"/>
          </w:tcPr>
          <w:p w14:paraId="3014DE42">
            <w:pPr>
              <w:rPr>
                <w:lang w:eastAsia="en-US"/>
              </w:rPr>
            </w:pPr>
            <w:r>
              <w:rPr>
                <w:lang w:eastAsia="en-US"/>
              </w:rPr>
              <w:t>主要输入</w:t>
            </w:r>
          </w:p>
        </w:tc>
        <w:tc>
          <w:tcPr>
            <w:tcW w:w="2750" w:type="dxa"/>
            <w:tcMar>
              <w:top w:w="90" w:type="dxa"/>
              <w:left w:w="120" w:type="dxa"/>
              <w:bottom w:w="90" w:type="dxa"/>
              <w:right w:w="120" w:type="dxa"/>
            </w:tcMar>
            <w:vAlign w:val="center"/>
          </w:tcPr>
          <w:p w14:paraId="2B9F5E7F">
            <w:pPr>
              <w:rPr>
                <w:lang w:eastAsia="en-US"/>
              </w:rPr>
            </w:pPr>
            <w:r>
              <w:rPr>
                <w:lang w:eastAsia="en-US"/>
              </w:rPr>
              <w:t>处理过程</w:t>
            </w:r>
          </w:p>
        </w:tc>
        <w:tc>
          <w:tcPr>
            <w:tcW w:w="2676" w:type="dxa"/>
            <w:tcMar>
              <w:top w:w="90" w:type="dxa"/>
              <w:left w:w="120" w:type="dxa"/>
              <w:bottom w:w="90" w:type="dxa"/>
              <w:right w:w="120" w:type="dxa"/>
            </w:tcMar>
            <w:vAlign w:val="center"/>
          </w:tcPr>
          <w:p w14:paraId="1BF903C8">
            <w:pPr>
              <w:rPr>
                <w:lang w:eastAsia="en-US"/>
              </w:rPr>
            </w:pPr>
            <w:r>
              <w:rPr>
                <w:lang w:eastAsia="en-US"/>
              </w:rPr>
              <w:t>主要输出</w:t>
            </w:r>
          </w:p>
        </w:tc>
      </w:tr>
      <w:tr w14:paraId="2DF7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14:paraId="5D5E3849">
            <w:pPr>
              <w:rPr>
                <w:lang w:eastAsia="en-US"/>
              </w:rPr>
            </w:pPr>
            <w:r>
              <w:rPr>
                <w:lang w:eastAsia="en-US"/>
              </w:rPr>
              <w:t>几何层</w:t>
            </w:r>
          </w:p>
        </w:tc>
        <w:tc>
          <w:tcPr>
            <w:tcW w:w="2500" w:type="dxa"/>
          </w:tcPr>
          <w:p w14:paraId="02A22822">
            <w:pPr>
              <w:rPr>
                <w:lang w:eastAsia="zh-CN"/>
              </w:rPr>
            </w:pPr>
            <w:r>
              <w:rPr>
                <w:lang w:eastAsia="zh-CN"/>
              </w:rPr>
              <w:t>尺寸、层数、颗粒或纤维形貌、网格参数</w:t>
            </w:r>
          </w:p>
        </w:tc>
        <w:tc>
          <w:tcPr>
            <w:tcW w:w="2750" w:type="dxa"/>
          </w:tcPr>
          <w:p w14:paraId="21EA4B23">
            <w:pPr>
              <w:rPr>
                <w:lang w:eastAsia="zh-CN"/>
              </w:rPr>
            </w:pPr>
            <w:r>
              <w:rPr>
                <w:lang w:eastAsia="zh-CN"/>
              </w:rPr>
              <w:t>一维分层或二维T6网格建模</w:t>
            </w:r>
          </w:p>
        </w:tc>
        <w:tc>
          <w:tcPr>
            <w:tcW w:w="2676" w:type="dxa"/>
          </w:tcPr>
          <w:p w14:paraId="34514CB1">
            <w:pPr>
              <w:rPr>
                <w:lang w:eastAsia="zh-CN"/>
              </w:rPr>
            </w:pPr>
            <w:r>
              <w:rPr>
                <w:lang w:eastAsia="zh-CN"/>
              </w:rPr>
              <w:t>节点、单元、物理分区和界面组</w:t>
            </w:r>
          </w:p>
        </w:tc>
      </w:tr>
      <w:tr w14:paraId="1F8F5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14:paraId="1DD89F85">
            <w:pPr>
              <w:rPr>
                <w:lang w:eastAsia="en-US"/>
              </w:rPr>
            </w:pPr>
            <w:r>
              <w:rPr>
                <w:lang w:eastAsia="en-US"/>
              </w:rPr>
              <w:t>热学层</w:t>
            </w:r>
          </w:p>
        </w:tc>
        <w:tc>
          <w:tcPr>
            <w:tcW w:w="2500" w:type="dxa"/>
          </w:tcPr>
          <w:p w14:paraId="1A6C7069">
            <w:pPr>
              <w:rPr>
                <w:lang w:eastAsia="zh-CN"/>
              </w:rPr>
            </w:pPr>
            <w:r>
              <w:rPr>
                <w:lang w:eastAsia="zh-CN"/>
              </w:rPr>
              <w:t>k(T)、</w:t>
            </w:r>
            <w:r>
              <w:rPr>
                <w:lang w:eastAsia="en-US"/>
              </w:rPr>
              <w:t>ρ</w:t>
            </w:r>
            <w:r>
              <w:rPr>
                <w:lang w:eastAsia="zh-CN"/>
              </w:rPr>
              <w:t>(T)、cp(T)、热源及热边界</w:t>
            </w:r>
          </w:p>
        </w:tc>
        <w:tc>
          <w:tcPr>
            <w:tcW w:w="2750" w:type="dxa"/>
          </w:tcPr>
          <w:p w14:paraId="4D211D5F">
            <w:pPr>
              <w:rPr>
                <w:lang w:eastAsia="zh-CN"/>
              </w:rPr>
            </w:pPr>
            <w:r>
              <w:rPr>
                <w:lang w:eastAsia="zh-CN"/>
              </w:rPr>
              <w:t>稳态/瞬态非线性热传导求解</w:t>
            </w:r>
          </w:p>
        </w:tc>
        <w:tc>
          <w:tcPr>
            <w:tcW w:w="2676" w:type="dxa"/>
          </w:tcPr>
          <w:p w14:paraId="0A70AC51">
            <w:pPr>
              <w:rPr>
                <w:lang w:eastAsia="zh-CN"/>
              </w:rPr>
            </w:pPr>
            <w:r>
              <w:rPr>
                <w:lang w:eastAsia="zh-CN"/>
              </w:rPr>
              <w:t>温度场、热流、温度时程</w:t>
            </w:r>
          </w:p>
        </w:tc>
      </w:tr>
      <w:tr w14:paraId="61139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14:paraId="59A2AB9F">
            <w:pPr>
              <w:rPr>
                <w:lang w:eastAsia="en-US"/>
              </w:rPr>
            </w:pPr>
            <w:r>
              <w:rPr>
                <w:lang w:eastAsia="en-US"/>
              </w:rPr>
              <w:t>力学层</w:t>
            </w:r>
          </w:p>
        </w:tc>
        <w:tc>
          <w:tcPr>
            <w:tcW w:w="2500" w:type="dxa"/>
          </w:tcPr>
          <w:p w14:paraId="509EDB70">
            <w:pPr>
              <w:rPr>
                <w:lang w:eastAsia="en-US"/>
              </w:rPr>
            </w:pPr>
            <w:r>
              <w:rPr>
                <w:lang w:eastAsia="en-US"/>
              </w:rPr>
              <w:t>E(T)、ν(T)、α(T)、界面刚度和约束</w:t>
            </w:r>
          </w:p>
        </w:tc>
        <w:tc>
          <w:tcPr>
            <w:tcW w:w="2750" w:type="dxa"/>
          </w:tcPr>
          <w:p w14:paraId="79552802">
            <w:pPr>
              <w:rPr>
                <w:lang w:eastAsia="zh-CN"/>
              </w:rPr>
            </w:pPr>
            <w:r>
              <w:rPr>
                <w:lang w:eastAsia="zh-CN"/>
              </w:rPr>
              <w:t>热应变与热弹性有限元求解</w:t>
            </w:r>
          </w:p>
        </w:tc>
        <w:tc>
          <w:tcPr>
            <w:tcW w:w="2676" w:type="dxa"/>
          </w:tcPr>
          <w:p w14:paraId="52ECCA23">
            <w:pPr>
              <w:rPr>
                <w:lang w:eastAsia="zh-CN"/>
              </w:rPr>
            </w:pPr>
            <w:r>
              <w:rPr>
                <w:lang w:eastAsia="zh-CN"/>
              </w:rPr>
              <w:t>位移、应变、应力和预应力</w:t>
            </w:r>
          </w:p>
        </w:tc>
      </w:tr>
      <w:tr w14:paraId="06556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14:paraId="46F4C15B">
            <w:pPr>
              <w:rPr>
                <w:lang w:eastAsia="en-US"/>
              </w:rPr>
            </w:pPr>
            <w:r>
              <w:rPr>
                <w:lang w:eastAsia="en-US"/>
              </w:rPr>
              <w:t>声学层</w:t>
            </w:r>
          </w:p>
        </w:tc>
        <w:tc>
          <w:tcPr>
            <w:tcW w:w="2500" w:type="dxa"/>
          </w:tcPr>
          <w:p w14:paraId="36AAA0F1">
            <w:pPr>
              <w:rPr>
                <w:lang w:eastAsia="zh-CN"/>
              </w:rPr>
            </w:pPr>
            <w:r>
              <w:rPr>
                <w:lang w:eastAsia="zh-CN"/>
              </w:rPr>
              <w:t>温度场、预应力、激励、接收和阻尼参数</w:t>
            </w:r>
          </w:p>
        </w:tc>
        <w:tc>
          <w:tcPr>
            <w:tcW w:w="2750" w:type="dxa"/>
          </w:tcPr>
          <w:p w14:paraId="4AED1212">
            <w:pPr>
              <w:rPr>
                <w:lang w:eastAsia="zh-CN"/>
              </w:rPr>
            </w:pPr>
            <w:r>
              <w:rPr>
                <w:lang w:eastAsia="zh-CN"/>
              </w:rPr>
              <w:t>显式时间积分与界面传播计算</w:t>
            </w:r>
          </w:p>
        </w:tc>
        <w:tc>
          <w:tcPr>
            <w:tcW w:w="2676" w:type="dxa"/>
          </w:tcPr>
          <w:p w14:paraId="03DB1230">
            <w:pPr>
              <w:rPr>
                <w:lang w:eastAsia="en-US"/>
              </w:rPr>
            </w:pPr>
            <w:r>
              <w:rPr>
                <w:lang w:eastAsia="en-US"/>
              </w:rPr>
              <w:t>波动场、接收全波形</w:t>
            </w:r>
          </w:p>
        </w:tc>
      </w:tr>
      <w:tr w14:paraId="0E41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14:paraId="14569229">
            <w:pPr>
              <w:rPr>
                <w:lang w:eastAsia="en-US"/>
              </w:rPr>
            </w:pPr>
            <w:r>
              <w:rPr>
                <w:lang w:eastAsia="en-US"/>
              </w:rPr>
              <w:t>特征层</w:t>
            </w:r>
          </w:p>
        </w:tc>
        <w:tc>
          <w:tcPr>
            <w:tcW w:w="2500" w:type="dxa"/>
          </w:tcPr>
          <w:p w14:paraId="5831E823">
            <w:pPr>
              <w:rPr>
                <w:lang w:eastAsia="zh-CN"/>
              </w:rPr>
            </w:pPr>
            <w:r>
              <w:rPr>
                <w:lang w:eastAsia="zh-CN"/>
              </w:rPr>
              <w:t>接收波形和时间采样信息</w:t>
            </w:r>
          </w:p>
        </w:tc>
        <w:tc>
          <w:tcPr>
            <w:tcW w:w="2750" w:type="dxa"/>
          </w:tcPr>
          <w:p w14:paraId="0DA37E3B">
            <w:pPr>
              <w:rPr>
                <w:lang w:eastAsia="en-US"/>
              </w:rPr>
            </w:pPr>
            <w:r>
              <w:rPr>
                <w:lang w:eastAsia="en-US"/>
              </w:rPr>
              <w:t>Hilbert、FFT、STFT和CWT分析</w:t>
            </w:r>
          </w:p>
        </w:tc>
        <w:tc>
          <w:tcPr>
            <w:tcW w:w="2676" w:type="dxa"/>
          </w:tcPr>
          <w:p w14:paraId="542E460B">
            <w:pPr>
              <w:rPr>
                <w:lang w:eastAsia="zh-CN"/>
              </w:rPr>
            </w:pPr>
            <w:r>
              <w:rPr>
                <w:lang w:eastAsia="zh-CN"/>
              </w:rPr>
              <w:t>TOF、幅值、包络面积、频谱及时频特征</w:t>
            </w:r>
          </w:p>
        </w:tc>
      </w:tr>
    </w:tbl>
    <w:p w14:paraId="14E31EAC">
      <w:pPr>
        <w:ind w:firstLine="480" w:firstLineChars="200"/>
      </w:pPr>
      <w:r>
        <w:t>正演输出同时服务于两个后续模块。模块二以声时、幅值、衰减、试件厚度和温度场为输入，建立单参数或多参数融合的物理反演目标函数；模块三以全波形或声学特征为样本、以温度场为标签，形成预训练、迁移学习和快速推理所需的数据集。由此，模块一既是物理模型验证平台，也是后续反演与人工智能研究的数据生产平台。</w:t>
      </w:r>
    </w:p>
    <w:p w14:paraId="681C6ABF">
      <w:pPr>
        <w:pStyle w:val="5"/>
      </w:pPr>
      <w:bookmarkStart w:id="28" w:name="_Ref235902425"/>
      <w:bookmarkStart w:id="29" w:name="_Toc235910449"/>
      <w:r>
        <w:t>热声固耦合理论模型及数值求解方法</w:t>
      </w:r>
      <w:bookmarkEnd w:id="28"/>
      <w:bookmarkEnd w:id="29"/>
    </w:p>
    <w:p w14:paraId="25381F6B">
      <w:pPr>
        <w:pStyle w:val="6"/>
      </w:pPr>
      <w:r>
        <w:t>二维T6单元及空间离散方法</w:t>
      </w:r>
    </w:p>
    <w:p w14:paraId="751A1346">
      <w:pPr>
        <w:ind w:firstLine="420"/>
      </w:pPr>
      <w:r>
        <w:rPr>
          <w:color w:val="222222"/>
        </w:rPr>
        <w:t>二维计算采用六节点二次三角形T6单元。三个顶点节点控制单元几何主形状，三条边的中点节点提供二次插值能力。相较于三节点线性三角形单元，T6单元能够以更少的单元层数表示弯曲边界、温度梯度、位移梯度和高频波场，同时其三节点二次边界单元可直接用于对流、热流、界面和面力积分。程序在参考三角形坐标中计算形函数及其导数，再通过雅可比矩阵变换至物理坐标</w:t>
      </w:r>
      <w:r>
        <w:rPr>
          <w:color w:val="222222"/>
        </w:rPr>
        <w:fldChar w:fldCharType="begin"/>
      </w:r>
      <w:r>
        <w:rPr>
          <w:color w:val="222222"/>
        </w:rPr>
        <w:instrText xml:space="preserve"> REF _Ref235908660 \n \h </w:instrText>
      </w:r>
      <w:r>
        <w:rPr>
          <w:color w:val="222222"/>
        </w:rPr>
        <w:fldChar w:fldCharType="separate"/>
      </w:r>
      <w:r>
        <w:rPr>
          <w:color w:val="222222"/>
        </w:rPr>
        <w:t>[9]</w:t>
      </w:r>
      <w:r>
        <w:rPr>
          <w:color w:val="222222"/>
        </w:rPr>
        <w:fldChar w:fldCharType="end"/>
      </w:r>
      <w:r>
        <w:rPr>
          <w:color w:val="222222"/>
        </w:rPr>
        <w:t>。</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6096"/>
        <w:gridCol w:w="1269"/>
      </w:tblGrid>
      <w:tr w14:paraId="030A5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0462689B"/>
        </w:tc>
        <w:tc>
          <w:tcPr>
            <w:tcW w:w="6096" w:type="dxa"/>
          </w:tcPr>
          <w:p w14:paraId="4E53C5AB">
            <w:pPr>
              <w:keepLines/>
              <w:spacing w:before="120" w:after="120"/>
              <w:jc w:val="center"/>
            </w:pPr>
            <m:oMathPara>
              <m:oMath>
                <m:r>
                  <m:rPr/>
                  <w:rPr>
                    <w:rFonts w:ascii="Cambria Math" w:hAnsi="Cambria Math"/>
                  </w:rPr>
                  <m:t>T(x,y) = N(x,y)</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e</m:t>
                    </m:r>
                    <m:ctrlPr>
                      <w:rPr>
                        <w:rFonts w:ascii="Cambria Math" w:hAnsi="Cambria Math"/>
                      </w:rPr>
                    </m:ctrlPr>
                  </m:sub>
                </m:sSub>
                <m:r>
                  <m:rPr/>
                  <w:rPr>
                    <w:rFonts w:ascii="Cambria Math" w:hAnsi="Cambria Math"/>
                  </w:rPr>
                  <m:t xml:space="preserve">，u(x,y) = </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(x,y)</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e</m:t>
                    </m:r>
                    <m:ctrlPr>
                      <w:rPr>
                        <w:rFonts w:ascii="Cambria Math" w:hAnsi="Cambria Math"/>
                      </w:rPr>
                    </m:ctrlPr>
                  </m:sub>
                </m:sSub>
              </m:oMath>
            </m:oMathPara>
          </w:p>
        </w:tc>
        <w:tc>
          <w:tcPr>
            <w:tcW w:w="1269" w:type="dxa"/>
          </w:tcPr>
          <w:p w14:paraId="7ED31645">
            <w:pPr>
              <w:keepLines/>
              <w:spacing w:before="120" w:after="120"/>
              <w:jc w:val="right"/>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1</w:t>
            </w:r>
            <w:r>
              <w:fldChar w:fldCharType="end"/>
            </w:r>
            <w:r>
              <w:rPr>
                <w:rFonts w:hint="eastAsia"/>
              </w:rPr>
              <w:t>）</w:t>
            </w:r>
          </w:p>
        </w:tc>
      </w:tr>
    </w:tbl>
    <w:p w14:paraId="3FB23B96">
      <w:pPr>
        <w:ind w:firstLine="420"/>
      </w:pPr>
      <w:r>
        <w:rPr>
          <w:color w:val="222222"/>
        </w:rPr>
        <w:t>程序中的二维热学单元函数、Jacobian和B矩阵计算位于fem2d/python/element.py，超声模块在ultrasonic_simulation/src/fem_utils.py中对T6体单元和二次边界进行预计算；Fortran内核fem2d_core.f90和fem2d_advanced.f90负责热学、力学矩阵的高性能装配。预处理阶段检查单元方向、Jacobian正性、边界单元归属和网格类型，避免负面积、退化单元和线性/二次单元混用。</w:t>
      </w:r>
    </w:p>
    <w:p w14:paraId="33A4D0E6">
      <w:pPr>
        <w:pStyle w:val="3"/>
      </w:pPr>
      <w:r>
        <w:t>装配时将单元导热矩阵、热容矩阵、弹性刚度矩阵、质量矩阵和阻尼矩阵映射至全局自由度。温度场每个节点具有一个标量自由度，二维固体和超声波动场每个节点具有两个位移自由度。对于材料界面，程序根据物理组和共享边界建立相邻单元对应关系，使热阻、界面刚度及阻尼能够在边界积分层面进入全局方程</w:t>
      </w:r>
      <w:r>
        <w:fldChar w:fldCharType="begin"/>
      </w:r>
      <w:r>
        <w:instrText xml:space="preserve"> REF _Ref235908869 \n \h </w:instrText>
      </w:r>
      <w:r>
        <w:fldChar w:fldCharType="separate"/>
      </w:r>
      <w:r>
        <w:t>[10]</w:t>
      </w:r>
      <w:r>
        <w:fldChar w:fldCharType="end"/>
      </w:r>
      <w:r>
        <w:t>。</w:t>
      </w:r>
    </w:p>
    <w:p w14:paraId="54EEC525">
      <w:pPr>
        <w:pStyle w:val="6"/>
      </w:pPr>
      <w:r>
        <w:t>温度场有限元模型</w:t>
      </w:r>
    </w:p>
    <w:p w14:paraId="670E021E">
      <w:pPr>
        <w:ind w:firstLine="420"/>
      </w:pPr>
      <w:r>
        <w:rPr>
          <w:color w:val="222222"/>
        </w:rPr>
        <w:t>温度场满足能量守恒。材料导热系数、密度和比热可随温度变化，因此稳态和瞬态问题均可能表现为非线性。程序支持恒温、给定热流、对流、线性化辐射、绝热和体积热源等边界或源项；多层材料与显式复合材料还可通过接触换热系数或等效热阻描述界面温度跳跃。</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6096"/>
        <w:gridCol w:w="1269"/>
      </w:tblGrid>
      <w:tr w14:paraId="25164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1F742566"/>
        </w:tc>
        <w:tc>
          <w:tcPr>
            <w:tcW w:w="6096" w:type="dxa"/>
          </w:tcPr>
          <w:p w14:paraId="45CB6E21">
            <w:pPr>
              <w:keepLines/>
              <w:spacing w:before="120" w:after="120"/>
              <w:jc w:val="center"/>
            </w:pPr>
            <m:oMathPara>
              <m:oMath>
                <m:r>
                  <m:rPr/>
                  <w:rPr>
                    <w:rFonts w:ascii="Cambria Math" w:hAnsi="Cambria Math"/>
                  </w:rPr>
                  <m:t>ρ(T)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 xml:space="preserve">(T) </m:t>
                </m:r>
                <m:f>
                  <m:fPr>
                    <m:ctrlPr>
                      <w:rPr>
                        <w:rFonts w:ascii="Cambria Math" w:hAnsi="Cambria Math"/>
                      </w:rPr>
                    </m:ctrlPr>
                  </m:fPr>
                  <m:num>
                    <m:r>
                      <m:rPr/>
                      <w:rPr>
                        <w:rFonts w:ascii="Cambria Math" w:hAnsi="Cambria Math"/>
                      </w:rPr>
                      <m:t>∂T</m:t>
                    </m:r>
                    <m:ctrlPr>
                      <w:rPr>
                        <w:rFonts w:ascii="Cambria Math" w:hAnsi="Cambria Math"/>
                      </w:rPr>
                    </m:ctrlPr>
                  </m:num>
                  <m:den>
                    <m:r>
                      <m:rPr/>
                      <w:rPr>
                        <w:rFonts w:ascii="Cambria Math" w:hAnsi="Cambria Math"/>
                      </w:rPr>
                      <m:t>∂t</m:t>
                    </m:r>
                    <m:ctrlPr>
                      <w:rPr>
                        <w:rFonts w:ascii="Cambria Math" w:hAnsi="Cambria Math"/>
                      </w:rPr>
                    </m:ctrlPr>
                  </m:den>
                </m:f>
                <m:r>
                  <m:rPr/>
                  <w:rPr>
                    <w:rFonts w:ascii="Cambria Math" w:hAnsi="Cambria Math"/>
                  </w:rPr>
                  <m:t xml:space="preserve"> − ∇·[k(T)∇T] = Q</m:t>
                </m:r>
              </m:oMath>
            </m:oMathPara>
          </w:p>
        </w:tc>
        <w:tc>
          <w:tcPr>
            <w:tcW w:w="1269" w:type="dxa"/>
          </w:tcPr>
          <w:p w14:paraId="284CCB0C">
            <w:pPr>
              <w:keepLines/>
              <w:spacing w:before="120" w:after="120"/>
              <w:jc w:val="right"/>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2</w:t>
            </w:r>
            <w:r>
              <w:fldChar w:fldCharType="end"/>
            </w:r>
            <w:r>
              <w:rPr>
                <w:rFonts w:hint="eastAsia"/>
              </w:rPr>
              <w:t>）</w:t>
            </w:r>
          </w:p>
        </w:tc>
      </w:tr>
    </w:tbl>
    <w:p w14:paraId="623320E0">
      <w:pPr>
        <w:ind w:firstLine="420"/>
      </w:pPr>
      <w:r>
        <w:rPr>
          <w:color w:val="222222"/>
        </w:rPr>
        <w:t>空间离散后形成</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(T)</m:t>
        </m:r>
        <m:acc>
          <m:accPr>
            <m:chr m:val="˙"/>
            <m:ctrlPr>
              <w:rPr>
                <w:rFonts w:ascii="Cambria Math" w:hAnsi="Cambria Math"/>
              </w:rPr>
            </m:ctrlPr>
          </m:accPr>
          <m:e>
            <m:r>
              <m:rPr/>
              <w:rPr>
                <w:rFonts w:ascii="Cambria Math" w:hAnsi="Cambria Math"/>
              </w:rPr>
              <m:t>T</m:t>
            </m:r>
            <m:ctrlPr>
              <w:rPr>
                <w:rFonts w:ascii="Cambria Math" w:hAnsi="Cambria Math"/>
              </w:rPr>
            </m:ctrlPr>
          </m:e>
        </m:acc>
        <m:r>
          <m:rPr/>
          <w:rPr>
            <w:rFonts w:ascii="Cambria Math" w:hAnsi="Cambria Math"/>
          </w:rPr>
          <m:t xml:space="preserve"> + </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(T)T = </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(T,t)</m:t>
        </m:r>
      </m:oMath>
      <w:r>
        <w:rPr>
          <w:color w:val="222222"/>
        </w:rPr>
        <w:t>。稳态计算直接求解非线性代数方程；瞬态计算按给定时间步推进，并在每一步更新温度相关材料参数、对流和辐射边界。代码中对温度迭代次数、残差容限、松弛因子和自适应松弛范围均有独立控制，可在高温强非线性条件下维持迭代稳定性</w:t>
      </w:r>
      <w:r>
        <w:rPr>
          <w:color w:val="222222"/>
        </w:rPr>
        <w:fldChar w:fldCharType="begin"/>
      </w:r>
      <w:r>
        <w:rPr>
          <w:color w:val="222222"/>
        </w:rPr>
        <w:instrText xml:space="preserve"> REF _Ref235908890 \n \h </w:instrText>
      </w:r>
      <w:r>
        <w:rPr>
          <w:color w:val="222222"/>
        </w:rPr>
        <w:fldChar w:fldCharType="separate"/>
      </w:r>
      <w:r>
        <w:rPr>
          <w:color w:val="222222"/>
        </w:rPr>
        <w:t>[11]</w:t>
      </w:r>
      <w:r>
        <w:rPr>
          <w:color w:val="222222"/>
        </w:rPr>
        <w:fldChar w:fldCharType="end"/>
      </w:r>
      <w:r>
        <w:rPr>
          <w:color w:val="222222"/>
        </w:rPr>
        <w:t>。</w:t>
      </w:r>
    </w:p>
    <w:p w14:paraId="5E812DAE">
      <w:pPr>
        <w:pStyle w:val="6"/>
      </w:pPr>
      <w:r>
        <w:t>热弹性固体场模型</w:t>
      </w:r>
    </w:p>
    <w:p w14:paraId="1CC2532A">
      <w:pPr>
        <w:ind w:firstLine="420"/>
      </w:pPr>
      <w:r>
        <w:rPr>
          <w:color w:val="222222"/>
        </w:rPr>
        <w:t>温度场通过热膨胀系数形成热应变。对于各向同性材料，热应变与局部温升成正比；对于均匀化得到的各向异性材料，可分别使用方向相关热膨胀参数。总应变由机械应变和热应变组成，材料本构矩阵根据平面应力或平面应变假设构造。温度相关弹性模量、泊松比和热膨胀系数在单元积分点处评价，使高温区域的刚度退化和热变形能够反馈到位移及应力分布。</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6096"/>
        <w:gridCol w:w="1269"/>
      </w:tblGrid>
      <w:tr w14:paraId="4D31F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65FD3BC3">
            <w:bookmarkStart w:id="30" w:name="_Hlk235894639"/>
          </w:p>
        </w:tc>
        <w:tc>
          <w:tcPr>
            <w:tcW w:w="6096" w:type="dxa"/>
          </w:tcPr>
          <w:p w14:paraId="3EEA88F3">
            <w:pPr>
              <w:keepLines/>
              <w:spacing w:before="120" w:after="120"/>
              <w:jc w:val="center"/>
            </w:pPr>
            <m:oMathPara>
              <m:oMath>
                <m:r>
                  <m:rPr/>
                  <w:rPr>
                    <w:rFonts w:ascii="Cambria Math" w:hAnsi="Cambria Math"/>
                  </w:rPr>
                  <m:t xml:space="preserve">σ = D(T)[B u − </m:t>
                </m:r>
                <m:sSup>
                  <m:sSupPr>
                    <m:ctrlPr>
                      <w:rPr>
                        <w:rFonts w:ascii="Cambria Math" w:hAnsi="Cambria Math"/>
                      </w:rPr>
                    </m:ctrlPr>
                  </m:sSupPr>
                  <m:e>
                    <m:r>
                      <m:rPr/>
                      <w:rPr>
                        <w:rFonts w:ascii="Cambria Math" w:hAnsi="Cambria Math"/>
                      </w:rPr>
                      <m:t>ε</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 xml:space="preserve">(T)]，K(T)u = </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ext</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th</m:t>
                    </m:r>
                    <m:ctrlPr>
                      <w:rPr>
                        <w:rFonts w:ascii="Cambria Math" w:hAnsi="Cambria Math"/>
                      </w:rPr>
                    </m:ctrlPr>
                  </m:sub>
                </m:sSub>
                <m:r>
                  <m:rPr/>
                  <w:rPr>
                    <w:rFonts w:ascii="Cambria Math" w:hAnsi="Cambria Math"/>
                  </w:rPr>
                  <m:t>(T)</m:t>
                </m:r>
              </m:oMath>
            </m:oMathPara>
          </w:p>
        </w:tc>
        <w:tc>
          <w:tcPr>
            <w:tcW w:w="1269" w:type="dxa"/>
          </w:tcPr>
          <w:p w14:paraId="46949557">
            <w:pPr>
              <w:keepLines/>
              <w:spacing w:before="120" w:after="120"/>
              <w:jc w:val="right"/>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3</w:t>
            </w:r>
            <w:r>
              <w:fldChar w:fldCharType="end"/>
            </w:r>
            <w:r>
              <w:rPr>
                <w:rFonts w:hint="eastAsia"/>
              </w:rPr>
              <w:t>）</w:t>
            </w:r>
          </w:p>
        </w:tc>
      </w:tr>
      <w:bookmarkEnd w:id="30"/>
    </w:tbl>
    <w:p w14:paraId="106617AC">
      <w:pPr>
        <w:ind w:firstLine="420"/>
      </w:pPr>
      <w:r>
        <w:rPr>
          <w:color w:val="222222"/>
        </w:rPr>
        <w:t>对未施加常规位移约束的模型，程序使用最小刚体约束消除整体平移和转动，同时尽量不改变热膨胀自由变形。多层界面、颗粒—基体界面和纤维—基体界面可分别设置法向、切向及耦合刚度，也可加入黏性阻尼。固体场输出包括位移、应变、应力和预应力，为后续超声传播中的几何刚度与声弹性影响提供初始状态</w:t>
      </w:r>
      <w:r>
        <w:rPr>
          <w:color w:val="222222"/>
        </w:rPr>
        <w:fldChar w:fldCharType="begin"/>
      </w:r>
      <w:r>
        <w:rPr>
          <w:color w:val="222222"/>
        </w:rPr>
        <w:instrText xml:space="preserve"> REF _Ref235908897 \n \h </w:instrText>
      </w:r>
      <w:r>
        <w:rPr>
          <w:color w:val="222222"/>
        </w:rPr>
        <w:fldChar w:fldCharType="separate"/>
      </w:r>
      <w:r>
        <w:rPr>
          <w:color w:val="222222"/>
        </w:rPr>
        <w:t>[12]</w:t>
      </w:r>
      <w:r>
        <w:rPr>
          <w:color w:val="222222"/>
        </w:rPr>
        <w:fldChar w:fldCharType="end"/>
      </w:r>
      <w:r>
        <w:rPr>
          <w:color w:val="222222"/>
        </w:rPr>
        <w:t>。</w:t>
      </w:r>
    </w:p>
    <w:p w14:paraId="37A6CA8C">
      <w:pPr>
        <w:pStyle w:val="6"/>
      </w:pPr>
      <w:r>
        <w:t>超声传播模型</w:t>
      </w:r>
    </w:p>
    <w:p w14:paraId="14B52505">
      <w:pPr>
        <w:ind w:firstLine="420"/>
      </w:pPr>
      <w:r>
        <w:rPr>
          <w:color w:val="222222"/>
        </w:rPr>
        <w:t>超声传播采用有限元半离散动力学方程。质量矩阵描述惯性，材料刚度矩阵描述弹性恢复力，阻尼矩阵用于表示材料或界面耗散，预应力几何刚度矩阵用于体现热应力对小扰动传播的影响。激励可采用机械应力、面力或压电换能器模型，时间函数支持窄带toneburst并可配置中心频率、周期数、幅值和空间加权。</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6096"/>
        <w:gridCol w:w="1269"/>
      </w:tblGrid>
      <w:tr w14:paraId="4CE17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0459E139"/>
        </w:tc>
        <w:tc>
          <w:tcPr>
            <w:tcW w:w="6096" w:type="dxa"/>
          </w:tcPr>
          <w:p w14:paraId="07220839">
            <w:pPr>
              <w:keepLines/>
              <w:spacing w:before="120" w:after="120"/>
              <w:jc w:val="center"/>
            </w:pPr>
            <m:oMathPara>
              <m:oMath>
                <m:r>
                  <m:rPr/>
                  <w:rPr>
                    <w:rFonts w:ascii="Cambria Math" w:hAnsi="Cambria Math"/>
                  </w:rPr>
                  <m:t xml:space="preserve">M </m:t>
                </m:r>
                <m:acc>
                  <m:accPr>
                    <m:chr m:val="¨"/>
                    <m:ctrlPr>
                      <w:rPr>
                        <w:rFonts w:ascii="Cambria Math" w:hAnsi="Cambria Math"/>
                      </w:rPr>
                    </m:ctrlPr>
                  </m:accPr>
                  <m:e>
                    <m:r>
                      <m:rPr/>
                      <w:rPr>
                        <w:rFonts w:ascii="Cambria Math" w:hAnsi="Cambria Math"/>
                      </w:rPr>
                      <m:t>u</m:t>
                    </m:r>
                    <m:ctrlPr>
                      <w:rPr>
                        <w:rFonts w:ascii="Cambria Math" w:hAnsi="Cambria Math"/>
                      </w:rPr>
                    </m:ctrlPr>
                  </m:e>
                </m:acc>
                <m:r>
                  <m:rPr/>
                  <w:rPr>
                    <w:rFonts w:ascii="Cambria Math" w:hAnsi="Cambria Math"/>
                  </w:rPr>
                  <m:t xml:space="preserve"> + C </m:t>
                </m:r>
                <m:acc>
                  <m:accPr>
                    <m:chr m:val="˙"/>
                    <m:ctrlPr>
                      <w:rPr>
                        <w:rFonts w:ascii="Cambria Math" w:hAnsi="Cambria Math"/>
                      </w:rPr>
                    </m:ctrlPr>
                  </m:accPr>
                  <m:e>
                    <m:r>
                      <m:rPr/>
                      <w:rPr>
                        <w:rFonts w:ascii="Cambria Math" w:hAnsi="Cambria Math"/>
                      </w:rPr>
                      <m:t>u</m:t>
                    </m:r>
                    <m:ctrlPr>
                      <w:rPr>
                        <w:rFonts w:ascii="Cambria Math" w:hAnsi="Cambria Math"/>
                      </w:rPr>
                    </m:ctrlPr>
                  </m:e>
                </m:acc>
                <m:r>
                  <m:rPr/>
                  <w:rPr>
                    <w:rFonts w:ascii="Cambria Math" w:hAnsi="Cambria Math"/>
                  </w:rPr>
                  <m:t xml:space="preserve"> + [K(T)+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)]u = f(t)</m:t>
                </m:r>
              </m:oMath>
            </m:oMathPara>
          </w:p>
        </w:tc>
        <w:tc>
          <w:tcPr>
            <w:tcW w:w="1269" w:type="dxa"/>
          </w:tcPr>
          <w:p w14:paraId="3FA2353E">
            <w:pPr>
              <w:keepLines/>
              <w:spacing w:before="120" w:after="120"/>
              <w:jc w:val="right"/>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4</w:t>
            </w:r>
            <w:r>
              <w:fldChar w:fldCharType="end"/>
            </w:r>
            <w:r>
              <w:rPr>
                <w:rFonts w:hint="eastAsia"/>
              </w:rPr>
              <w:t>）</w:t>
            </w:r>
          </w:p>
        </w:tc>
      </w:tr>
    </w:tbl>
    <w:p w14:paraId="7FAF5ECC">
      <w:pPr>
        <w:ind w:firstLine="420"/>
      </w:pPr>
      <w:r>
        <w:rPr>
          <w:color w:val="222222"/>
        </w:rPr>
        <w:t>时间推进采用受CFL条件约束的显式积分。网格最小尺寸、局部波速和激励最高频率共同决定稳定时间步；接收区域可以输出位移、速度或加速度信号。界面模块根据相邻介质和界面刚度计算反射与透射，PML或吸收边界模块可在需要时抑制外边界反射。当前三个验证场景为了与参考模型保持一致，主要采用自由机械边界并关闭PML和材料阻尼</w:t>
      </w:r>
      <w:r>
        <w:rPr>
          <w:color w:val="222222"/>
        </w:rPr>
        <w:fldChar w:fldCharType="begin"/>
      </w:r>
      <w:r>
        <w:rPr>
          <w:color w:val="222222"/>
        </w:rPr>
        <w:instrText xml:space="preserve"> REF _Ref235908906 \n \h </w:instrText>
      </w:r>
      <w:r>
        <w:rPr>
          <w:color w:val="222222"/>
        </w:rPr>
        <w:fldChar w:fldCharType="separate"/>
      </w:r>
      <w:r>
        <w:rPr>
          <w:color w:val="222222"/>
        </w:rPr>
        <w:t>[13]</w:t>
      </w:r>
      <w:r>
        <w:rPr>
          <w:color w:val="222222"/>
        </w:rPr>
        <w:fldChar w:fldCharType="end"/>
      </w:r>
      <w:r>
        <w:rPr>
          <w:color w:val="222222"/>
        </w:rPr>
        <w:t>。</w:t>
      </w:r>
    </w:p>
    <w:p w14:paraId="05D4AB47">
      <w:pPr>
        <w:ind w:firstLine="420"/>
      </w:pPr>
      <w:r>
        <w:rPr>
          <w:color w:val="222222"/>
        </w:rPr>
        <w:t>信号后处理首先去除直流分量和初始偏置，再根据统一采样网格进行插值。Hilbert变换给出解析信号及包络，闸门或显著性规则用于识别主要回波；FFT给出振幅谱及中心频率；STFT与Morlet连续小波变换用于观察能量随时间和频率的联合分布。相关实现集中在fem1d/signal_processing.py与ultrasonic_simulation/src/postprocess.py。</w:t>
      </w:r>
    </w:p>
    <w:p w14:paraId="4ABB7D50">
      <w:pPr>
        <w:pStyle w:val="6"/>
      </w:pPr>
      <w:r>
        <w:t>一维与二维协同求解方法</w:t>
      </w:r>
    </w:p>
    <w:p w14:paraId="15C33A96">
      <w:pPr>
        <w:ind w:firstLine="420"/>
      </w:pPr>
      <w:r>
        <w:rPr>
          <w:color w:val="222222"/>
        </w:rPr>
        <w:t>一维求解器不是二维结果沿某条直线的截取，而是沿全局厚度方向独立建立的线性有限元程序。其网格、导热矩阵、热弹性矩阵、超声质量与刚度矩阵均独立装配，适合层状结构、等效复合材料和大批量参数扫描。二维求解器则采用T6网格，能够显式描述层间横向变化、随机颗粒、局部界面、周期单胞和非均匀波前。</w:t>
      </w:r>
    </w:p>
    <w:p w14:paraId="7DAB3BC5">
      <w:pPr>
        <w:ind w:firstLine="420"/>
      </w:pPr>
      <w:r>
        <w:rPr>
          <w:color w:val="222222"/>
        </w:rPr>
        <w:t>两类求解器共享材料定义、边界条件语义、温度相关参数表和结果字段命名，但分别独立离散和求解。一维结果用于快速验证厚度方向趋势、生成灵敏度样本和检查参数数量级；二维结果用于精细分析空间非均匀性和界面效应。二者在输出阶段统一为坐标、温度、位移、应力、接收波形及特征表，使后续反演和数据建模不依赖具体求解维度。</w:t>
      </w:r>
    </w:p>
    <w:p w14:paraId="2D20E602">
      <w:pPr>
        <w:pStyle w:val="5"/>
      </w:pPr>
      <w:bookmarkStart w:id="31" w:name="_Ref235902880"/>
      <w:bookmarkStart w:id="32" w:name="_Toc235910450"/>
      <w:r>
        <w:t>程序开发及计算流程</w:t>
      </w:r>
      <w:bookmarkEnd w:id="31"/>
      <w:bookmarkEnd w:id="32"/>
    </w:p>
    <w:p w14:paraId="6224B4DD">
      <w:pPr>
        <w:ind w:firstLine="420"/>
      </w:pPr>
      <w:r>
        <w:rPr>
          <w:color w:val="222222"/>
        </w:rPr>
        <w:t>程序运行于Windows环境，采用Python组织图形界面、配置管理、流程控制、数据读写和可视化，采用Fortran实现计算量较大的有限元装配和求解内核。Fortran代码通过编译扩展与Python接口连接，发布版本在运行前检查内核是否存在、架构是否匹配以及运行库是否完整。该分层结构兼顾了交互性、可维护性和大规模网格计算效率。</w:t>
      </w:r>
    </w:p>
    <w:p w14:paraId="353B6FD5">
      <w:pPr>
        <w:pStyle w:val="3"/>
        <w:ind w:firstLine="0" w:firstLineChars="0"/>
      </w:pPr>
      <w:r>
        <w:rPr>
          <w:rFonts w:cs="Times New Roman"/>
          <w:kern w:val="0"/>
          <w:sz w:val="21"/>
          <w:szCs w:val="22"/>
          <w:lang w:eastAsia="en-US"/>
          <w14:ligatures w14:val="none"/>
        </w:rPr>
        <w:drawing>
          <wp:inline distT="0" distB="0" distL="0" distR="0">
            <wp:extent cx="5394960" cy="1634490"/>
            <wp:effectExtent l="0" t="0" r="0" b="0"/>
            <wp:docPr id="108587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7478" name="Picture 2"/>
                    <pic:cNvPicPr>
                      <a:picLocks noChangeAspect="1"/>
                    </pic:cNvPicPr>
                  </pic:nvPicPr>
                  <pic:blipFill>
                    <a:blip r:embed="rId15"/>
                    <a:stretch>
                      <a:fillRect/>
                    </a:stretch>
                  </pic:blipFill>
                  <pic:spPr>
                    <a:xfrm>
                      <a:off x="0" y="0"/>
                      <a:ext cx="5394960" cy="1634501"/>
                    </a:xfrm>
                    <a:prstGeom prst="rect">
                      <a:avLst/>
                    </a:prstGeom>
                  </pic:spPr>
                </pic:pic>
              </a:graphicData>
            </a:graphic>
          </wp:inline>
        </w:drawing>
      </w:r>
    </w:p>
    <w:p w14:paraId="443E0749">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项目Windows运行环境</w:t>
      </w:r>
    </w:p>
    <w:p w14:paraId="1AAA4B3F">
      <w:pPr>
        <w:keepNext/>
        <w:widowControl/>
        <w:spacing w:before="120" w:after="40"/>
        <w:contextualSpacing w:val="0"/>
        <w:jc w:val="center"/>
        <w:rPr>
          <w:rFonts w:cs="Times New Roman"/>
          <w:kern w:val="0"/>
          <w:sz w:val="21"/>
          <w:szCs w:val="22"/>
          <w:lang w:eastAsia="en-US"/>
          <w14:ligatures w14:val="none"/>
        </w:rPr>
      </w:pPr>
      <w:r>
        <w:rPr>
          <w:rFonts w:cs="Times New Roman"/>
          <w:kern w:val="0"/>
          <w:sz w:val="21"/>
          <w:szCs w:val="22"/>
          <w:lang w:eastAsia="en-US"/>
          <w14:ligatures w14:val="none"/>
        </w:rPr>
        <w:drawing>
          <wp:inline distT="0" distB="0" distL="0" distR="0">
            <wp:extent cx="4937760" cy="4157345"/>
            <wp:effectExtent l="0" t="0" r="0" b="0"/>
            <wp:docPr id="731931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31080" name="Picture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37760" cy="4157543"/>
                    </a:xfrm>
                    <a:prstGeom prst="rect">
                      <a:avLst/>
                    </a:prstGeom>
                  </pic:spPr>
                </pic:pic>
              </a:graphicData>
            </a:graphic>
          </wp:inline>
        </w:drawing>
      </w:r>
    </w:p>
    <w:p w14:paraId="12156D8E">
      <w:pPr>
        <w:pStyle w:val="33"/>
        <w:rPr>
          <w:rFonts w:cs="Times New Roman"/>
          <w:b/>
          <w:bCs/>
          <w:color w:val="444444"/>
          <w:kern w:val="0"/>
          <w:sz w:val="18"/>
          <w:szCs w:val="18"/>
          <w14:ligatures w14:val="none"/>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t xml:space="preserve"> Fortran有限元计算内核及其编译接口</w:t>
      </w:r>
    </w:p>
    <w:p w14:paraId="5B18A6DE">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t>主要程序模块与研究功能对应关系</w:t>
      </w:r>
    </w:p>
    <w:tbl>
      <w:tblPr>
        <w:tblStyle w:val="63"/>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00"/>
        <w:gridCol w:w="3350"/>
        <w:gridCol w:w="2576"/>
      </w:tblGrid>
      <w:tr w14:paraId="6CAA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00" w:type="dxa"/>
            <w:tcMar>
              <w:top w:w="90" w:type="dxa"/>
              <w:left w:w="120" w:type="dxa"/>
              <w:bottom w:w="90" w:type="dxa"/>
              <w:right w:w="120" w:type="dxa"/>
            </w:tcMar>
            <w:vAlign w:val="center"/>
          </w:tcPr>
          <w:p w14:paraId="5BC67B06">
            <w:pPr>
              <w:rPr>
                <w:lang w:eastAsia="en-US"/>
              </w:rPr>
            </w:pPr>
            <w:r>
              <w:rPr>
                <w:lang w:eastAsia="en-US"/>
              </w:rPr>
              <w:t>程序位置</w:t>
            </w:r>
          </w:p>
        </w:tc>
        <w:tc>
          <w:tcPr>
            <w:tcW w:w="3350" w:type="dxa"/>
            <w:tcMar>
              <w:top w:w="90" w:type="dxa"/>
              <w:left w:w="120" w:type="dxa"/>
              <w:bottom w:w="90" w:type="dxa"/>
              <w:right w:w="120" w:type="dxa"/>
            </w:tcMar>
            <w:vAlign w:val="center"/>
          </w:tcPr>
          <w:p w14:paraId="686A6FFE">
            <w:pPr>
              <w:rPr>
                <w:lang w:eastAsia="en-US"/>
              </w:rPr>
            </w:pPr>
            <w:r>
              <w:rPr>
                <w:lang w:eastAsia="en-US"/>
              </w:rPr>
              <w:t>主要职责</w:t>
            </w:r>
          </w:p>
        </w:tc>
        <w:tc>
          <w:tcPr>
            <w:tcW w:w="2576" w:type="dxa"/>
            <w:tcMar>
              <w:top w:w="90" w:type="dxa"/>
              <w:left w:w="120" w:type="dxa"/>
              <w:bottom w:w="90" w:type="dxa"/>
              <w:right w:w="120" w:type="dxa"/>
            </w:tcMar>
            <w:vAlign w:val="center"/>
          </w:tcPr>
          <w:p w14:paraId="565742CE">
            <w:pPr>
              <w:rPr>
                <w:lang w:eastAsia="en-US"/>
              </w:rPr>
            </w:pPr>
            <w:r>
              <w:rPr>
                <w:lang w:eastAsia="en-US"/>
              </w:rPr>
              <w:t>研究输出</w:t>
            </w:r>
          </w:p>
        </w:tc>
      </w:tr>
      <w:tr w14:paraId="305BF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6EFC6155">
            <w:pPr>
              <w:rPr>
                <w:lang w:eastAsia="en-US"/>
              </w:rPr>
            </w:pPr>
            <w:r>
              <w:rPr>
                <w:lang w:eastAsia="en-US"/>
              </w:rPr>
              <w:t>heat_simulation/fem1d</w:t>
            </w:r>
          </w:p>
        </w:tc>
        <w:tc>
          <w:tcPr>
            <w:tcW w:w="3350" w:type="dxa"/>
          </w:tcPr>
          <w:p w14:paraId="632EE4A6">
            <w:pPr>
              <w:rPr>
                <w:lang w:eastAsia="zh-CN"/>
              </w:rPr>
            </w:pPr>
            <w:r>
              <w:rPr>
                <w:lang w:eastAsia="zh-CN"/>
              </w:rPr>
              <w:t>一维分层热学、热弹性、超声和信号处理</w:t>
            </w:r>
          </w:p>
        </w:tc>
        <w:tc>
          <w:tcPr>
            <w:tcW w:w="2576" w:type="dxa"/>
          </w:tcPr>
          <w:p w14:paraId="1906AE5E">
            <w:pPr>
              <w:rPr>
                <w:lang w:eastAsia="zh-CN"/>
              </w:rPr>
            </w:pPr>
            <w:r>
              <w:rPr>
                <w:lang w:eastAsia="zh-CN"/>
              </w:rPr>
              <w:t>一维场量、时程和声学特征</w:t>
            </w:r>
          </w:p>
        </w:tc>
      </w:tr>
      <w:tr w14:paraId="76BB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53CC55E9">
            <w:pPr>
              <w:rPr>
                <w:lang w:eastAsia="en-US"/>
              </w:rPr>
            </w:pPr>
            <w:r>
              <w:rPr>
                <w:lang w:eastAsia="en-US"/>
              </w:rPr>
              <w:t>fem2d/python/element.py、solver.py</w:t>
            </w:r>
          </w:p>
        </w:tc>
        <w:tc>
          <w:tcPr>
            <w:tcW w:w="3350" w:type="dxa"/>
          </w:tcPr>
          <w:p w14:paraId="6108A183">
            <w:pPr>
              <w:rPr>
                <w:lang w:eastAsia="zh-CN"/>
              </w:rPr>
            </w:pPr>
            <w:r>
              <w:rPr>
                <w:lang w:eastAsia="zh-CN"/>
              </w:rPr>
              <w:t>T6形函数、热学矩阵装配与稳态/瞬态求解</w:t>
            </w:r>
          </w:p>
        </w:tc>
        <w:tc>
          <w:tcPr>
            <w:tcW w:w="2576" w:type="dxa"/>
          </w:tcPr>
          <w:p w14:paraId="2328FE93">
            <w:pPr>
              <w:rPr>
                <w:lang w:eastAsia="en-US"/>
              </w:rPr>
            </w:pPr>
            <w:r>
              <w:rPr>
                <w:lang w:eastAsia="en-US"/>
              </w:rPr>
              <w:t>二维温度场及热流</w:t>
            </w:r>
          </w:p>
        </w:tc>
      </w:tr>
      <w:tr w14:paraId="6886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0308BC48">
            <w:pPr>
              <w:rPr>
                <w:lang w:eastAsia="en-US"/>
              </w:rPr>
            </w:pPr>
            <w:r>
              <w:rPr>
                <w:lang w:eastAsia="en-US"/>
              </w:rPr>
              <w:t>fem2d/python/mechanical*.py</w:t>
            </w:r>
          </w:p>
        </w:tc>
        <w:tc>
          <w:tcPr>
            <w:tcW w:w="3350" w:type="dxa"/>
          </w:tcPr>
          <w:p w14:paraId="012BB674">
            <w:pPr>
              <w:rPr>
                <w:lang w:eastAsia="zh-CN"/>
              </w:rPr>
            </w:pPr>
            <w:r>
              <w:rPr>
                <w:lang w:eastAsia="zh-CN"/>
              </w:rPr>
              <w:t>热弹性、边界、接触与位移/应力后处理</w:t>
            </w:r>
          </w:p>
        </w:tc>
        <w:tc>
          <w:tcPr>
            <w:tcW w:w="2576" w:type="dxa"/>
          </w:tcPr>
          <w:p w14:paraId="05033EA3">
            <w:pPr>
              <w:rPr>
                <w:lang w:eastAsia="zh-CN"/>
              </w:rPr>
            </w:pPr>
            <w:r>
              <w:rPr>
                <w:lang w:eastAsia="zh-CN"/>
              </w:rPr>
              <w:t>位移、应变、应力和预应力</w:t>
            </w:r>
          </w:p>
        </w:tc>
      </w:tr>
      <w:tr w14:paraId="2D53B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1136C6AB">
            <w:pPr>
              <w:rPr>
                <w:lang w:eastAsia="en-US"/>
              </w:rPr>
            </w:pPr>
            <w:r>
              <w:rPr>
                <w:lang w:eastAsia="en-US"/>
              </w:rPr>
              <w:t>fem2d/fortran/*.f90</w:t>
            </w:r>
          </w:p>
        </w:tc>
        <w:tc>
          <w:tcPr>
            <w:tcW w:w="3350" w:type="dxa"/>
          </w:tcPr>
          <w:p w14:paraId="7D70432B">
            <w:pPr>
              <w:rPr>
                <w:lang w:eastAsia="zh-CN"/>
              </w:rPr>
            </w:pPr>
            <w:r>
              <w:rPr>
                <w:lang w:eastAsia="zh-CN"/>
              </w:rPr>
              <w:t>热学与力学高性能计算内核</w:t>
            </w:r>
          </w:p>
        </w:tc>
        <w:tc>
          <w:tcPr>
            <w:tcW w:w="2576" w:type="dxa"/>
          </w:tcPr>
          <w:p w14:paraId="56CDB989">
            <w:pPr>
              <w:rPr>
                <w:lang w:eastAsia="zh-CN"/>
              </w:rPr>
            </w:pPr>
            <w:r>
              <w:rPr>
                <w:lang w:eastAsia="zh-CN"/>
              </w:rPr>
              <w:t>稀疏矩阵与单元积分结果</w:t>
            </w:r>
          </w:p>
        </w:tc>
      </w:tr>
      <w:tr w14:paraId="40EA3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7EFE7FB7">
            <w:pPr>
              <w:rPr>
                <w:lang w:eastAsia="en-US"/>
              </w:rPr>
            </w:pPr>
            <w:r>
              <w:rPr>
                <w:lang w:eastAsia="en-US"/>
              </w:rPr>
              <w:t>ultrasonic_simulation/src</w:t>
            </w:r>
          </w:p>
        </w:tc>
        <w:tc>
          <w:tcPr>
            <w:tcW w:w="3350" w:type="dxa"/>
          </w:tcPr>
          <w:p w14:paraId="04768040">
            <w:pPr>
              <w:rPr>
                <w:lang w:eastAsia="zh-CN"/>
              </w:rPr>
            </w:pPr>
            <w:r>
              <w:rPr>
                <w:lang w:eastAsia="zh-CN"/>
              </w:rPr>
              <w:t>波动方程、界面、PML、源/接收和时间推进</w:t>
            </w:r>
          </w:p>
        </w:tc>
        <w:tc>
          <w:tcPr>
            <w:tcW w:w="2576" w:type="dxa"/>
          </w:tcPr>
          <w:p w14:paraId="5122D8F6">
            <w:pPr>
              <w:rPr>
                <w:lang w:eastAsia="en-US"/>
              </w:rPr>
            </w:pPr>
            <w:r>
              <w:rPr>
                <w:lang w:eastAsia="en-US"/>
              </w:rPr>
              <w:t>波动场和接收全波形</w:t>
            </w:r>
          </w:p>
        </w:tc>
      </w:tr>
      <w:tr w14:paraId="47C9A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74D9A223">
            <w:pPr>
              <w:rPr>
                <w:lang w:eastAsia="en-US"/>
              </w:rPr>
            </w:pPr>
            <w:r>
              <w:rPr>
                <w:lang w:eastAsia="en-US"/>
              </w:rPr>
              <w:t>ultrasonic_simulation/src/postprocess.py</w:t>
            </w:r>
          </w:p>
        </w:tc>
        <w:tc>
          <w:tcPr>
            <w:tcW w:w="3350" w:type="dxa"/>
          </w:tcPr>
          <w:p w14:paraId="5C2E07C2">
            <w:pPr>
              <w:rPr>
                <w:lang w:eastAsia="en-US"/>
              </w:rPr>
            </w:pPr>
            <w:r>
              <w:rPr>
                <w:lang w:eastAsia="en-US"/>
              </w:rPr>
              <w:t>Hilbert、FFT、STFT、CWT及回波闸门</w:t>
            </w:r>
          </w:p>
        </w:tc>
        <w:tc>
          <w:tcPr>
            <w:tcW w:w="2576" w:type="dxa"/>
          </w:tcPr>
          <w:p w14:paraId="6CEC7ECE">
            <w:pPr>
              <w:rPr>
                <w:lang w:eastAsia="zh-CN"/>
              </w:rPr>
            </w:pPr>
            <w:r>
              <w:rPr>
                <w:lang w:eastAsia="zh-CN"/>
              </w:rPr>
              <w:t>TOF、幅值、包络面积、频谱及时频特征</w:t>
            </w:r>
          </w:p>
        </w:tc>
      </w:tr>
      <w:tr w14:paraId="547E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1D8565B1">
            <w:pPr>
              <w:rPr>
                <w:lang w:eastAsia="en-US"/>
              </w:rPr>
            </w:pPr>
            <w:r>
              <w:rPr>
                <w:lang w:eastAsia="en-US"/>
              </w:rPr>
              <w:t>mesh_generators</w:t>
            </w:r>
          </w:p>
        </w:tc>
        <w:tc>
          <w:tcPr>
            <w:tcW w:w="3350" w:type="dxa"/>
          </w:tcPr>
          <w:p w14:paraId="219AEC34">
            <w:pPr>
              <w:rPr>
                <w:lang w:eastAsia="zh-CN"/>
              </w:rPr>
            </w:pPr>
            <w:r>
              <w:rPr>
                <w:lang w:eastAsia="zh-CN"/>
              </w:rPr>
              <w:t>多层、随机颗粒和周期纤维网格生成</w:t>
            </w:r>
          </w:p>
        </w:tc>
        <w:tc>
          <w:tcPr>
            <w:tcW w:w="2576" w:type="dxa"/>
          </w:tcPr>
          <w:p w14:paraId="4F644382">
            <w:pPr>
              <w:rPr>
                <w:lang w:eastAsia="en-US"/>
              </w:rPr>
            </w:pPr>
            <w:r>
              <w:rPr>
                <w:lang w:eastAsia="en-US"/>
              </w:rPr>
              <w:t>Gmsh网格及物理分区</w:t>
            </w:r>
          </w:p>
        </w:tc>
      </w:tr>
      <w:tr w14:paraId="02A2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1A4E3D58">
            <w:pPr>
              <w:rPr>
                <w:lang w:eastAsia="en-US"/>
              </w:rPr>
            </w:pPr>
            <w:r>
              <w:rPr>
                <w:lang w:eastAsia="en-US"/>
              </w:rPr>
              <w:t>periodic_homogenization.py</w:t>
            </w:r>
          </w:p>
        </w:tc>
        <w:tc>
          <w:tcPr>
            <w:tcW w:w="3350" w:type="dxa"/>
          </w:tcPr>
          <w:p w14:paraId="4694082C">
            <w:pPr>
              <w:rPr>
                <w:lang w:eastAsia="zh-CN"/>
              </w:rPr>
            </w:pPr>
            <w:r>
              <w:rPr>
                <w:lang w:eastAsia="zh-CN"/>
              </w:rPr>
              <w:t>周期单胞热学、弹性、热膨胀和动态均匀化</w:t>
            </w:r>
          </w:p>
        </w:tc>
        <w:tc>
          <w:tcPr>
            <w:tcW w:w="2576" w:type="dxa"/>
          </w:tcPr>
          <w:p w14:paraId="380A6A75">
            <w:pPr>
              <w:rPr>
                <w:lang w:eastAsia="zh-CN"/>
              </w:rPr>
            </w:pPr>
            <w:r>
              <w:rPr>
                <w:lang w:eastAsia="zh-CN"/>
              </w:rPr>
              <w:t>温度/频率相关等效参数表</w:t>
            </w:r>
          </w:p>
        </w:tc>
      </w:tr>
    </w:tbl>
    <w:p w14:paraId="3EC2AE45">
      <w:pPr>
        <w:ind w:firstLine="420"/>
      </w:pPr>
      <w:r>
        <w:t>统一计算流程从几何和材料配置开始。程序首先选择建模方案，生成或读取Gmsh二次网格，检查物理面组、边界组和界面组；随后建立温度相关材料对象及边界条件，运行稳态或瞬态热场；热场结果被传递到热弹性模型以计算位移与应力；超声模型再读取网格、温度和残余应力，配置激励、接收、时间步和界面模型，生成波动场与接收波形；最后由后处理模块生成CSV特征表和PNG图形。</w:t>
      </w:r>
    </w:p>
    <w:p w14:paraId="4DA461BD">
      <w:pPr>
        <w:ind w:firstLine="420"/>
      </w:pPr>
      <w:r>
        <w:t>三个物理过程具有不同时间尺度。热传导和热变形通常在秒级时间内演化，超声传播则在微秒级完成。程序因此采用顺序衔接：先在选定热时刻冻结温度和预应力状态，再以该状态作为超声计算初值。需要研究升温全过程时，可在多个热时刻重复运行超声计算，构成“温度状态—全波形—声学特征”样本序列。</w:t>
      </w:r>
    </w:p>
    <w:p w14:paraId="412BD921">
      <w:pPr>
        <w:pStyle w:val="33"/>
      </w:pPr>
    </w:p>
    <w:p w14:paraId="0581C10A">
      <w:pPr>
        <w:pStyle w:val="33"/>
      </w:pPr>
    </w:p>
    <w:p w14:paraId="25C1EF85">
      <w:pPr>
        <w:pStyle w:val="33"/>
      </w:pPr>
    </w:p>
    <w:p w14:paraId="364663E1">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t>计算阶段、时间尺度与结果文件</w:t>
      </w:r>
    </w:p>
    <w:tbl>
      <w:tblPr>
        <w:tblStyle w:val="63"/>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1500"/>
        <w:gridCol w:w="3300"/>
        <w:gridCol w:w="2626"/>
      </w:tblGrid>
      <w:tr w14:paraId="51100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0" w:type="dxa"/>
            <w:tcMar>
              <w:top w:w="90" w:type="dxa"/>
              <w:left w:w="120" w:type="dxa"/>
              <w:bottom w:w="90" w:type="dxa"/>
              <w:right w:w="120" w:type="dxa"/>
            </w:tcMar>
            <w:vAlign w:val="center"/>
          </w:tcPr>
          <w:p w14:paraId="45728EDF">
            <w:pPr>
              <w:pStyle w:val="33"/>
              <w:rPr>
                <w:lang w:eastAsia="en-US"/>
              </w:rPr>
            </w:pPr>
            <w:r>
              <w:rPr>
                <w:lang w:eastAsia="en-US"/>
              </w:rPr>
              <w:t>阶段</w:t>
            </w:r>
          </w:p>
        </w:tc>
        <w:tc>
          <w:tcPr>
            <w:tcW w:w="1500" w:type="dxa"/>
            <w:tcMar>
              <w:top w:w="90" w:type="dxa"/>
              <w:left w:w="120" w:type="dxa"/>
              <w:bottom w:w="90" w:type="dxa"/>
              <w:right w:w="120" w:type="dxa"/>
            </w:tcMar>
            <w:vAlign w:val="center"/>
          </w:tcPr>
          <w:p w14:paraId="56DFDC93">
            <w:pPr>
              <w:pStyle w:val="33"/>
              <w:rPr>
                <w:lang w:eastAsia="en-US"/>
              </w:rPr>
            </w:pPr>
            <w:r>
              <w:rPr>
                <w:lang w:eastAsia="en-US"/>
              </w:rPr>
              <w:t>典型时间尺度</w:t>
            </w:r>
          </w:p>
        </w:tc>
        <w:tc>
          <w:tcPr>
            <w:tcW w:w="3300" w:type="dxa"/>
            <w:tcMar>
              <w:top w:w="90" w:type="dxa"/>
              <w:left w:w="120" w:type="dxa"/>
              <w:bottom w:w="90" w:type="dxa"/>
              <w:right w:w="120" w:type="dxa"/>
            </w:tcMar>
            <w:vAlign w:val="center"/>
          </w:tcPr>
          <w:p w14:paraId="651DCBE4">
            <w:pPr>
              <w:pStyle w:val="33"/>
              <w:rPr>
                <w:lang w:eastAsia="en-US"/>
              </w:rPr>
            </w:pPr>
            <w:r>
              <w:rPr>
                <w:lang w:eastAsia="en-US"/>
              </w:rPr>
              <w:t>主要文件/数据</w:t>
            </w:r>
          </w:p>
        </w:tc>
        <w:tc>
          <w:tcPr>
            <w:tcW w:w="2626" w:type="dxa"/>
            <w:tcMar>
              <w:top w:w="90" w:type="dxa"/>
              <w:left w:w="120" w:type="dxa"/>
              <w:bottom w:w="90" w:type="dxa"/>
              <w:right w:w="120" w:type="dxa"/>
            </w:tcMar>
            <w:vAlign w:val="center"/>
          </w:tcPr>
          <w:p w14:paraId="4323D786">
            <w:pPr>
              <w:pStyle w:val="33"/>
              <w:rPr>
                <w:lang w:eastAsia="en-US"/>
              </w:rPr>
            </w:pPr>
            <w:r>
              <w:rPr>
                <w:lang w:eastAsia="en-US"/>
              </w:rPr>
              <w:t>后续用途</w:t>
            </w:r>
          </w:p>
        </w:tc>
      </w:tr>
      <w:tr w14:paraId="0BE46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6ED70A29">
            <w:pPr>
              <w:pStyle w:val="33"/>
              <w:rPr>
                <w:lang w:eastAsia="en-US"/>
              </w:rPr>
            </w:pPr>
            <w:r>
              <w:rPr>
                <w:lang w:eastAsia="en-US"/>
              </w:rPr>
              <w:t>稳态热—固</w:t>
            </w:r>
          </w:p>
        </w:tc>
        <w:tc>
          <w:tcPr>
            <w:tcW w:w="1500" w:type="dxa"/>
            <w:vAlign w:val="center"/>
          </w:tcPr>
          <w:p w14:paraId="4AADABAC">
            <w:pPr>
              <w:pStyle w:val="33"/>
              <w:rPr>
                <w:lang w:eastAsia="en-US"/>
              </w:rPr>
            </w:pPr>
            <w:r>
              <w:rPr>
                <w:lang w:eastAsia="en-US"/>
              </w:rPr>
              <w:t>无显式物理时间</w:t>
            </w:r>
          </w:p>
        </w:tc>
        <w:tc>
          <w:tcPr>
            <w:tcW w:w="3300" w:type="dxa"/>
            <w:vAlign w:val="center"/>
          </w:tcPr>
          <w:p w14:paraId="039FCB2B">
            <w:pPr>
              <w:pStyle w:val="33"/>
              <w:rPr>
                <w:lang w:eastAsia="zh-CN"/>
              </w:rPr>
            </w:pPr>
            <w:r>
              <w:rPr>
                <w:lang w:eastAsia="zh-CN"/>
              </w:rPr>
              <w:t>温度、位移、应力CSV/VTU</w:t>
            </w:r>
          </w:p>
        </w:tc>
        <w:tc>
          <w:tcPr>
            <w:tcW w:w="2626" w:type="dxa"/>
            <w:vAlign w:val="center"/>
          </w:tcPr>
          <w:p w14:paraId="2441D065">
            <w:pPr>
              <w:pStyle w:val="33"/>
              <w:rPr>
                <w:lang w:eastAsia="zh-CN"/>
              </w:rPr>
            </w:pPr>
            <w:r>
              <w:rPr>
                <w:lang w:eastAsia="zh-CN"/>
              </w:rPr>
              <w:t>基准场与高温稳定状态</w:t>
            </w:r>
          </w:p>
        </w:tc>
      </w:tr>
      <w:tr w14:paraId="3A423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54475042">
            <w:pPr>
              <w:pStyle w:val="33"/>
              <w:rPr>
                <w:lang w:eastAsia="en-US"/>
              </w:rPr>
            </w:pPr>
            <w:r>
              <w:rPr>
                <w:lang w:eastAsia="en-US"/>
              </w:rPr>
              <w:t>瞬态热—固</w:t>
            </w:r>
          </w:p>
        </w:tc>
        <w:tc>
          <w:tcPr>
            <w:tcW w:w="1500" w:type="dxa"/>
            <w:vAlign w:val="center"/>
          </w:tcPr>
          <w:p w14:paraId="4EDED2C3">
            <w:pPr>
              <w:pStyle w:val="33"/>
              <w:rPr>
                <w:lang w:eastAsia="en-US"/>
              </w:rPr>
            </w:pPr>
            <w:r>
              <w:rPr>
                <w:lang w:eastAsia="en-US"/>
              </w:rPr>
              <w:t>0～10 s</w:t>
            </w:r>
          </w:p>
        </w:tc>
        <w:tc>
          <w:tcPr>
            <w:tcW w:w="3300" w:type="dxa"/>
            <w:vAlign w:val="center"/>
          </w:tcPr>
          <w:p w14:paraId="55485410">
            <w:pPr>
              <w:pStyle w:val="33"/>
              <w:rPr>
                <w:lang w:eastAsia="zh-CN"/>
              </w:rPr>
            </w:pPr>
            <w:r>
              <w:rPr>
                <w:lang w:eastAsia="zh-CN"/>
              </w:rPr>
              <w:t>监测点时程、PVD/VTU云图</w:t>
            </w:r>
          </w:p>
        </w:tc>
        <w:tc>
          <w:tcPr>
            <w:tcW w:w="2626" w:type="dxa"/>
            <w:vAlign w:val="center"/>
          </w:tcPr>
          <w:p w14:paraId="52CDBFC1">
            <w:pPr>
              <w:pStyle w:val="33"/>
              <w:rPr>
                <w:lang w:eastAsia="zh-CN"/>
              </w:rPr>
            </w:pPr>
            <w:r>
              <w:rPr>
                <w:lang w:eastAsia="zh-CN"/>
              </w:rPr>
              <w:t>温度演化和热变形过程</w:t>
            </w:r>
          </w:p>
        </w:tc>
      </w:tr>
      <w:tr w14:paraId="2A6EC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1920F3AF">
            <w:pPr>
              <w:pStyle w:val="33"/>
              <w:rPr>
                <w:lang w:eastAsia="en-US"/>
              </w:rPr>
            </w:pPr>
            <w:r>
              <w:rPr>
                <w:lang w:eastAsia="en-US"/>
              </w:rPr>
              <w:t>超声传播</w:t>
            </w:r>
          </w:p>
        </w:tc>
        <w:tc>
          <w:tcPr>
            <w:tcW w:w="1500" w:type="dxa"/>
            <w:vAlign w:val="center"/>
          </w:tcPr>
          <w:p w14:paraId="20313B52">
            <w:pPr>
              <w:pStyle w:val="33"/>
              <w:rPr>
                <w:lang w:eastAsia="en-US"/>
              </w:rPr>
            </w:pPr>
            <w:r>
              <w:rPr>
                <w:lang w:eastAsia="en-US"/>
              </w:rPr>
              <w:t>0～20 μs</w:t>
            </w:r>
          </w:p>
        </w:tc>
        <w:tc>
          <w:tcPr>
            <w:tcW w:w="3300" w:type="dxa"/>
            <w:vAlign w:val="center"/>
          </w:tcPr>
          <w:p w14:paraId="1BBD7BDA">
            <w:pPr>
              <w:pStyle w:val="33"/>
              <w:rPr>
                <w:lang w:eastAsia="zh-CN"/>
              </w:rPr>
            </w:pPr>
            <w:r>
              <w:rPr>
                <w:lang w:eastAsia="zh-CN"/>
              </w:rPr>
              <w:t>接收波形、典型时刻波动场</w:t>
            </w:r>
          </w:p>
        </w:tc>
        <w:tc>
          <w:tcPr>
            <w:tcW w:w="2626" w:type="dxa"/>
            <w:vAlign w:val="center"/>
          </w:tcPr>
          <w:p w14:paraId="4F452379">
            <w:pPr>
              <w:pStyle w:val="33"/>
              <w:rPr>
                <w:lang w:eastAsia="zh-CN"/>
              </w:rPr>
            </w:pPr>
            <w:r>
              <w:rPr>
                <w:lang w:eastAsia="zh-CN"/>
              </w:rPr>
              <w:t>传播、反射、透射与TOF</w:t>
            </w:r>
          </w:p>
        </w:tc>
      </w:tr>
      <w:tr w14:paraId="05E5F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7782A31A">
            <w:pPr>
              <w:pStyle w:val="33"/>
              <w:rPr>
                <w:lang w:eastAsia="en-US"/>
              </w:rPr>
            </w:pPr>
            <w:r>
              <w:rPr>
                <w:lang w:eastAsia="en-US"/>
              </w:rPr>
              <w:t>信号后处理</w:t>
            </w:r>
          </w:p>
        </w:tc>
        <w:tc>
          <w:tcPr>
            <w:tcW w:w="1500" w:type="dxa"/>
            <w:vAlign w:val="center"/>
          </w:tcPr>
          <w:p w14:paraId="69B80AF6">
            <w:pPr>
              <w:pStyle w:val="33"/>
              <w:rPr>
                <w:lang w:eastAsia="en-US"/>
              </w:rPr>
            </w:pPr>
            <w:r>
              <w:rPr>
                <w:lang w:eastAsia="en-US"/>
              </w:rPr>
              <w:t>与采样时间一致</w:t>
            </w:r>
          </w:p>
        </w:tc>
        <w:tc>
          <w:tcPr>
            <w:tcW w:w="3300" w:type="dxa"/>
            <w:vAlign w:val="center"/>
          </w:tcPr>
          <w:p w14:paraId="54897C92">
            <w:pPr>
              <w:pStyle w:val="33"/>
              <w:rPr>
                <w:lang w:eastAsia="zh-CN"/>
              </w:rPr>
            </w:pPr>
            <w:r>
              <w:rPr>
                <w:lang w:eastAsia="zh-CN"/>
              </w:rPr>
              <w:t>包络、频谱、STFT/CWT、特征汇总</w:t>
            </w:r>
          </w:p>
        </w:tc>
        <w:tc>
          <w:tcPr>
            <w:tcW w:w="2626" w:type="dxa"/>
            <w:vAlign w:val="center"/>
          </w:tcPr>
          <w:p w14:paraId="397CDAE2">
            <w:pPr>
              <w:pStyle w:val="33"/>
              <w:rPr>
                <w:lang w:eastAsia="en-US"/>
              </w:rPr>
            </w:pPr>
            <w:r>
              <w:rPr>
                <w:lang w:eastAsia="en-US"/>
              </w:rPr>
              <w:t>反演特征与AI样本</w:t>
            </w:r>
          </w:p>
        </w:tc>
      </w:tr>
    </w:tbl>
    <w:p w14:paraId="61F04157">
      <w:pPr>
        <w:ind w:firstLine="420"/>
      </w:pPr>
      <w:r>
        <w:t>与COMSOL比较时，程序不直接按节点编号对应，而是先统一坐标原点、方向、长度单位、温度单位、位移单位和采样时刻，再按照物理坐标建立空间关系。网格不一致时采用空间插值或最近节点匹配；时间步不一致时以参考采样时刻为基准进行时间插值。声学信号在比较前统一执行去直流、归一化和闸门设置，以避免初始偏置、采样差异或激励源波包干扰特征判断。</w:t>
      </w:r>
    </w:p>
    <w:p w14:paraId="59078C22">
      <w:pPr>
        <w:pStyle w:val="5"/>
      </w:pPr>
      <w:bookmarkStart w:id="33" w:name="_Toc235910451"/>
      <w:bookmarkStart w:id="34" w:name="_Ref235899670"/>
      <w:r>
        <w:t>两层W30Mo70多层材料研究</w:t>
      </w:r>
      <w:bookmarkEnd w:id="33"/>
      <w:bookmarkEnd w:id="34"/>
    </w:p>
    <w:p w14:paraId="1197D2EA">
      <w:pPr>
        <w:pStyle w:val="6"/>
      </w:pPr>
      <w:r>
        <w:t>研究对象与模型设置</w:t>
      </w:r>
    </w:p>
    <w:p w14:paraId="08831754">
      <w:pPr>
        <w:ind w:firstLine="420"/>
      </w:pPr>
      <w:r>
        <w:t>多层材料研究采用两层W30Mo70钨钼合金作为代表对象。一维模型沿厚度方向建立20 mm层状结构，两层各厚10 mm，每层100个单元，总计200个单元；二维模型尺寸为100 mm×20 mm，上下两层各厚10 mm，目标网格尺寸0.2 mm，包含116060个T6三角形单元和233321个节点。层间不设置具有实体厚度的中间层，而通过等效热学与力学界面参数描述。</w:t>
      </w:r>
    </w:p>
    <w:p w14:paraId="2822AD76">
      <w:pPr>
        <w:ind w:firstLine="420"/>
      </w:pPr>
      <w:r>
        <w:t>模型边界：本节讨论的是模块一名义20 mm数值模型。模块二实验试件的19.2 mm实测厚度不用于本节正演参数。</w:t>
      </w:r>
    </w:p>
    <w:p w14:paraId="55654755"/>
    <w:p w14:paraId="296E5BF3">
      <w:pPr>
        <w:keepNext/>
        <w:spacing w:before="120" w:after="40"/>
        <w:jc w:val="center"/>
      </w:pPr>
      <w:r>
        <w:drawing>
          <wp:inline distT="0" distB="0" distL="0" distR="0">
            <wp:extent cx="5486400" cy="1178560"/>
            <wp:effectExtent l="0" t="0" r="0" b="0"/>
            <wp:docPr id="203927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7574" name="Picture 4"/>
                    <pic:cNvPicPr>
                      <a:picLocks noChangeAspect="1"/>
                    </pic:cNvPicPr>
                  </pic:nvPicPr>
                  <pic:blipFill>
                    <a:blip r:embed="rId17"/>
                    <a:stretch>
                      <a:fillRect/>
                    </a:stretch>
                  </pic:blipFill>
                  <pic:spPr>
                    <a:xfrm>
                      <a:off x="0" y="0"/>
                      <a:ext cx="5486400" cy="1179114"/>
                    </a:xfrm>
                    <a:prstGeom prst="rect">
                      <a:avLst/>
                    </a:prstGeom>
                  </pic:spPr>
                </pic:pic>
              </a:graphicData>
            </a:graphic>
          </wp:inline>
        </w:drawing>
      </w:r>
    </w:p>
    <w:p w14:paraId="09CA4B7A">
      <w:pPr>
        <w:pStyle w:val="33"/>
      </w:pPr>
      <w:bookmarkStart w:id="35" w:name="_Ref2359021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bookmarkEnd w:id="35"/>
      <w:r>
        <w:t>二维两层W30Mo70材料模型</w:t>
      </w:r>
    </w:p>
    <w:p w14:paraId="30BE44C3">
      <w:pPr>
        <w:keepNext/>
        <w:spacing w:before="120" w:after="40"/>
        <w:jc w:val="center"/>
      </w:pPr>
      <w:r>
        <w:drawing>
          <wp:inline distT="0" distB="0" distL="0" distR="0">
            <wp:extent cx="5120640" cy="846455"/>
            <wp:effectExtent l="0" t="0" r="0" b="0"/>
            <wp:docPr id="196020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0671" name="Picture 5"/>
                    <pic:cNvPicPr>
                      <a:picLocks noChangeAspect="1"/>
                    </pic:cNvPicPr>
                  </pic:nvPicPr>
                  <pic:blipFill>
                    <a:blip r:embed="rId18"/>
                    <a:stretch>
                      <a:fillRect/>
                    </a:stretch>
                  </pic:blipFill>
                  <pic:spPr>
                    <a:xfrm>
                      <a:off x="0" y="0"/>
                      <a:ext cx="5120640" cy="846656"/>
                    </a:xfrm>
                    <a:prstGeom prst="rect">
                      <a:avLst/>
                    </a:prstGeom>
                  </pic:spPr>
                </pic:pic>
              </a:graphicData>
            </a:graphic>
          </wp:inline>
        </w:drawing>
      </w:r>
    </w:p>
    <w:p w14:paraId="0E60C496">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t>层间T6网格局部结构</w:t>
      </w:r>
    </w:p>
    <w:p w14:paraId="31625681">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t>两层W30Mo70模型主要参数</w:t>
      </w:r>
    </w:p>
    <w:tbl>
      <w:tblPr>
        <w:tblStyle w:val="22"/>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600"/>
        <w:gridCol w:w="3626"/>
      </w:tblGrid>
      <w:tr w14:paraId="0BF05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0" w:type="dxa"/>
            <w:tcMar>
              <w:top w:w="90" w:type="dxa"/>
              <w:left w:w="120" w:type="dxa"/>
              <w:bottom w:w="90" w:type="dxa"/>
              <w:right w:w="120" w:type="dxa"/>
            </w:tcMar>
            <w:vAlign w:val="center"/>
          </w:tcPr>
          <w:p w14:paraId="249D6C8E">
            <w:r>
              <w:t>项目</w:t>
            </w:r>
          </w:p>
        </w:tc>
        <w:tc>
          <w:tcPr>
            <w:tcW w:w="3600" w:type="dxa"/>
            <w:tcMar>
              <w:top w:w="90" w:type="dxa"/>
              <w:left w:w="120" w:type="dxa"/>
              <w:bottom w:w="90" w:type="dxa"/>
              <w:right w:w="120" w:type="dxa"/>
            </w:tcMar>
            <w:vAlign w:val="center"/>
          </w:tcPr>
          <w:p w14:paraId="465A4752">
            <w:r>
              <w:t>一维模型</w:t>
            </w:r>
          </w:p>
        </w:tc>
        <w:tc>
          <w:tcPr>
            <w:tcW w:w="3626" w:type="dxa"/>
            <w:tcMar>
              <w:top w:w="90" w:type="dxa"/>
              <w:left w:w="120" w:type="dxa"/>
              <w:bottom w:w="90" w:type="dxa"/>
              <w:right w:w="120" w:type="dxa"/>
            </w:tcMar>
            <w:vAlign w:val="center"/>
          </w:tcPr>
          <w:p w14:paraId="106EF66D">
            <w:r>
              <w:t>二维模型</w:t>
            </w:r>
          </w:p>
        </w:tc>
      </w:tr>
      <w:tr w14:paraId="07464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1ED4CAEA">
            <w:r>
              <w:t>几何尺寸</w:t>
            </w:r>
          </w:p>
        </w:tc>
        <w:tc>
          <w:tcPr>
            <w:tcW w:w="3600" w:type="dxa"/>
          </w:tcPr>
          <w:p w14:paraId="647941D5">
            <w:r>
              <w:t>总厚20 mm；10 mm＋10 mm</w:t>
            </w:r>
          </w:p>
        </w:tc>
        <w:tc>
          <w:tcPr>
            <w:tcW w:w="3626" w:type="dxa"/>
          </w:tcPr>
          <w:p w14:paraId="1ADF6584">
            <w:r>
              <w:t>100 mm×20 mm；上下各10 mm</w:t>
            </w:r>
          </w:p>
        </w:tc>
      </w:tr>
      <w:tr w14:paraId="35EE8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2E9E3608">
            <w:r>
              <w:t>空间离散</w:t>
            </w:r>
          </w:p>
        </w:tc>
        <w:tc>
          <w:tcPr>
            <w:tcW w:w="3600" w:type="dxa"/>
          </w:tcPr>
          <w:p w14:paraId="068BAF9F">
            <w:r>
              <w:t>200个线性单元</w:t>
            </w:r>
          </w:p>
        </w:tc>
        <w:tc>
          <w:tcPr>
            <w:tcW w:w="3626" w:type="dxa"/>
          </w:tcPr>
          <w:p w14:paraId="37DD0AA7">
            <w:r>
              <w:t>116060个T6单元，233321个节点</w:t>
            </w:r>
          </w:p>
        </w:tc>
      </w:tr>
      <w:tr w14:paraId="73B1A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1A1A2683">
            <w:r>
              <w:t>温度范围</w:t>
            </w:r>
          </w:p>
        </w:tc>
        <w:tc>
          <w:tcPr>
            <w:tcW w:w="3600" w:type="dxa"/>
          </w:tcPr>
          <w:p w14:paraId="78443C9D">
            <w:r>
              <w:t>初始/参考300 K；底端2000 K</w:t>
            </w:r>
          </w:p>
        </w:tc>
        <w:tc>
          <w:tcPr>
            <w:tcW w:w="3626" w:type="dxa"/>
          </w:tcPr>
          <w:p w14:paraId="6CD648BF">
            <w:r>
              <w:t>初始/参考300 K；底边2000 K</w:t>
            </w:r>
          </w:p>
        </w:tc>
      </w:tr>
      <w:tr w14:paraId="75A4E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0293E806">
            <w:r>
              <w:t>热边界</w:t>
            </w:r>
          </w:p>
        </w:tc>
        <w:tc>
          <w:tcPr>
            <w:tcW w:w="3600" w:type="dxa"/>
          </w:tcPr>
          <w:p w14:paraId="7F38F13D">
            <w:r>
              <w:t>顶部对流＋辐射</w:t>
            </w:r>
          </w:p>
        </w:tc>
        <w:tc>
          <w:tcPr>
            <w:tcW w:w="3626" w:type="dxa"/>
          </w:tcPr>
          <w:p w14:paraId="468BA0CE">
            <w:r>
              <w:t>顶部及侧边对流＋辐射</w:t>
            </w:r>
          </w:p>
        </w:tc>
      </w:tr>
      <w:tr w14:paraId="6660C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51836639">
            <w:r>
              <w:t>超声激励</w:t>
            </w:r>
          </w:p>
        </w:tc>
        <w:tc>
          <w:tcPr>
            <w:tcW w:w="3600" w:type="dxa"/>
          </w:tcPr>
          <w:p w14:paraId="38F583EE">
            <w:r>
              <w:t>顶部5周期2.5 MHz应力激励</w:t>
            </w:r>
          </w:p>
        </w:tc>
        <w:tc>
          <w:tcPr>
            <w:tcW w:w="3626" w:type="dxa"/>
          </w:tcPr>
          <w:p w14:paraId="3DD31887">
            <w:r>
              <w:t>顶部13 mm区域5周期2.5 MHz面力激励</w:t>
            </w:r>
          </w:p>
        </w:tc>
      </w:tr>
      <w:tr w14:paraId="46671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2B028761">
            <w:r>
              <w:t>界面处理</w:t>
            </w:r>
          </w:p>
        </w:tc>
        <w:tc>
          <w:tcPr>
            <w:tcW w:w="3600" w:type="dxa"/>
          </w:tcPr>
          <w:p w14:paraId="1B10549B">
            <w:r>
              <w:t>弹簧—阻尼型等效界面</w:t>
            </w:r>
          </w:p>
        </w:tc>
        <w:tc>
          <w:tcPr>
            <w:tcW w:w="3626" w:type="dxa"/>
          </w:tcPr>
          <w:p w14:paraId="5C8A72E8">
            <w:r>
              <w:t>热接触与法/切向界面刚度</w:t>
            </w:r>
          </w:p>
        </w:tc>
      </w:tr>
    </w:tbl>
    <w:p w14:paraId="7CA07D0C">
      <w:pPr>
        <w:pStyle w:val="6"/>
      </w:pPr>
      <w:bookmarkStart w:id="36" w:name="_Ref235902770"/>
      <w:r>
        <w:t>热—固计算与层间响应</w:t>
      </w:r>
      <w:bookmarkEnd w:id="36"/>
    </w:p>
    <w:p w14:paraId="33EA2F92">
      <w:pPr>
        <w:ind w:firstLine="420"/>
      </w:pPr>
      <w:r>
        <w:t>材料导热、弹性和热膨胀参数均按温度函数评价，有效范围为300～2000 K。底部高温边界使热量沿厚度方向向上扩散，上表面和二维侧边通过对流与辐射向300 K环境散热。稳态温度场呈连续的厚度梯度；热膨胀引起的位移随厚度增加，并受到层间界面刚度与最小刚体约束影响。瞬态计算覆盖0～10 s，可观察热量由下层进入上层以及位移逐步建立的过程。</w:t>
      </w:r>
    </w:p>
    <w:p w14:paraId="3A2FB168">
      <w:pPr>
        <w:ind w:firstLine="420"/>
      </w:pPr>
      <w:r>
        <w:t>一维对比中，自研平台稳态温度范围为1857.745～2000 K，温度场NRMSE为0.5268%；稳态位移范围为2.233～129.089 μm，NRMSE为2.7616%。二维模型的稳态温度场NRMSE为0.5681%，稳态位移场NRMSE为1.8617%。这些结果说明温度相关材料、界面处理和T6空间离散能够再现参考模型中的场分布、极值位置和层间过渡。</w:t>
      </w:r>
    </w:p>
    <w:p w14:paraId="52B5B38E">
      <w:pPr>
        <w:keepNext/>
        <w:spacing w:before="120" w:after="40"/>
        <w:jc w:val="center"/>
      </w:pPr>
      <w:r>
        <w:drawing>
          <wp:inline distT="0" distB="0" distL="0" distR="0">
            <wp:extent cx="5532120" cy="4211320"/>
            <wp:effectExtent l="0" t="0" r="0" b="0"/>
            <wp:docPr id="1086853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53377" name="Picture 6"/>
                    <pic:cNvPicPr>
                      <a:picLocks noChangeAspect="1"/>
                    </pic:cNvPicPr>
                  </pic:nvPicPr>
                  <pic:blipFill>
                    <a:blip r:embed="rId19"/>
                    <a:stretch>
                      <a:fillRect/>
                    </a:stretch>
                  </pic:blipFill>
                  <pic:spPr>
                    <a:xfrm>
                      <a:off x="0" y="0"/>
                      <a:ext cx="5532120" cy="4211371"/>
                    </a:xfrm>
                    <a:prstGeom prst="rect">
                      <a:avLst/>
                    </a:prstGeom>
                  </pic:spPr>
                </pic:pic>
              </a:graphicData>
            </a:graphic>
          </wp:inline>
        </w:drawing>
      </w:r>
    </w:p>
    <w:p w14:paraId="1FB62116">
      <w:pPr>
        <w:pStyle w:val="33"/>
      </w:pPr>
      <w:bookmarkStart w:id="37" w:name="_Ref23590252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bookmarkEnd w:id="37"/>
      <w:r>
        <w:t>一维多层材料温度场、固体场与波动场对比</w:t>
      </w:r>
    </w:p>
    <w:p w14:paraId="291FFBF2">
      <w:pPr>
        <w:keepNext/>
        <w:spacing w:before="120" w:after="40"/>
        <w:jc w:val="center"/>
      </w:pPr>
      <w:r>
        <w:drawing>
          <wp:inline distT="0" distB="0" distL="0" distR="0">
            <wp:extent cx="5532120" cy="3698240"/>
            <wp:effectExtent l="0" t="0" r="0" b="0"/>
            <wp:docPr id="10732744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74420" name="Picture 7"/>
                    <pic:cNvPicPr>
                      <a:picLocks noChangeAspect="1"/>
                    </pic:cNvPicPr>
                  </pic:nvPicPr>
                  <pic:blipFill>
                    <a:blip r:embed="rId20"/>
                    <a:stretch>
                      <a:fillRect/>
                    </a:stretch>
                  </pic:blipFill>
                  <pic:spPr>
                    <a:xfrm>
                      <a:off x="0" y="0"/>
                      <a:ext cx="5532120" cy="3698801"/>
                    </a:xfrm>
                    <a:prstGeom prst="rect">
                      <a:avLst/>
                    </a:prstGeom>
                  </pic:spPr>
                </pic:pic>
              </a:graphicData>
            </a:graphic>
          </wp:inline>
        </w:drawing>
      </w:r>
    </w:p>
    <w:p w14:paraId="4B113A2C">
      <w:pPr>
        <w:pStyle w:val="33"/>
      </w:pPr>
      <w:bookmarkStart w:id="38" w:name="_Ref23590252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bookmarkEnd w:id="38"/>
      <w:r>
        <w:t>二维多层材料温度场、固体场与波动场对比</w:t>
      </w:r>
    </w:p>
    <w:p w14:paraId="6EF179DB">
      <w:pPr>
        <w:pStyle w:val="6"/>
      </w:pPr>
      <w:bookmarkStart w:id="39" w:name="_Ref235902773"/>
      <w:r>
        <w:t>超声传播与声学特征</w:t>
      </w:r>
      <w:bookmarkEnd w:id="39"/>
    </w:p>
    <w:p w14:paraId="40DCB886">
      <w:pPr>
        <w:ind w:firstLine="420"/>
      </w:pPr>
      <w:r>
        <w:t>超声脉冲从模型顶部沿厚度方向传播。波包到达层间界面后发生反射与透射，继续传播至底面后形成底面回波，多次往返后产生后续波包。对接收信号去直流并归一化后，一维波形相关系数为0.995059；第一、第二主回波到达时刻分别约为9.4748 μs和17.9543 μs，双回波TOF为8.4795 μs，与参考结果的差异为0.0734%。</w:t>
      </w:r>
    </w:p>
    <w:p w14:paraId="6E9FD128">
      <w:pPr>
        <w:ind w:firstLine="420"/>
      </w:pPr>
      <w:r>
        <w:t>二维模型中，两次主回波TOF为4.0000 μs，中心频率为2.532184 MHz。主频能量集中于2～3 MHz，STFT和Morlet小波图中的主要能量团与回波时刻同步。界面反射和横向传播使二维波形比一维更复杂，但TOF、峰值、包络面积和频谱位置仍保持稳定的可提取性。</w:t>
      </w:r>
    </w:p>
    <w:p w14:paraId="0427DBA1">
      <w:pPr>
        <w:keepNext/>
        <w:spacing w:before="120" w:after="40"/>
        <w:jc w:val="center"/>
      </w:pPr>
      <w:r>
        <w:drawing>
          <wp:inline distT="0" distB="0" distL="0" distR="0">
            <wp:extent cx="5532120" cy="18053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532120" cy="1805478"/>
                    </a:xfrm>
                    <a:prstGeom prst="rect">
                      <a:avLst/>
                    </a:prstGeom>
                  </pic:spPr>
                </pic:pic>
              </a:graphicData>
            </a:graphic>
          </wp:inline>
        </w:drawing>
      </w:r>
    </w:p>
    <w:p w14:paraId="082158C7">
      <w:pPr>
        <w:pStyle w:val="33"/>
      </w:pPr>
      <w:bookmarkStart w:id="40" w:name="_Ref23590252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bookmarkEnd w:id="40"/>
      <w:r>
        <w:t>一维多层材料声学波形、包络与频谱对比</w:t>
      </w:r>
    </w:p>
    <w:p w14:paraId="025780FF">
      <w:pPr>
        <w:keepNext/>
        <w:spacing w:before="120" w:after="40"/>
        <w:jc w:val="center"/>
      </w:pPr>
      <w:r>
        <w:drawing>
          <wp:inline distT="0" distB="0" distL="0" distR="0">
            <wp:extent cx="5532120" cy="3368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5532120" cy="3368765"/>
                    </a:xfrm>
                    <a:prstGeom prst="rect">
                      <a:avLst/>
                    </a:prstGeom>
                  </pic:spPr>
                </pic:pic>
              </a:graphicData>
            </a:graphic>
          </wp:inline>
        </w:drawing>
      </w:r>
    </w:p>
    <w:p w14:paraId="71FC5AAD">
      <w:pPr>
        <w:pStyle w:val="33"/>
      </w:pPr>
      <w:bookmarkStart w:id="41" w:name="_Ref23590252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bookmarkEnd w:id="41"/>
      <w:r>
        <w:t>二维多层材料STFT与Morlet小波时频特征</w:t>
      </w:r>
    </w:p>
    <w:p w14:paraId="792F86D9">
      <w:pPr>
        <w:pStyle w:val="33"/>
      </w:pPr>
      <w:r>
        <w:br w:type="page"/>
      </w: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8</w:t>
      </w:r>
      <w:r>
        <w:fldChar w:fldCharType="end"/>
      </w:r>
      <w:r>
        <w:t>多层材料代表性对比结果</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3"/>
        <w:gridCol w:w="1670"/>
        <w:gridCol w:w="1670"/>
        <w:gridCol w:w="3096"/>
      </w:tblGrid>
      <w:tr w14:paraId="12E4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Mar>
              <w:top w:w="90" w:type="dxa"/>
              <w:left w:w="120" w:type="dxa"/>
              <w:bottom w:w="90" w:type="dxa"/>
              <w:right w:w="120" w:type="dxa"/>
            </w:tcMar>
            <w:vAlign w:val="center"/>
          </w:tcPr>
          <w:p w14:paraId="2F55283F">
            <w:r>
              <w:t>指标</w:t>
            </w:r>
          </w:p>
        </w:tc>
        <w:tc>
          <w:tcPr>
            <w:tcW w:w="0" w:type="auto"/>
            <w:tcMar>
              <w:top w:w="90" w:type="dxa"/>
              <w:left w:w="120" w:type="dxa"/>
              <w:bottom w:w="90" w:type="dxa"/>
              <w:right w:w="120" w:type="dxa"/>
            </w:tcMar>
            <w:vAlign w:val="center"/>
          </w:tcPr>
          <w:p w14:paraId="70F5C4A3">
            <w:r>
              <w:t>一维结果</w:t>
            </w:r>
          </w:p>
        </w:tc>
        <w:tc>
          <w:tcPr>
            <w:tcW w:w="0" w:type="auto"/>
            <w:tcMar>
              <w:top w:w="90" w:type="dxa"/>
              <w:left w:w="120" w:type="dxa"/>
              <w:bottom w:w="90" w:type="dxa"/>
              <w:right w:w="120" w:type="dxa"/>
            </w:tcMar>
            <w:vAlign w:val="center"/>
          </w:tcPr>
          <w:p w14:paraId="1F85938F">
            <w:r>
              <w:t>二维结果</w:t>
            </w:r>
          </w:p>
        </w:tc>
        <w:tc>
          <w:tcPr>
            <w:tcW w:w="0" w:type="auto"/>
            <w:tcMar>
              <w:top w:w="90" w:type="dxa"/>
              <w:left w:w="120" w:type="dxa"/>
              <w:bottom w:w="90" w:type="dxa"/>
              <w:right w:w="120" w:type="dxa"/>
            </w:tcMar>
            <w:vAlign w:val="center"/>
          </w:tcPr>
          <w:p w14:paraId="627A8F9E">
            <w:r>
              <w:t>研究认识</w:t>
            </w:r>
          </w:p>
        </w:tc>
      </w:tr>
      <w:tr w14:paraId="3D0B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7CD8F5">
            <w:r>
              <w:t>温度场NRMSE</w:t>
            </w:r>
          </w:p>
        </w:tc>
        <w:tc>
          <w:tcPr>
            <w:tcW w:w="0" w:type="auto"/>
          </w:tcPr>
          <w:p w14:paraId="479C2132">
            <w:r>
              <w:t>0.5268%</w:t>
            </w:r>
          </w:p>
        </w:tc>
        <w:tc>
          <w:tcPr>
            <w:tcW w:w="0" w:type="auto"/>
          </w:tcPr>
          <w:p w14:paraId="4BB24E1C">
            <w:r>
              <w:t>0.5681%</w:t>
            </w:r>
          </w:p>
        </w:tc>
        <w:tc>
          <w:tcPr>
            <w:tcW w:w="0" w:type="auto"/>
          </w:tcPr>
          <w:p w14:paraId="126B64F0">
            <w:r>
              <w:t>厚度方向温度梯度稳定</w:t>
            </w:r>
          </w:p>
        </w:tc>
      </w:tr>
      <w:tr w14:paraId="47AA5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77D9F8">
            <w:r>
              <w:t>位移场NRMSE</w:t>
            </w:r>
          </w:p>
        </w:tc>
        <w:tc>
          <w:tcPr>
            <w:tcW w:w="0" w:type="auto"/>
          </w:tcPr>
          <w:p w14:paraId="03F1B592">
            <w:r>
              <w:t>2.7616%</w:t>
            </w:r>
          </w:p>
        </w:tc>
        <w:tc>
          <w:tcPr>
            <w:tcW w:w="0" w:type="auto"/>
          </w:tcPr>
          <w:p w14:paraId="6ACF5789">
            <w:r>
              <w:t>1.8617%</w:t>
            </w:r>
          </w:p>
        </w:tc>
        <w:tc>
          <w:tcPr>
            <w:tcW w:w="0" w:type="auto"/>
          </w:tcPr>
          <w:p w14:paraId="2F5E1722">
            <w:r>
              <w:t>界面与刚体约束处理有效</w:t>
            </w:r>
          </w:p>
        </w:tc>
      </w:tr>
      <w:tr w14:paraId="1FA9D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E45C85">
            <w:r>
              <w:t>波形相关系数</w:t>
            </w:r>
          </w:p>
        </w:tc>
        <w:tc>
          <w:tcPr>
            <w:tcW w:w="0" w:type="auto"/>
          </w:tcPr>
          <w:p w14:paraId="32BE5C51">
            <w:r>
              <w:t>0.995059</w:t>
            </w:r>
          </w:p>
        </w:tc>
        <w:tc>
          <w:tcPr>
            <w:tcW w:w="0" w:type="auto"/>
          </w:tcPr>
          <w:p w14:paraId="4BE86EF5">
            <w:r>
              <w:t>0.993145</w:t>
            </w:r>
          </w:p>
        </w:tc>
        <w:tc>
          <w:tcPr>
            <w:tcW w:w="0" w:type="auto"/>
          </w:tcPr>
          <w:p w14:paraId="2EF59D8C">
            <w:r>
              <w:t>主要波包结构一致</w:t>
            </w:r>
          </w:p>
        </w:tc>
      </w:tr>
      <w:tr w14:paraId="1B24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A83956">
            <w:r>
              <w:t>双主回波TOF</w:t>
            </w:r>
          </w:p>
        </w:tc>
        <w:tc>
          <w:tcPr>
            <w:tcW w:w="0" w:type="auto"/>
          </w:tcPr>
          <w:p w14:paraId="3DAC8B42">
            <w:r>
              <w:t>8.479451 μs</w:t>
            </w:r>
          </w:p>
        </w:tc>
        <w:tc>
          <w:tcPr>
            <w:tcW w:w="0" w:type="auto"/>
          </w:tcPr>
          <w:p w14:paraId="1F6735D9">
            <w:r>
              <w:t>4.000000 μs</w:t>
            </w:r>
          </w:p>
        </w:tc>
        <w:tc>
          <w:tcPr>
            <w:tcW w:w="0" w:type="auto"/>
          </w:tcPr>
          <w:p w14:paraId="55899BA0">
            <w:r>
              <w:t>受传播路径和接收设置控制</w:t>
            </w:r>
          </w:p>
        </w:tc>
      </w:tr>
      <w:tr w14:paraId="65FDB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3E90D3">
            <w:r>
              <w:t>中心频率</w:t>
            </w:r>
          </w:p>
        </w:tc>
        <w:tc>
          <w:tcPr>
            <w:tcW w:w="0" w:type="auto"/>
          </w:tcPr>
          <w:p w14:paraId="7F46CF02">
            <w:r>
              <w:t>2.506792 MHz</w:t>
            </w:r>
          </w:p>
        </w:tc>
        <w:tc>
          <w:tcPr>
            <w:tcW w:w="0" w:type="auto"/>
          </w:tcPr>
          <w:p w14:paraId="5A807031">
            <w:r>
              <w:t>2.532184 MHz</w:t>
            </w:r>
          </w:p>
        </w:tc>
        <w:tc>
          <w:tcPr>
            <w:tcW w:w="0" w:type="auto"/>
          </w:tcPr>
          <w:p w14:paraId="0C5CFA5F">
            <w:r>
              <w:t>主能量保持在激励频带附近</w:t>
            </w:r>
          </w:p>
        </w:tc>
      </w:tr>
    </w:tbl>
    <w:p w14:paraId="51784A8F">
      <w:pPr>
        <w:ind w:firstLine="420"/>
      </w:pPr>
      <w:r>
        <w:rPr>
          <w:color w:val="222222"/>
        </w:rPr>
        <w:t>温度敏感性主要来自弹性模量、密度、热膨胀和界面等效参数的温度依赖性。一般而言，升温导致有效波速变化，从而使回波到达时刻和TOF产生可积累的时间偏移；幅值和包络面积同时受声阻抗、界面透射率和波形展宽影响，可能出现非线性甚至局部非单调；中心频率通常比TOF稳定，但在色散或高频衰减增强时会发生频谱重心移动。因此，多层材料反演不宜只依赖单个幅值，而应将TOF与能量、频率特征联合使用。</w:t>
      </w:r>
    </w:p>
    <w:p w14:paraId="0ED126B8">
      <w:pPr>
        <w:pStyle w:val="5"/>
      </w:pPr>
      <w:bookmarkStart w:id="42" w:name="_Ref235899672"/>
      <w:bookmarkStart w:id="43" w:name="_Toc235910452"/>
      <w:r>
        <w:t>W基体/SiC纤维金属基复合材料研究</w:t>
      </w:r>
      <w:bookmarkEnd w:id="42"/>
      <w:bookmarkEnd w:id="43"/>
    </w:p>
    <w:p w14:paraId="08C7215C">
      <w:pPr>
        <w:pStyle w:val="6"/>
      </w:pPr>
      <w:r>
        <w:t>随机颗粒模型与等效模型</w:t>
      </w:r>
    </w:p>
    <w:p w14:paraId="5A5788F5">
      <w:pPr>
        <w:ind w:firstLine="420"/>
      </w:pPr>
      <w:r>
        <w:t>金属基复合材料采用W连续基体与SiC随机颗粒构成。二维模型尺寸为50 mm×10 mm，颗粒面积分数0.3，随机种子为1，最大颗粒数300，颗粒半径0.1～0.2 mm，最小间距0.15 mm；目标网格尺寸0.1 mm，包含131978个T6单元和265157个节点。网格生成器对颗粒与基体分别建立物理面组，并将颗粒—基体交界线标记为界面组。</w:t>
      </w:r>
    </w:p>
    <w:p w14:paraId="6B2E043B">
      <w:pPr>
        <w:ind w:firstLine="420"/>
      </w:pPr>
      <w:r>
        <w:t>一维模型无法显式描述横向随机颗粒，因此采用均匀等效材料。热学与力学参数通过Halpin–Tsai模型由基体和颗粒体积分数计算，形状参数ξ取2，并在300～1600 K范围内按100 K间隔生成温度—物性表。一维模型直接使用等效参数，不再重复设置大量颗粒界面；二维模型保留颗粒和基体的独立材料以及界面热接触、法向和切向刚度。</w:t>
      </w:r>
    </w:p>
    <w:p w14:paraId="5F65347B">
      <w:pPr>
        <w:keepNext/>
        <w:spacing w:before="120" w:after="40"/>
        <w:jc w:val="center"/>
      </w:pPr>
      <w:r>
        <w:drawing>
          <wp:inline distT="0" distB="0" distL="0" distR="0">
            <wp:extent cx="5486400" cy="11512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3"/>
                    <a:stretch>
                      <a:fillRect/>
                    </a:stretch>
                  </pic:blipFill>
                  <pic:spPr>
                    <a:xfrm>
                      <a:off x="0" y="0"/>
                      <a:ext cx="5486400" cy="1151291"/>
                    </a:xfrm>
                    <a:prstGeom prst="rect">
                      <a:avLst/>
                    </a:prstGeom>
                  </pic:spPr>
                </pic:pic>
              </a:graphicData>
            </a:graphic>
          </wp:inline>
        </w:drawing>
      </w:r>
    </w:p>
    <w:p w14:paraId="489B45FF">
      <w:pPr>
        <w:pStyle w:val="33"/>
      </w:pPr>
      <w:bookmarkStart w:id="44" w:name="_Ref2359021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bookmarkEnd w:id="44"/>
      <w:r>
        <w:t>W基体/SiC纤维金属基复合材料几何模型</w:t>
      </w:r>
    </w:p>
    <w:p w14:paraId="07D93662">
      <w:pPr>
        <w:keepNext/>
        <w:spacing w:before="120" w:after="40"/>
        <w:jc w:val="center"/>
      </w:pPr>
      <w:r>
        <w:drawing>
          <wp:inline distT="0" distB="0" distL="0" distR="0">
            <wp:extent cx="5120640" cy="22580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4"/>
                    <a:stretch>
                      <a:fillRect/>
                    </a:stretch>
                  </pic:blipFill>
                  <pic:spPr>
                    <a:xfrm>
                      <a:off x="0" y="0"/>
                      <a:ext cx="5120640" cy="2258259"/>
                    </a:xfrm>
                    <a:prstGeom prst="rect">
                      <a:avLst/>
                    </a:prstGeom>
                  </pic:spPr>
                </pic:pic>
              </a:graphicData>
            </a:graphic>
          </wp:inline>
        </w:drawing>
      </w:r>
    </w:p>
    <w:p w14:paraId="330812E9">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t>随机颗粒及颗粒—基体界面网格局部</w:t>
      </w:r>
    </w:p>
    <w:p w14:paraId="57CA4F28">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9</w:t>
      </w:r>
      <w:r>
        <w:fldChar w:fldCharType="end"/>
      </w:r>
      <w:r>
        <w:t>金属基复合材料建模参数</w:t>
      </w:r>
    </w:p>
    <w:tbl>
      <w:tblPr>
        <w:tblStyle w:val="22"/>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126"/>
      </w:tblGrid>
      <w:tr w14:paraId="38547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tcMar>
              <w:top w:w="90" w:type="dxa"/>
              <w:left w:w="120" w:type="dxa"/>
              <w:bottom w:w="90" w:type="dxa"/>
              <w:right w:w="120" w:type="dxa"/>
            </w:tcMar>
            <w:vAlign w:val="center"/>
          </w:tcPr>
          <w:p w14:paraId="074B9B8F">
            <w:r>
              <w:t>项目</w:t>
            </w:r>
          </w:p>
        </w:tc>
        <w:tc>
          <w:tcPr>
            <w:tcW w:w="7126" w:type="dxa"/>
            <w:tcMar>
              <w:top w:w="90" w:type="dxa"/>
              <w:left w:w="120" w:type="dxa"/>
              <w:bottom w:w="90" w:type="dxa"/>
              <w:right w:w="120" w:type="dxa"/>
            </w:tcMar>
            <w:vAlign w:val="center"/>
          </w:tcPr>
          <w:p w14:paraId="7A9B713F">
            <w:r>
              <w:t>设置</w:t>
            </w:r>
          </w:p>
        </w:tc>
      </w:tr>
      <w:tr w14:paraId="76C69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1B39D855">
            <w:r>
              <w:t>一维模型</w:t>
            </w:r>
          </w:p>
        </w:tc>
        <w:tc>
          <w:tcPr>
            <w:tcW w:w="7126" w:type="dxa"/>
          </w:tcPr>
          <w:p w14:paraId="152CE7D5">
            <w:r>
              <w:t>10 mm均匀等效层，200个单元，Halpin–Tsai热学与力学参数</w:t>
            </w:r>
          </w:p>
        </w:tc>
      </w:tr>
      <w:tr w14:paraId="0DFA7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3C9A4617">
            <w:r>
              <w:t>二维模型</w:t>
            </w:r>
          </w:p>
        </w:tc>
        <w:tc>
          <w:tcPr>
            <w:tcW w:w="7126" w:type="dxa"/>
          </w:tcPr>
          <w:p w14:paraId="057FAC1D">
            <w:r>
              <w:t>50 mm×10mm，W连续基体＋SiC显式随机颗粒</w:t>
            </w:r>
          </w:p>
        </w:tc>
      </w:tr>
      <w:tr w14:paraId="32A74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5D2CE4AF">
            <w:r>
              <w:t>随机颗粒</w:t>
            </w:r>
          </w:p>
        </w:tc>
        <w:tc>
          <w:tcPr>
            <w:tcW w:w="7126" w:type="dxa"/>
          </w:tcPr>
          <w:p w14:paraId="1E4E0876">
            <w:r>
              <w:t>面积分数0.3；种子1；半径0.1～0.2mm；最小间距0.15 mm</w:t>
            </w:r>
          </w:p>
        </w:tc>
      </w:tr>
      <w:tr w14:paraId="335CE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563AEAE2">
            <w:r>
              <w:t>温度条件</w:t>
            </w:r>
          </w:p>
        </w:tc>
        <w:tc>
          <w:tcPr>
            <w:tcW w:w="7126" w:type="dxa"/>
          </w:tcPr>
          <w:p w14:paraId="2D51BA18">
            <w:r>
              <w:t>初始/参考300 K，底部1600 K，顶部及侧边对流/辐射</w:t>
            </w:r>
          </w:p>
        </w:tc>
      </w:tr>
      <w:tr w14:paraId="5DBE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0DA24BE2">
            <w:r>
              <w:t>超声条件</w:t>
            </w:r>
          </w:p>
        </w:tc>
        <w:tc>
          <w:tcPr>
            <w:tcW w:w="7126" w:type="dxa"/>
          </w:tcPr>
          <w:p w14:paraId="2645C5B7">
            <w:r>
              <w:t>5周期2.5 MHz toneburst；二维顶部13 mm激励区</w:t>
            </w:r>
          </w:p>
        </w:tc>
      </w:tr>
      <w:tr w14:paraId="71A5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7A2C9AED">
            <w:r>
              <w:t>界面模型</w:t>
            </w:r>
          </w:p>
        </w:tc>
        <w:tc>
          <w:tcPr>
            <w:tcW w:w="7126" w:type="dxa"/>
          </w:tcPr>
          <w:p w14:paraId="1C408118">
            <w:r>
              <w:t>二维含热接触和界面刚度；一维已均匀化，不重复设置界面</w:t>
            </w:r>
          </w:p>
        </w:tc>
      </w:tr>
    </w:tbl>
    <w:p w14:paraId="67D9B874">
      <w:pPr>
        <w:pStyle w:val="6"/>
      </w:pPr>
      <w:bookmarkStart w:id="45" w:name="_Ref235902780"/>
      <w:r>
        <w:t>热、固、声响应及数值对比</w:t>
      </w:r>
      <w:bookmarkEnd w:id="45"/>
    </w:p>
    <w:p w14:paraId="26863A58">
      <w:pPr>
        <w:ind w:firstLine="420"/>
      </w:pPr>
      <w:r>
        <w:t>一维等效模型的稳态温度范围为1566.777～1600 K，温度场NRMSE为0.2037%；稳态位移场NRMSE为0.8122%；9.90 μs波动速度场NRMSE为0.8412%。二维显式颗粒模型的稳态温度场NRMSE仅为0.0085%，稳态位移场NRMSE为2.1284%，20 μs波动位移场NRMSE为2.3776%。一维与二维结果均表明热量、热变形和波包可在温度相关等效介质或显式颗粒结构中稳定传播。</w:t>
      </w:r>
    </w:p>
    <w:p w14:paraId="067913A5">
      <w:pPr>
        <w:keepNext/>
        <w:spacing w:before="120" w:after="40"/>
        <w:jc w:val="center"/>
      </w:pPr>
      <w:r>
        <w:drawing>
          <wp:inline distT="0" distB="0" distL="0" distR="0">
            <wp:extent cx="5532120" cy="40290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5"/>
                    <a:stretch>
                      <a:fillRect/>
                    </a:stretch>
                  </pic:blipFill>
                  <pic:spPr>
                    <a:xfrm>
                      <a:off x="0" y="0"/>
                      <a:ext cx="5532120" cy="4029520"/>
                    </a:xfrm>
                    <a:prstGeom prst="rect">
                      <a:avLst/>
                    </a:prstGeom>
                  </pic:spPr>
                </pic:pic>
              </a:graphicData>
            </a:graphic>
          </wp:inline>
        </w:drawing>
      </w:r>
    </w:p>
    <w:p w14:paraId="6DF353F7">
      <w:pPr>
        <w:pStyle w:val="33"/>
      </w:pPr>
      <w:bookmarkStart w:id="46" w:name="_Ref23590253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13</w:t>
      </w:r>
      <w:r>
        <w:fldChar w:fldCharType="end"/>
      </w:r>
      <w:bookmarkEnd w:id="46"/>
      <w:r>
        <w:t>一维金属基复合材料温度场、固体场与波动场对比</w:t>
      </w:r>
    </w:p>
    <w:p w14:paraId="2AE91F52">
      <w:pPr>
        <w:ind w:firstLine="420"/>
      </w:pPr>
      <w:r>
        <w:rPr>
          <w:color w:val="222222"/>
        </w:rPr>
        <w:t>颗粒—基体界面会引起局部阻抗变化和微弱散射，使二维波形出现比均匀模型更丰富的局部振荡与包络变化。二维模型去直流归一化后的波形相关系数为0.9922，双主回波TOF为4.5288 μs，参考值为4.5208 μs；中心频率为2.43882 MHz，谱峰频率为2.44998 MHz。颗粒尺度显著小于主波长时，整体TOF仍主要反映等效传播速度，而幅值、包络面积和高频成分对颗粒分布与界面状态更敏感。</w:t>
      </w:r>
    </w:p>
    <w:p w14:paraId="4C63588B">
      <w:pPr>
        <w:keepNext/>
        <w:spacing w:before="120" w:after="40"/>
        <w:jc w:val="center"/>
      </w:pPr>
      <w:r>
        <w:drawing>
          <wp:inline distT="0" distB="0" distL="0" distR="0">
            <wp:extent cx="5532120" cy="19627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6"/>
                    <a:stretch>
                      <a:fillRect/>
                    </a:stretch>
                  </pic:blipFill>
                  <pic:spPr>
                    <a:xfrm>
                      <a:off x="0" y="0"/>
                      <a:ext cx="5532120" cy="1962875"/>
                    </a:xfrm>
                    <a:prstGeom prst="rect">
                      <a:avLst/>
                    </a:prstGeom>
                  </pic:spPr>
                </pic:pic>
              </a:graphicData>
            </a:graphic>
          </wp:inline>
        </w:drawing>
      </w:r>
    </w:p>
    <w:p w14:paraId="1A48987A">
      <w:pPr>
        <w:pStyle w:val="33"/>
      </w:pPr>
      <w:bookmarkStart w:id="47" w:name="_Ref23590253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14</w:t>
      </w:r>
      <w:r>
        <w:fldChar w:fldCharType="end"/>
      </w:r>
      <w:bookmarkEnd w:id="47"/>
      <w:r>
        <w:t>二维金属基复合材料接收波形及主回波特征</w:t>
      </w:r>
    </w:p>
    <w:p w14:paraId="6E0E3AD6">
      <w:pPr>
        <w:keepNext/>
        <w:spacing w:before="120" w:after="40"/>
        <w:jc w:val="center"/>
      </w:pPr>
      <w:r>
        <w:drawing>
          <wp:inline distT="0" distB="0" distL="0" distR="0">
            <wp:extent cx="5532120" cy="33642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7"/>
                    <a:stretch>
                      <a:fillRect/>
                    </a:stretch>
                  </pic:blipFill>
                  <pic:spPr>
                    <a:xfrm>
                      <a:off x="0" y="0"/>
                      <a:ext cx="5532120" cy="3364774"/>
                    </a:xfrm>
                    <a:prstGeom prst="rect">
                      <a:avLst/>
                    </a:prstGeom>
                  </pic:spPr>
                </pic:pic>
              </a:graphicData>
            </a:graphic>
          </wp:inline>
        </w:drawing>
      </w:r>
    </w:p>
    <w:p w14:paraId="32F41EA0">
      <w:pPr>
        <w:pStyle w:val="33"/>
      </w:pPr>
      <w:bookmarkStart w:id="48" w:name="_Ref23590253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15</w:t>
      </w:r>
      <w:r>
        <w:fldChar w:fldCharType="end"/>
      </w:r>
      <w:bookmarkEnd w:id="48"/>
      <w:r>
        <w:t>二维金属基复合材料STFT与Morlet小波特征</w:t>
      </w:r>
    </w:p>
    <w:p w14:paraId="5A47B5C4">
      <w:pPr>
        <w:pStyle w:val="33"/>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10</w:t>
      </w:r>
      <w:r>
        <w:fldChar w:fldCharType="end"/>
      </w:r>
      <w:r>
        <w:t>金属基复合材料代表性结果</w:t>
      </w:r>
    </w:p>
    <w:tbl>
      <w:tblPr>
        <w:tblStyle w:val="22"/>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3263"/>
        <w:gridCol w:w="3263"/>
      </w:tblGrid>
      <w:tr w14:paraId="1FE66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dxa"/>
            <w:tcMar>
              <w:top w:w="90" w:type="dxa"/>
              <w:left w:w="120" w:type="dxa"/>
              <w:bottom w:w="90" w:type="dxa"/>
              <w:right w:w="120" w:type="dxa"/>
            </w:tcMar>
            <w:vAlign w:val="center"/>
          </w:tcPr>
          <w:p w14:paraId="0C1511A6">
            <w:r>
              <w:t>指标</w:t>
            </w:r>
          </w:p>
        </w:tc>
        <w:tc>
          <w:tcPr>
            <w:tcW w:w="3263" w:type="dxa"/>
            <w:tcMar>
              <w:top w:w="90" w:type="dxa"/>
              <w:left w:w="120" w:type="dxa"/>
              <w:bottom w:w="90" w:type="dxa"/>
              <w:right w:w="120" w:type="dxa"/>
            </w:tcMar>
            <w:vAlign w:val="center"/>
          </w:tcPr>
          <w:p w14:paraId="1F52C0EF">
            <w:r>
              <w:t>一维等效模型</w:t>
            </w:r>
          </w:p>
        </w:tc>
        <w:tc>
          <w:tcPr>
            <w:tcW w:w="3263" w:type="dxa"/>
            <w:tcMar>
              <w:top w:w="90" w:type="dxa"/>
              <w:left w:w="120" w:type="dxa"/>
              <w:bottom w:w="90" w:type="dxa"/>
              <w:right w:w="120" w:type="dxa"/>
            </w:tcMar>
            <w:vAlign w:val="center"/>
          </w:tcPr>
          <w:p w14:paraId="44C04A12">
            <w:r>
              <w:t>二维显式颗粒模型</w:t>
            </w:r>
          </w:p>
        </w:tc>
      </w:tr>
      <w:tr w14:paraId="759B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64D7DFE9">
            <w:r>
              <w:t>稳态温度场NRMSE</w:t>
            </w:r>
          </w:p>
        </w:tc>
        <w:tc>
          <w:tcPr>
            <w:tcW w:w="3263" w:type="dxa"/>
          </w:tcPr>
          <w:p w14:paraId="48B5D8B8">
            <w:r>
              <w:t>0.2037%</w:t>
            </w:r>
          </w:p>
        </w:tc>
        <w:tc>
          <w:tcPr>
            <w:tcW w:w="3263" w:type="dxa"/>
          </w:tcPr>
          <w:p w14:paraId="0347D3FA">
            <w:r>
              <w:t>0.0085%</w:t>
            </w:r>
          </w:p>
        </w:tc>
      </w:tr>
      <w:tr w14:paraId="2C73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77570FA8">
            <w:r>
              <w:t>稳态位移场NRMSE</w:t>
            </w:r>
          </w:p>
        </w:tc>
        <w:tc>
          <w:tcPr>
            <w:tcW w:w="3263" w:type="dxa"/>
          </w:tcPr>
          <w:p w14:paraId="6200A4E1">
            <w:r>
              <w:t>0.8122%</w:t>
            </w:r>
          </w:p>
        </w:tc>
        <w:tc>
          <w:tcPr>
            <w:tcW w:w="3263" w:type="dxa"/>
          </w:tcPr>
          <w:p w14:paraId="4DC22786">
            <w:r>
              <w:t>2.1284%</w:t>
            </w:r>
          </w:p>
        </w:tc>
      </w:tr>
      <w:tr w14:paraId="66AC3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5995133C">
            <w:r>
              <w:t>波动场NRMSE</w:t>
            </w:r>
          </w:p>
        </w:tc>
        <w:tc>
          <w:tcPr>
            <w:tcW w:w="3263" w:type="dxa"/>
          </w:tcPr>
          <w:p w14:paraId="470FBCC3">
            <w:r>
              <w:t>0.8412%</w:t>
            </w:r>
          </w:p>
        </w:tc>
        <w:tc>
          <w:tcPr>
            <w:tcW w:w="3263" w:type="dxa"/>
          </w:tcPr>
          <w:p w14:paraId="41C9681F">
            <w:r>
              <w:t>2.3776%</w:t>
            </w:r>
          </w:p>
        </w:tc>
      </w:tr>
      <w:tr w14:paraId="50EF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785077B6">
            <w:r>
              <w:t>波形相关系数</w:t>
            </w:r>
          </w:p>
        </w:tc>
        <w:tc>
          <w:tcPr>
            <w:tcW w:w="3263" w:type="dxa"/>
          </w:tcPr>
          <w:p w14:paraId="420D7E8C">
            <w:r>
              <w:t>0.991849</w:t>
            </w:r>
          </w:p>
        </w:tc>
        <w:tc>
          <w:tcPr>
            <w:tcW w:w="3263" w:type="dxa"/>
          </w:tcPr>
          <w:p w14:paraId="1ABC9D66">
            <w:r>
              <w:t>0.9922</w:t>
            </w:r>
          </w:p>
        </w:tc>
      </w:tr>
      <w:tr w14:paraId="669E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7E940E7A">
            <w:r>
              <w:t>双主回波TOF</w:t>
            </w:r>
          </w:p>
        </w:tc>
        <w:tc>
          <w:tcPr>
            <w:tcW w:w="3263" w:type="dxa"/>
          </w:tcPr>
          <w:p w14:paraId="10FC6066">
            <w:r>
              <w:t>4.429616 μs</w:t>
            </w:r>
          </w:p>
        </w:tc>
        <w:tc>
          <w:tcPr>
            <w:tcW w:w="3263" w:type="dxa"/>
          </w:tcPr>
          <w:p w14:paraId="3D0AE91E">
            <w:r>
              <w:t>4.5288 μs</w:t>
            </w:r>
          </w:p>
        </w:tc>
      </w:tr>
      <w:tr w14:paraId="49E9E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57D99949">
            <w:r>
              <w:t>中心频率</w:t>
            </w:r>
          </w:p>
        </w:tc>
        <w:tc>
          <w:tcPr>
            <w:tcW w:w="3263" w:type="dxa"/>
          </w:tcPr>
          <w:p w14:paraId="51DA6C52">
            <w:r>
              <w:t>2.498474 MHz</w:t>
            </w:r>
          </w:p>
        </w:tc>
        <w:tc>
          <w:tcPr>
            <w:tcW w:w="3263" w:type="dxa"/>
          </w:tcPr>
          <w:p w14:paraId="437A67B8">
            <w:r>
              <w:t>2.43882 MHz</w:t>
            </w:r>
          </w:p>
        </w:tc>
      </w:tr>
    </w:tbl>
    <w:p w14:paraId="2D572B7A">
      <w:pPr>
        <w:ind w:firstLine="420"/>
      </w:pPr>
      <w:r>
        <w:rPr>
          <w:color w:val="222222"/>
        </w:rPr>
        <w:t>从温度敏感性角度看，一维等效模型适合快速计算整体TOF—温度关系，二维显式颗粒模型则适合研究散射、幅值和包络能量随温度及界面参数的耦合变化。对于反演应用，可将一维模型作为参数扫描主模型，将二维模型作为颗粒统计分布和界面不确定性的修正模型。</w:t>
      </w:r>
    </w:p>
    <w:p w14:paraId="042BB7A6">
      <w:pPr>
        <w:pStyle w:val="5"/>
      </w:pPr>
      <w:bookmarkStart w:id="49" w:name="_Toc235910453"/>
      <w:r>
        <w:t>SiC纤维/CVI-SiC基体硅基复合材料研究</w:t>
      </w:r>
      <w:bookmarkEnd w:id="49"/>
    </w:p>
    <w:p w14:paraId="1C3103FE">
      <w:pPr>
        <w:pStyle w:val="6"/>
      </w:pPr>
      <w:r>
        <w:t>周期纤维单胞与有限元均匀化</w:t>
      </w:r>
    </w:p>
    <w:p w14:paraId="1F72F2F4">
      <w:pPr>
        <w:ind w:firstLine="420"/>
      </w:pPr>
      <w:r>
        <w:rPr>
          <w:color w:val="222222"/>
        </w:rPr>
        <w:t>硅基复合材料具有微米级纤维—基体结构，而宏观试件尺度为毫米级。若在整个50 mm×10 mm模型内逐根显式划分纤维，网格规模将远超热—固—声联合计算可承受范围。因此程序采用“周期纤维单胞—等效参数—宏观厚度模型”的多尺度路线。细观单胞宽、高均为20 μm，纤维直径14 μm，方形周期排列，实际纤维体积分数为0.384845。</w:t>
      </w:r>
    </w:p>
    <w:p w14:paraId="17DF3FA7">
      <w:pPr>
        <w:keepNext/>
        <w:spacing w:before="120" w:after="40"/>
        <w:jc w:val="center"/>
      </w:pPr>
      <w:r>
        <w:drawing>
          <wp:inline distT="0" distB="0" distL="0" distR="0">
            <wp:extent cx="5486400" cy="19215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8"/>
                    <a:stretch>
                      <a:fillRect/>
                    </a:stretch>
                  </pic:blipFill>
                  <pic:spPr>
                    <a:xfrm>
                      <a:off x="0" y="0"/>
                      <a:ext cx="5486400" cy="1921521"/>
                    </a:xfrm>
                    <a:prstGeom prst="rect">
                      <a:avLst/>
                    </a:prstGeom>
                  </pic:spPr>
                </pic:pic>
              </a:graphicData>
            </a:graphic>
          </wp:inline>
        </w:drawing>
      </w:r>
    </w:p>
    <w:p w14:paraId="6A99A84E">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16</w:t>
      </w:r>
      <w:r>
        <w:fldChar w:fldCharType="end"/>
      </w:r>
      <w:r>
        <w:t>硅基复合材料多尺度建模参数</w:t>
      </w:r>
    </w:p>
    <w:p w14:paraId="23DAB2D9">
      <w:pPr>
        <w:keepNext/>
        <w:spacing w:before="120" w:after="40"/>
        <w:jc w:val="center"/>
      </w:pPr>
      <w:r>
        <w:drawing>
          <wp:inline distT="0" distB="0" distL="0" distR="0">
            <wp:extent cx="3200400" cy="3130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9"/>
                    <a:stretch>
                      <a:fillRect/>
                    </a:stretch>
                  </pic:blipFill>
                  <pic:spPr>
                    <a:xfrm>
                      <a:off x="0" y="0"/>
                      <a:ext cx="3200400" cy="3130826"/>
                    </a:xfrm>
                    <a:prstGeom prst="rect">
                      <a:avLst/>
                    </a:prstGeom>
                  </pic:spPr>
                </pic:pic>
              </a:graphicData>
            </a:graphic>
          </wp:inline>
        </w:drawing>
      </w:r>
    </w:p>
    <w:p w14:paraId="180BE1A3">
      <w:pPr>
        <w:pStyle w:val="33"/>
      </w:pPr>
      <w:bookmarkStart w:id="50" w:name="_Ref2359021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17</w:t>
      </w:r>
      <w:r>
        <w:fldChar w:fldCharType="end"/>
      </w:r>
      <w:bookmarkEnd w:id="50"/>
      <w:r>
        <w:t>SiC纤维/CVI-SiC基体周期单胞</w:t>
      </w:r>
    </w:p>
    <w:p w14:paraId="1ADBE38A">
      <w:pPr>
        <w:ind w:firstLine="420"/>
      </w:pPr>
      <w:r>
        <w:rPr>
          <w:color w:val="222222"/>
        </w:rPr>
        <w:t>单胞相对边界使用严格配对的周期T6网格。分别施加两个独立宏观温度梯度、三个独立宏观应变和单位温升，通过体积平均热流、应力与应变求得等效导热张量、弹性刚度矩阵和热膨胀参数。界面模型还可将有限热接触、法/切向刚度和黏性耗散纳入均匀化。研究在300～1800 K范围内设置16个温度点，在1.5～3.5 MHz设置9个频率点，从而获得随温度变化、必要时随频率变化的等效参数表，而不是单一常数。</w:t>
      </w:r>
    </w:p>
    <w:p w14:paraId="00B4D6E4">
      <w:pPr>
        <w:ind w:firstLine="420"/>
      </w:pPr>
      <w:r>
        <w:rPr>
          <w:color w:val="222222"/>
        </w:rPr>
        <w:t>宏观模型只保留一个SiCSiCEffective等效材料面组，不再显式重复纤维。单胞计算得到的kxx、kxy、kyy、Exx、Eyy、νxy、Gxy、方向热膨胀、密度、比热和等效黏性参数自动写入宏观材料表。宏观T6网格包含58661个节点和约2.9万个三角形单元，能够在实际尺寸上开展热力耦合和超声传播。</w:t>
      </w:r>
    </w:p>
    <w:p w14:paraId="34A48D52">
      <w:pPr>
        <w:keepNext/>
        <w:spacing w:before="120" w:after="40"/>
        <w:jc w:val="center"/>
      </w:pPr>
      <w:r>
        <w:drawing>
          <wp:inline distT="0" distB="0" distL="0" distR="0">
            <wp:extent cx="5486400" cy="11537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0"/>
                    <a:stretch>
                      <a:fillRect/>
                    </a:stretch>
                  </pic:blipFill>
                  <pic:spPr>
                    <a:xfrm>
                      <a:off x="0" y="0"/>
                      <a:ext cx="5486400" cy="1154256"/>
                    </a:xfrm>
                    <a:prstGeom prst="rect">
                      <a:avLst/>
                    </a:prstGeom>
                  </pic:spPr>
                </pic:pic>
              </a:graphicData>
            </a:graphic>
          </wp:inline>
        </w:drawing>
      </w:r>
    </w:p>
    <w:p w14:paraId="27CE47E0">
      <w:pPr>
        <w:pStyle w:val="33"/>
      </w:pPr>
      <w:bookmarkStart w:id="51" w:name="_Ref2359021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18</w:t>
      </w:r>
      <w:r>
        <w:fldChar w:fldCharType="end"/>
      </w:r>
      <w:bookmarkEnd w:id="51"/>
      <w:r>
        <w:t>SiC纤维/CVI-SiC基体宏观等效模型</w:t>
      </w:r>
    </w:p>
    <w:p w14:paraId="2FA82D7C">
      <w:pPr>
        <w:keepNext/>
        <w:spacing w:before="120" w:after="40"/>
        <w:jc w:val="center"/>
      </w:pPr>
      <w:r>
        <w:drawing>
          <wp:inline distT="0" distB="0" distL="0" distR="0">
            <wp:extent cx="5120640" cy="12922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1"/>
                    <a:stretch>
                      <a:fillRect/>
                    </a:stretch>
                  </pic:blipFill>
                  <pic:spPr>
                    <a:xfrm>
                      <a:off x="0" y="0"/>
                      <a:ext cx="5120640" cy="1292835"/>
                    </a:xfrm>
                    <a:prstGeom prst="rect">
                      <a:avLst/>
                    </a:prstGeom>
                  </pic:spPr>
                </pic:pic>
              </a:graphicData>
            </a:graphic>
          </wp:inline>
        </w:drawing>
      </w:r>
    </w:p>
    <w:p w14:paraId="61E5CCB8">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19</w:t>
      </w:r>
      <w:r>
        <w:fldChar w:fldCharType="end"/>
      </w:r>
      <w:r>
        <w:t>宏观等效模型T6网格局部</w:t>
      </w:r>
    </w:p>
    <w:p w14:paraId="47EB88CC">
      <w:pPr>
        <w:pStyle w:val="33"/>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11</w:t>
      </w:r>
      <w:r>
        <w:fldChar w:fldCharType="end"/>
      </w:r>
      <w:r>
        <w:t>硅基复合材料多尺度模型参数</w:t>
      </w:r>
    </w:p>
    <w:tbl>
      <w:tblPr>
        <w:tblStyle w:val="22"/>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500"/>
        <w:gridCol w:w="4026"/>
      </w:tblGrid>
      <w:tr w14:paraId="3C94B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tcMar>
              <w:top w:w="90" w:type="dxa"/>
              <w:left w:w="120" w:type="dxa"/>
              <w:bottom w:w="90" w:type="dxa"/>
              <w:right w:w="120" w:type="dxa"/>
            </w:tcMar>
            <w:vAlign w:val="center"/>
          </w:tcPr>
          <w:p w14:paraId="31EBC317">
            <w:r>
              <w:t>层级</w:t>
            </w:r>
          </w:p>
        </w:tc>
        <w:tc>
          <w:tcPr>
            <w:tcW w:w="3500" w:type="dxa"/>
            <w:tcMar>
              <w:top w:w="90" w:type="dxa"/>
              <w:left w:w="120" w:type="dxa"/>
              <w:bottom w:w="90" w:type="dxa"/>
              <w:right w:w="120" w:type="dxa"/>
            </w:tcMar>
            <w:vAlign w:val="center"/>
          </w:tcPr>
          <w:p w14:paraId="3CA8200C">
            <w:r>
              <w:t>几何/离散</w:t>
            </w:r>
          </w:p>
        </w:tc>
        <w:tc>
          <w:tcPr>
            <w:tcW w:w="4026" w:type="dxa"/>
            <w:tcMar>
              <w:top w:w="90" w:type="dxa"/>
              <w:left w:w="120" w:type="dxa"/>
              <w:bottom w:w="90" w:type="dxa"/>
              <w:right w:w="120" w:type="dxa"/>
            </w:tcMar>
            <w:vAlign w:val="center"/>
          </w:tcPr>
          <w:p w14:paraId="18E24C45">
            <w:r>
              <w:t>材料与计算</w:t>
            </w:r>
          </w:p>
        </w:tc>
      </w:tr>
      <w:tr w14:paraId="2469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30A5D310">
            <w:r>
              <w:t>周期单胞</w:t>
            </w:r>
          </w:p>
        </w:tc>
        <w:tc>
          <w:tcPr>
            <w:tcW w:w="3500" w:type="dxa"/>
          </w:tcPr>
          <w:p w14:paraId="649ED305">
            <w:r>
              <w:t>20 μm×20 μm；纤维直径14 μm；2045节点、1111单元</w:t>
            </w:r>
          </w:p>
        </w:tc>
        <w:tc>
          <w:tcPr>
            <w:tcW w:w="4026" w:type="dxa"/>
          </w:tcPr>
          <w:p w14:paraId="3C124839">
            <w:r>
              <w:t>SiC纤维＋CVI-SiC基体＋界面</w:t>
            </w:r>
          </w:p>
        </w:tc>
      </w:tr>
      <w:tr w14:paraId="0C45A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01051FBE">
            <w:r>
              <w:t>均匀化</w:t>
            </w:r>
          </w:p>
        </w:tc>
        <w:tc>
          <w:tcPr>
            <w:tcW w:w="3500" w:type="dxa"/>
          </w:tcPr>
          <w:p w14:paraId="3C9F635D">
            <w:r>
              <w:t>相对边界周期配对</w:t>
            </w:r>
          </w:p>
        </w:tc>
        <w:tc>
          <w:tcPr>
            <w:tcW w:w="4026" w:type="dxa"/>
          </w:tcPr>
          <w:p w14:paraId="49B3A820">
            <w:r>
              <w:t>16个温度点；9个频率点；热/弹/热膨胀/动态参数</w:t>
            </w:r>
          </w:p>
        </w:tc>
      </w:tr>
      <w:tr w14:paraId="227C0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66537477">
            <w:r>
              <w:t>一维宏观</w:t>
            </w:r>
          </w:p>
        </w:tc>
        <w:tc>
          <w:tcPr>
            <w:tcW w:w="3500" w:type="dxa"/>
          </w:tcPr>
          <w:p w14:paraId="2AA7D5B2">
            <w:r>
              <w:t>10 mm厚度方向独立离散</w:t>
            </w:r>
          </w:p>
        </w:tc>
        <w:tc>
          <w:tcPr>
            <w:tcW w:w="4026" w:type="dxa"/>
          </w:tcPr>
          <w:p w14:paraId="03BDC6B0">
            <w:r>
              <w:t>直接读取单胞等效参数，不二次均匀化</w:t>
            </w:r>
          </w:p>
        </w:tc>
      </w:tr>
      <w:tr w14:paraId="05E58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0B9F620D">
            <w:r>
              <w:t>二维宏观</w:t>
            </w:r>
          </w:p>
        </w:tc>
        <w:tc>
          <w:tcPr>
            <w:tcW w:w="3500" w:type="dxa"/>
          </w:tcPr>
          <w:p w14:paraId="7C81504E">
            <w:r>
              <w:t>50 mm×10 mm；58661节点；约2.9万T6单元</w:t>
            </w:r>
          </w:p>
        </w:tc>
        <w:tc>
          <w:tcPr>
            <w:tcW w:w="4026" w:type="dxa"/>
          </w:tcPr>
          <w:p w14:paraId="07F2BA66">
            <w:r>
              <w:t>单一等效材料面组；温度相关各向异性参数</w:t>
            </w:r>
          </w:p>
        </w:tc>
      </w:tr>
      <w:tr w14:paraId="3C28F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51FE9010">
            <w:r>
              <w:t>超声分析</w:t>
            </w:r>
          </w:p>
        </w:tc>
        <w:tc>
          <w:tcPr>
            <w:tcW w:w="3500" w:type="dxa"/>
          </w:tcPr>
          <w:p w14:paraId="2DE98790">
            <w:r>
              <w:t>厚度方向传播；5周期2.5 MHz</w:t>
            </w:r>
          </w:p>
        </w:tc>
        <w:tc>
          <w:tcPr>
            <w:tcW w:w="4026" w:type="dxa"/>
          </w:tcPr>
          <w:p w14:paraId="7302594E">
            <w:r>
              <w:t>读取宏观温度与预应力状态</w:t>
            </w:r>
          </w:p>
        </w:tc>
      </w:tr>
    </w:tbl>
    <w:p w14:paraId="0A6AAC0B">
      <w:pPr>
        <w:pStyle w:val="6"/>
      </w:pPr>
      <w:r>
        <w:t>尺度分离、网格分辨率与数据传递</w:t>
      </w:r>
    </w:p>
    <w:p w14:paraId="3956CB0F">
      <w:pPr>
        <w:ind w:firstLine="420"/>
      </w:pPr>
      <w:r>
        <w:rPr>
          <w:color w:val="222222"/>
        </w:rPr>
        <w:t>多尺度等效成立的关键是单胞尺度远小于宏观结构尺度和最短超声波长。案例最大分析频率为3.5 MHz，程序根据等效材料最低波速计算最短波长，并检查单胞特征尺寸与波长之比。当前单胞尺寸约为最短波长的1%，一个最短波长内约包含100个单胞，处于等效介质假设适用的长波区域。若该比值增大到程序设定的警戒或拒绝范围，则需改用更大区域的显式微结构模型。</w:t>
      </w:r>
    </w:p>
    <w:p w14:paraId="51B8C69B">
      <w:pPr>
        <w:ind w:firstLine="420"/>
      </w:pPr>
      <w:r>
        <w:rPr>
          <w:color w:val="222222"/>
        </w:rPr>
        <w:t>除尺度分离外，宏观T6网格也必须解析最短波长。程序依据局部单元尺寸与最短波长之比检查每波长单元数，保证波前形状、相位和反射位置不因网格过粗而失真。通过这两级检查，既避免用宏观网格直接解析微米纤维，也避免在宏观波动离散上失去必要的空间分辨率。</w:t>
      </w:r>
    </w:p>
    <w:p w14:paraId="38A7FF14">
      <w:pPr>
        <w:ind w:firstLine="420"/>
      </w:pPr>
      <w:r>
        <w:rPr>
          <w:color w:val="222222"/>
        </w:rPr>
        <w:t>数据传递链为：纤维/基体温度相关参数→周期单胞有限元计算→温度和频率相关等效参数→宏观热力耦合场→预温度、预应力条件下的宏观超声传播。一维模型直接使用同一组单胞等效参数，只进行几何维度简化，不再对等效材料做二次平均。</w:t>
      </w:r>
    </w:p>
    <w:p w14:paraId="1FF162C8">
      <w:pPr>
        <w:pStyle w:val="6"/>
      </w:pPr>
      <w:bookmarkStart w:id="52" w:name="_Ref235902782"/>
      <w:r>
        <w:t>宏观热、固、声响应</w:t>
      </w:r>
      <w:bookmarkEnd w:id="52"/>
    </w:p>
    <w:p w14:paraId="0A675532">
      <w:pPr>
        <w:ind w:firstLine="420"/>
      </w:pPr>
      <w:r>
        <w:rPr>
          <w:color w:val="222222"/>
        </w:rPr>
        <w:t>一维模型在1800 K高温边界下得到稳态温度范围1625.462～1800 K，温度场NRMSE为0.2177%；稳态位移场NRMSE为0.7113%；10.04 μs波动速度场NRMSE为1.2926%。二维模型稳态温度范围1542.07～1800 K，温度场NRMSE为0.587%；稳态位移场NRMSE为1.811%；10.00 μs波动速度场NRMSE为1.693%。</w:t>
      </w:r>
    </w:p>
    <w:p w14:paraId="393C1E08">
      <w:pPr>
        <w:keepNext/>
        <w:spacing w:before="120" w:after="40"/>
        <w:jc w:val="center"/>
      </w:pPr>
      <w:r>
        <w:drawing>
          <wp:inline distT="0" distB="0" distL="0" distR="0">
            <wp:extent cx="5532120" cy="42094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2"/>
                    <a:stretch>
                      <a:fillRect/>
                    </a:stretch>
                  </pic:blipFill>
                  <pic:spPr>
                    <a:xfrm>
                      <a:off x="0" y="0"/>
                      <a:ext cx="5532120" cy="4209668"/>
                    </a:xfrm>
                    <a:prstGeom prst="rect">
                      <a:avLst/>
                    </a:prstGeom>
                  </pic:spPr>
                </pic:pic>
              </a:graphicData>
            </a:graphic>
          </wp:inline>
        </w:drawing>
      </w:r>
    </w:p>
    <w:p w14:paraId="5258DB97">
      <w:pPr>
        <w:pStyle w:val="33"/>
      </w:pPr>
      <w:bookmarkStart w:id="53" w:name="_Ref23590253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20</w:t>
      </w:r>
      <w:r>
        <w:fldChar w:fldCharType="end"/>
      </w:r>
      <w:bookmarkEnd w:id="53"/>
      <w:r>
        <w:t>一维硅基复合材料温度场、固体场与波动场</w:t>
      </w:r>
    </w:p>
    <w:p w14:paraId="35ED2305">
      <w:pPr>
        <w:keepNext/>
        <w:spacing w:before="120" w:after="40"/>
        <w:jc w:val="center"/>
      </w:pPr>
      <w:r>
        <w:drawing>
          <wp:inline distT="0" distB="0" distL="0" distR="0">
            <wp:extent cx="5532120" cy="36995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3"/>
                    <a:stretch>
                      <a:fillRect/>
                    </a:stretch>
                  </pic:blipFill>
                  <pic:spPr>
                    <a:xfrm>
                      <a:off x="0" y="0"/>
                      <a:ext cx="5532120" cy="3699901"/>
                    </a:xfrm>
                    <a:prstGeom prst="rect">
                      <a:avLst/>
                    </a:prstGeom>
                  </pic:spPr>
                </pic:pic>
              </a:graphicData>
            </a:graphic>
          </wp:inline>
        </w:drawing>
      </w:r>
    </w:p>
    <w:p w14:paraId="6565579F">
      <w:pPr>
        <w:pStyle w:val="33"/>
      </w:pPr>
      <w:bookmarkStart w:id="54" w:name="_Ref23590254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21</w:t>
      </w:r>
      <w:r>
        <w:fldChar w:fldCharType="end"/>
      </w:r>
      <w:bookmarkEnd w:id="54"/>
      <w:r>
        <w:t>二维硅基复合材料温度场、固体场与波动场</w:t>
      </w:r>
    </w:p>
    <w:p w14:paraId="7BDF62AC">
      <w:pPr>
        <w:ind w:firstLine="420"/>
      </w:pPr>
      <w:r>
        <w:rPr>
          <w:color w:val="222222"/>
        </w:rPr>
        <w:t>一维接收波形相关系数为0.992522，双主回波TOF为5.655600 μs，中心频率为2.524062 MHz；二维波形相关系数为0.997136，双主回波TOF为1.86752 μs，中心频率为2.55374 MHz。两类模型的TOF不同主要源于传播路径、回波闸门和接收定义不同，不能直接把数值大小作为维度间误差；应分别与相同几何和边界的参考模型比较。</w:t>
      </w:r>
    </w:p>
    <w:p w14:paraId="43D9609D">
      <w:pPr>
        <w:keepNext/>
        <w:spacing w:before="120" w:after="40"/>
        <w:jc w:val="center"/>
      </w:pPr>
      <w:r>
        <w:drawing>
          <wp:inline distT="0" distB="0" distL="0" distR="0">
            <wp:extent cx="5532120" cy="1803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4"/>
                    <a:stretch>
                      <a:fillRect/>
                    </a:stretch>
                  </pic:blipFill>
                  <pic:spPr>
                    <a:xfrm>
                      <a:off x="0" y="0"/>
                      <a:ext cx="5532120" cy="1803669"/>
                    </a:xfrm>
                    <a:prstGeom prst="rect">
                      <a:avLst/>
                    </a:prstGeom>
                  </pic:spPr>
                </pic:pic>
              </a:graphicData>
            </a:graphic>
          </wp:inline>
        </w:drawing>
      </w:r>
    </w:p>
    <w:p w14:paraId="055C31E4">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22</w:t>
      </w:r>
      <w:r>
        <w:fldChar w:fldCharType="end"/>
      </w:r>
      <w:r>
        <w:t>一维硅基复合材料声学波形及主回波</w:t>
      </w:r>
    </w:p>
    <w:p w14:paraId="3CF2BCEA">
      <w:pPr>
        <w:keepNext/>
        <w:spacing w:before="120" w:after="40"/>
        <w:jc w:val="center"/>
      </w:pPr>
      <w:r>
        <w:drawing>
          <wp:inline distT="0" distB="0" distL="0" distR="0">
            <wp:extent cx="5532120" cy="19691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5"/>
                    <a:stretch>
                      <a:fillRect/>
                    </a:stretch>
                  </pic:blipFill>
                  <pic:spPr>
                    <a:xfrm>
                      <a:off x="0" y="0"/>
                      <a:ext cx="5532120" cy="1969739"/>
                    </a:xfrm>
                    <a:prstGeom prst="rect">
                      <a:avLst/>
                    </a:prstGeom>
                  </pic:spPr>
                </pic:pic>
              </a:graphicData>
            </a:graphic>
          </wp:inline>
        </w:drawing>
      </w:r>
    </w:p>
    <w:p w14:paraId="4746229E">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23</w:t>
      </w:r>
      <w:r>
        <w:fldChar w:fldCharType="end"/>
      </w:r>
      <w:r>
        <w:t>二维硅基复合材料声学波形及主回波</w:t>
      </w:r>
    </w:p>
    <w:p w14:paraId="68AAD76B">
      <w:pPr>
        <w:keepNext/>
        <w:spacing w:before="120" w:after="40"/>
        <w:jc w:val="center"/>
      </w:pPr>
      <w:r>
        <w:drawing>
          <wp:inline distT="0" distB="0" distL="0" distR="0">
            <wp:extent cx="5532120" cy="33686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6"/>
                    <a:stretch>
                      <a:fillRect/>
                    </a:stretch>
                  </pic:blipFill>
                  <pic:spPr>
                    <a:xfrm>
                      <a:off x="0" y="0"/>
                      <a:ext cx="5532120" cy="3368765"/>
                    </a:xfrm>
                    <a:prstGeom prst="rect">
                      <a:avLst/>
                    </a:prstGeom>
                  </pic:spPr>
                </pic:pic>
              </a:graphicData>
            </a:graphic>
          </wp:inline>
        </w:drawing>
      </w:r>
    </w:p>
    <w:p w14:paraId="7D1723C5">
      <w:pPr>
        <w:pStyle w:val="33"/>
      </w:pPr>
      <w:bookmarkStart w:id="55" w:name="_Ref2359025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24</w:t>
      </w:r>
      <w:r>
        <w:fldChar w:fldCharType="end"/>
      </w:r>
      <w:bookmarkEnd w:id="55"/>
      <w:r>
        <w:t>二维硅基复合材料STFT与小波时频特征</w:t>
      </w:r>
    </w:p>
    <w:p w14:paraId="7BC43F17">
      <w:pPr>
        <w:pStyle w:val="33"/>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12</w:t>
      </w:r>
      <w:r>
        <w:fldChar w:fldCharType="end"/>
      </w:r>
      <w:r>
        <w:t>硅基复合材料代表性结果</w:t>
      </w:r>
    </w:p>
    <w:tbl>
      <w:tblPr>
        <w:tblStyle w:val="22"/>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3263"/>
        <w:gridCol w:w="3263"/>
      </w:tblGrid>
      <w:tr w14:paraId="55764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dxa"/>
            <w:tcMar>
              <w:top w:w="90" w:type="dxa"/>
              <w:left w:w="120" w:type="dxa"/>
              <w:bottom w:w="90" w:type="dxa"/>
              <w:right w:w="120" w:type="dxa"/>
            </w:tcMar>
            <w:vAlign w:val="center"/>
          </w:tcPr>
          <w:p w14:paraId="32B53F61">
            <w:r>
              <w:t>指标</w:t>
            </w:r>
          </w:p>
        </w:tc>
        <w:tc>
          <w:tcPr>
            <w:tcW w:w="3263" w:type="dxa"/>
            <w:tcMar>
              <w:top w:w="90" w:type="dxa"/>
              <w:left w:w="120" w:type="dxa"/>
              <w:bottom w:w="90" w:type="dxa"/>
              <w:right w:w="120" w:type="dxa"/>
            </w:tcMar>
            <w:vAlign w:val="center"/>
          </w:tcPr>
          <w:p w14:paraId="6E4D46F9">
            <w:r>
              <w:t>一维等效模型</w:t>
            </w:r>
          </w:p>
        </w:tc>
        <w:tc>
          <w:tcPr>
            <w:tcW w:w="3263" w:type="dxa"/>
            <w:tcMar>
              <w:top w:w="90" w:type="dxa"/>
              <w:left w:w="120" w:type="dxa"/>
              <w:bottom w:w="90" w:type="dxa"/>
              <w:right w:w="120" w:type="dxa"/>
            </w:tcMar>
            <w:vAlign w:val="center"/>
          </w:tcPr>
          <w:p w14:paraId="25A8BD63">
            <w:r>
              <w:t>二维多尺度模型</w:t>
            </w:r>
          </w:p>
        </w:tc>
      </w:tr>
      <w:tr w14:paraId="64ED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3684BC2B">
            <w:r>
              <w:t>稳态温度场NRMSE</w:t>
            </w:r>
          </w:p>
        </w:tc>
        <w:tc>
          <w:tcPr>
            <w:tcW w:w="3263" w:type="dxa"/>
          </w:tcPr>
          <w:p w14:paraId="1D337D3D">
            <w:r>
              <w:t>0.2177%</w:t>
            </w:r>
          </w:p>
        </w:tc>
        <w:tc>
          <w:tcPr>
            <w:tcW w:w="3263" w:type="dxa"/>
          </w:tcPr>
          <w:p w14:paraId="5B5848CD">
            <w:r>
              <w:t>0.587%</w:t>
            </w:r>
          </w:p>
        </w:tc>
      </w:tr>
      <w:tr w14:paraId="62DBF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126FB9F1">
            <w:r>
              <w:t>稳态位移场NRMSE</w:t>
            </w:r>
          </w:p>
        </w:tc>
        <w:tc>
          <w:tcPr>
            <w:tcW w:w="3263" w:type="dxa"/>
          </w:tcPr>
          <w:p w14:paraId="633CFCE2">
            <w:r>
              <w:t>0.7113%</w:t>
            </w:r>
          </w:p>
        </w:tc>
        <w:tc>
          <w:tcPr>
            <w:tcW w:w="3263" w:type="dxa"/>
          </w:tcPr>
          <w:p w14:paraId="35BE5BFE">
            <w:r>
              <w:t>1.811%</w:t>
            </w:r>
          </w:p>
        </w:tc>
      </w:tr>
      <w:tr w14:paraId="7F6DB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2C7A9900">
            <w:r>
              <w:t>波动场NRMSE</w:t>
            </w:r>
          </w:p>
        </w:tc>
        <w:tc>
          <w:tcPr>
            <w:tcW w:w="3263" w:type="dxa"/>
          </w:tcPr>
          <w:p w14:paraId="764C6864">
            <w:r>
              <w:t>1.2926%</w:t>
            </w:r>
          </w:p>
        </w:tc>
        <w:tc>
          <w:tcPr>
            <w:tcW w:w="3263" w:type="dxa"/>
          </w:tcPr>
          <w:p w14:paraId="6C4DCAE6">
            <w:r>
              <w:t>1.693%</w:t>
            </w:r>
          </w:p>
        </w:tc>
      </w:tr>
      <w:tr w14:paraId="55A5B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2FD56C70">
            <w:r>
              <w:t>波形相关系数</w:t>
            </w:r>
          </w:p>
        </w:tc>
        <w:tc>
          <w:tcPr>
            <w:tcW w:w="3263" w:type="dxa"/>
          </w:tcPr>
          <w:p w14:paraId="29ADD370">
            <w:r>
              <w:t>0.992522</w:t>
            </w:r>
          </w:p>
        </w:tc>
        <w:tc>
          <w:tcPr>
            <w:tcW w:w="3263" w:type="dxa"/>
          </w:tcPr>
          <w:p w14:paraId="0C9545DC">
            <w:r>
              <w:t>0.997136</w:t>
            </w:r>
          </w:p>
        </w:tc>
      </w:tr>
      <w:tr w14:paraId="0ABF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5192AE3A">
            <w:r>
              <w:t>双主回波TOF</w:t>
            </w:r>
          </w:p>
        </w:tc>
        <w:tc>
          <w:tcPr>
            <w:tcW w:w="3263" w:type="dxa"/>
          </w:tcPr>
          <w:p w14:paraId="0332C94E">
            <w:r>
              <w:t>5.655600 μs</w:t>
            </w:r>
          </w:p>
        </w:tc>
        <w:tc>
          <w:tcPr>
            <w:tcW w:w="3263" w:type="dxa"/>
          </w:tcPr>
          <w:p w14:paraId="4E616DD5">
            <w:r>
              <w:t>1.86752 μs</w:t>
            </w:r>
          </w:p>
        </w:tc>
      </w:tr>
      <w:tr w14:paraId="6B2A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6A4F35DD">
            <w:r>
              <w:t>中心频率</w:t>
            </w:r>
          </w:p>
        </w:tc>
        <w:tc>
          <w:tcPr>
            <w:tcW w:w="3263" w:type="dxa"/>
          </w:tcPr>
          <w:p w14:paraId="7BD23D8B">
            <w:r>
              <w:t>2.524062 MHz</w:t>
            </w:r>
          </w:p>
        </w:tc>
        <w:tc>
          <w:tcPr>
            <w:tcW w:w="3263" w:type="dxa"/>
          </w:tcPr>
          <w:p w14:paraId="4B8FEAAB">
            <w:r>
              <w:t>2.55374 MHz</w:t>
            </w:r>
          </w:p>
        </w:tc>
      </w:tr>
    </w:tbl>
    <w:p w14:paraId="55E2B50F">
      <w:pPr>
        <w:pStyle w:val="5"/>
      </w:pPr>
      <w:bookmarkStart w:id="56" w:name="_Ref235902664"/>
      <w:bookmarkStart w:id="57" w:name="_Toc235910454"/>
      <w:r>
        <w:t>声学特征及温度敏感性分析</w:t>
      </w:r>
      <w:bookmarkEnd w:id="56"/>
      <w:bookmarkEnd w:id="57"/>
    </w:p>
    <w:p w14:paraId="7548DE7B">
      <w:pPr>
        <w:ind w:firstLine="420"/>
      </w:pPr>
      <w:r>
        <w:rPr>
          <w:color w:val="222222"/>
        </w:rPr>
        <w:t>三类材料场景均输出接收全波形，并采用统一后处理链提取时域、频域和时频域特征。统一特征定义的意义在于：同一物理量可以跨材料、跨一维/二维模型进行比较，后续模块也无需针对每种求解器重新编写数据解析程序。</w:t>
      </w:r>
    </w:p>
    <w:p w14:paraId="078C1351">
      <w:pPr>
        <w:ind w:firstLine="420"/>
      </w:pPr>
      <w:r>
        <w:rPr>
          <w:color w:val="222222"/>
        </w:rPr>
        <w:t>声时或双回波TOF定义为选定两个包络峰的时刻差，可抵消一部分触发延迟和固定电子延迟；绝对峰值描述回波最大响应；Hilbert上包络面积通过指定闸门内包络积分反映回波总能量；中心频率以振幅谱为权计算频谱重心；STFT和CWT能量重心则同时保留回波到达时间和频带分布。</w:t>
      </w:r>
    </w:p>
    <w:p w14:paraId="23CDBD01">
      <w:pPr>
        <w:pStyle w:val="33"/>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13</w:t>
      </w:r>
      <w:r>
        <w:fldChar w:fldCharType="end"/>
      </w:r>
      <w:r>
        <w:t>模块一输出的声学特征清单</w:t>
      </w:r>
    </w:p>
    <w:tbl>
      <w:tblPr>
        <w:tblStyle w:val="64"/>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600"/>
        <w:gridCol w:w="2500"/>
        <w:gridCol w:w="2426"/>
      </w:tblGrid>
      <w:tr w14:paraId="6F81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tcMar>
              <w:top w:w="90" w:type="dxa"/>
              <w:left w:w="120" w:type="dxa"/>
              <w:bottom w:w="90" w:type="dxa"/>
              <w:right w:w="120" w:type="dxa"/>
            </w:tcMar>
            <w:vAlign w:val="center"/>
          </w:tcPr>
          <w:p w14:paraId="26D89A25">
            <w:pPr>
              <w:pStyle w:val="33"/>
              <w:rPr>
                <w:lang w:eastAsia="en-US"/>
              </w:rPr>
            </w:pPr>
            <w:r>
              <w:rPr>
                <w:lang w:eastAsia="en-US"/>
              </w:rPr>
              <w:t>特征</w:t>
            </w:r>
          </w:p>
        </w:tc>
        <w:tc>
          <w:tcPr>
            <w:tcW w:w="2600" w:type="dxa"/>
            <w:tcMar>
              <w:top w:w="90" w:type="dxa"/>
              <w:left w:w="120" w:type="dxa"/>
              <w:bottom w:w="90" w:type="dxa"/>
              <w:right w:w="120" w:type="dxa"/>
            </w:tcMar>
            <w:vAlign w:val="center"/>
          </w:tcPr>
          <w:p w14:paraId="5E9E3B8E">
            <w:pPr>
              <w:pStyle w:val="33"/>
              <w:rPr>
                <w:lang w:eastAsia="en-US"/>
              </w:rPr>
            </w:pPr>
            <w:r>
              <w:rPr>
                <w:lang w:eastAsia="en-US"/>
              </w:rPr>
              <w:t>定义/算法</w:t>
            </w:r>
          </w:p>
        </w:tc>
        <w:tc>
          <w:tcPr>
            <w:tcW w:w="2500" w:type="dxa"/>
            <w:tcMar>
              <w:top w:w="90" w:type="dxa"/>
              <w:left w:w="120" w:type="dxa"/>
              <w:bottom w:w="90" w:type="dxa"/>
              <w:right w:w="120" w:type="dxa"/>
            </w:tcMar>
            <w:vAlign w:val="center"/>
          </w:tcPr>
          <w:p w14:paraId="775FA6AD">
            <w:pPr>
              <w:pStyle w:val="33"/>
              <w:rPr>
                <w:lang w:eastAsia="en-US"/>
              </w:rPr>
            </w:pPr>
            <w:r>
              <w:rPr>
                <w:lang w:eastAsia="en-US"/>
              </w:rPr>
              <w:t>主要敏感因素</w:t>
            </w:r>
          </w:p>
        </w:tc>
        <w:tc>
          <w:tcPr>
            <w:tcW w:w="2426" w:type="dxa"/>
            <w:tcMar>
              <w:top w:w="90" w:type="dxa"/>
              <w:left w:w="120" w:type="dxa"/>
              <w:bottom w:w="90" w:type="dxa"/>
              <w:right w:w="120" w:type="dxa"/>
            </w:tcMar>
            <w:vAlign w:val="center"/>
          </w:tcPr>
          <w:p w14:paraId="2B8A30DC">
            <w:pPr>
              <w:pStyle w:val="33"/>
              <w:rPr>
                <w:lang w:eastAsia="en-US"/>
              </w:rPr>
            </w:pPr>
            <w:r>
              <w:rPr>
                <w:lang w:eastAsia="en-US"/>
              </w:rPr>
              <w:t>后续用途</w:t>
            </w:r>
          </w:p>
        </w:tc>
      </w:tr>
      <w:tr w14:paraId="3207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D4321D2">
            <w:pPr>
              <w:pStyle w:val="33"/>
              <w:rPr>
                <w:lang w:eastAsia="en-US"/>
              </w:rPr>
            </w:pPr>
            <w:r>
              <w:rPr>
                <w:lang w:eastAsia="en-US"/>
              </w:rPr>
              <w:t>声时/TOF</w:t>
            </w:r>
          </w:p>
        </w:tc>
        <w:tc>
          <w:tcPr>
            <w:tcW w:w="2600" w:type="dxa"/>
          </w:tcPr>
          <w:p w14:paraId="23755952">
            <w:pPr>
              <w:pStyle w:val="33"/>
              <w:rPr>
                <w:lang w:eastAsia="zh-CN"/>
              </w:rPr>
            </w:pPr>
            <w:r>
              <w:rPr>
                <w:lang w:eastAsia="zh-CN"/>
              </w:rPr>
              <w:t>Hilbert包络峰时刻或两主回波时间差</w:t>
            </w:r>
          </w:p>
        </w:tc>
        <w:tc>
          <w:tcPr>
            <w:tcW w:w="2500" w:type="dxa"/>
          </w:tcPr>
          <w:p w14:paraId="67F06512">
            <w:pPr>
              <w:pStyle w:val="33"/>
              <w:rPr>
                <w:lang w:eastAsia="zh-CN"/>
              </w:rPr>
            </w:pPr>
            <w:r>
              <w:rPr>
                <w:lang w:eastAsia="zh-CN"/>
              </w:rPr>
              <w:t>有效波速、温度、厚度、传播路径</w:t>
            </w:r>
          </w:p>
        </w:tc>
        <w:tc>
          <w:tcPr>
            <w:tcW w:w="2426" w:type="dxa"/>
          </w:tcPr>
          <w:p w14:paraId="0C624BEB">
            <w:pPr>
              <w:pStyle w:val="33"/>
              <w:rPr>
                <w:lang w:eastAsia="zh-CN"/>
              </w:rPr>
            </w:pPr>
            <w:r>
              <w:rPr>
                <w:lang w:eastAsia="zh-CN"/>
              </w:rPr>
              <w:t>模块二主反演量；模块三标签关联</w:t>
            </w:r>
          </w:p>
        </w:tc>
      </w:tr>
      <w:tr w14:paraId="286B5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580299D2">
            <w:pPr>
              <w:pStyle w:val="33"/>
              <w:rPr>
                <w:lang w:eastAsia="en-US"/>
              </w:rPr>
            </w:pPr>
            <w:r>
              <w:rPr>
                <w:lang w:eastAsia="en-US"/>
              </w:rPr>
              <w:t>回波峰值</w:t>
            </w:r>
          </w:p>
        </w:tc>
        <w:tc>
          <w:tcPr>
            <w:tcW w:w="2600" w:type="dxa"/>
          </w:tcPr>
          <w:p w14:paraId="76D3FDD4">
            <w:pPr>
              <w:pStyle w:val="33"/>
              <w:rPr>
                <w:lang w:eastAsia="en-US"/>
              </w:rPr>
            </w:pPr>
            <w:r>
              <w:rPr>
                <w:lang w:eastAsia="en-US"/>
              </w:rPr>
              <w:t>闸门内绝对峰值</w:t>
            </w:r>
          </w:p>
        </w:tc>
        <w:tc>
          <w:tcPr>
            <w:tcW w:w="2500" w:type="dxa"/>
          </w:tcPr>
          <w:p w14:paraId="3DBDA77A">
            <w:pPr>
              <w:pStyle w:val="33"/>
              <w:rPr>
                <w:lang w:eastAsia="zh-CN"/>
              </w:rPr>
            </w:pPr>
            <w:r>
              <w:rPr>
                <w:lang w:eastAsia="zh-CN"/>
              </w:rPr>
              <w:t>声阻抗、界面透射、激励幅值、阻尼</w:t>
            </w:r>
          </w:p>
        </w:tc>
        <w:tc>
          <w:tcPr>
            <w:tcW w:w="2426" w:type="dxa"/>
          </w:tcPr>
          <w:p w14:paraId="2FCEB7BB">
            <w:pPr>
              <w:pStyle w:val="33"/>
              <w:rPr>
                <w:lang w:eastAsia="en-US"/>
              </w:rPr>
            </w:pPr>
            <w:r>
              <w:rPr>
                <w:lang w:eastAsia="en-US"/>
              </w:rPr>
              <w:t>幅值约束与异常识别</w:t>
            </w:r>
          </w:p>
        </w:tc>
      </w:tr>
      <w:tr w14:paraId="1ED4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38979A56">
            <w:pPr>
              <w:pStyle w:val="33"/>
              <w:rPr>
                <w:lang w:eastAsia="en-US"/>
              </w:rPr>
            </w:pPr>
            <w:r>
              <w:rPr>
                <w:lang w:eastAsia="en-US"/>
              </w:rPr>
              <w:t>上包络面积</w:t>
            </w:r>
          </w:p>
        </w:tc>
        <w:tc>
          <w:tcPr>
            <w:tcW w:w="2600" w:type="dxa"/>
          </w:tcPr>
          <w:p w14:paraId="2B08AB69">
            <w:pPr>
              <w:pStyle w:val="33"/>
              <w:rPr>
                <w:lang w:eastAsia="zh-CN"/>
              </w:rPr>
            </w:pPr>
            <w:r>
              <w:rPr>
                <w:lang w:eastAsia="zh-CN"/>
              </w:rPr>
              <w:t>闸门内Hilbert包络积分</w:t>
            </w:r>
          </w:p>
        </w:tc>
        <w:tc>
          <w:tcPr>
            <w:tcW w:w="2500" w:type="dxa"/>
          </w:tcPr>
          <w:p w14:paraId="06A4B0A4">
            <w:pPr>
              <w:pStyle w:val="33"/>
              <w:rPr>
                <w:lang w:eastAsia="zh-CN"/>
              </w:rPr>
            </w:pPr>
            <w:r>
              <w:rPr>
                <w:lang w:eastAsia="zh-CN"/>
              </w:rPr>
              <w:t>衰减、散射、波包展宽</w:t>
            </w:r>
          </w:p>
        </w:tc>
        <w:tc>
          <w:tcPr>
            <w:tcW w:w="2426" w:type="dxa"/>
          </w:tcPr>
          <w:p w14:paraId="771940B7">
            <w:pPr>
              <w:pStyle w:val="33"/>
              <w:rPr>
                <w:lang w:eastAsia="en-US"/>
              </w:rPr>
            </w:pPr>
            <w:r>
              <w:rPr>
                <w:lang w:eastAsia="en-US"/>
              </w:rPr>
              <w:t>能量型融合特征</w:t>
            </w:r>
          </w:p>
        </w:tc>
      </w:tr>
      <w:tr w14:paraId="18607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613378D6">
            <w:pPr>
              <w:pStyle w:val="33"/>
              <w:rPr>
                <w:lang w:eastAsia="en-US"/>
              </w:rPr>
            </w:pPr>
            <w:r>
              <w:rPr>
                <w:lang w:eastAsia="en-US"/>
              </w:rPr>
              <w:t>波形相关系数</w:t>
            </w:r>
          </w:p>
        </w:tc>
        <w:tc>
          <w:tcPr>
            <w:tcW w:w="2600" w:type="dxa"/>
          </w:tcPr>
          <w:p w14:paraId="0EAF88E8">
            <w:pPr>
              <w:pStyle w:val="33"/>
              <w:rPr>
                <w:lang w:eastAsia="zh-CN"/>
              </w:rPr>
            </w:pPr>
            <w:r>
              <w:rPr>
                <w:lang w:eastAsia="zh-CN"/>
              </w:rPr>
              <w:t>去直流归一化波形相关</w:t>
            </w:r>
          </w:p>
        </w:tc>
        <w:tc>
          <w:tcPr>
            <w:tcW w:w="2500" w:type="dxa"/>
          </w:tcPr>
          <w:p w14:paraId="7F23D39D">
            <w:pPr>
              <w:pStyle w:val="33"/>
              <w:rPr>
                <w:lang w:eastAsia="zh-CN"/>
              </w:rPr>
            </w:pPr>
            <w:r>
              <w:rPr>
                <w:lang w:eastAsia="zh-CN"/>
              </w:rPr>
              <w:t>相位、波包结构和局部失真</w:t>
            </w:r>
          </w:p>
        </w:tc>
        <w:tc>
          <w:tcPr>
            <w:tcW w:w="2426" w:type="dxa"/>
          </w:tcPr>
          <w:p w14:paraId="1C7A3C1A">
            <w:pPr>
              <w:pStyle w:val="33"/>
              <w:rPr>
                <w:lang w:eastAsia="zh-CN"/>
              </w:rPr>
            </w:pPr>
            <w:r>
              <w:rPr>
                <w:lang w:eastAsia="zh-CN"/>
              </w:rPr>
              <w:t>模型一致性与数据质控</w:t>
            </w:r>
          </w:p>
        </w:tc>
      </w:tr>
      <w:tr w14:paraId="4D02F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74B698A">
            <w:pPr>
              <w:pStyle w:val="33"/>
              <w:rPr>
                <w:lang w:eastAsia="en-US"/>
              </w:rPr>
            </w:pPr>
            <w:r>
              <w:rPr>
                <w:lang w:eastAsia="en-US"/>
              </w:rPr>
              <w:t>谱峰频率</w:t>
            </w:r>
          </w:p>
        </w:tc>
        <w:tc>
          <w:tcPr>
            <w:tcW w:w="2600" w:type="dxa"/>
          </w:tcPr>
          <w:p w14:paraId="331CC04E">
            <w:pPr>
              <w:pStyle w:val="33"/>
              <w:rPr>
                <w:lang w:eastAsia="zh-CN"/>
              </w:rPr>
            </w:pPr>
            <w:r>
              <w:rPr>
                <w:lang w:eastAsia="zh-CN"/>
              </w:rPr>
              <w:t>单边振幅谱最大值位置</w:t>
            </w:r>
          </w:p>
        </w:tc>
        <w:tc>
          <w:tcPr>
            <w:tcW w:w="2500" w:type="dxa"/>
          </w:tcPr>
          <w:p w14:paraId="710A3CC3">
            <w:pPr>
              <w:pStyle w:val="33"/>
              <w:rPr>
                <w:lang w:eastAsia="zh-CN"/>
              </w:rPr>
            </w:pPr>
            <w:r>
              <w:rPr>
                <w:lang w:eastAsia="zh-CN"/>
              </w:rPr>
              <w:t>激励频率、色散和衰减</w:t>
            </w:r>
          </w:p>
        </w:tc>
        <w:tc>
          <w:tcPr>
            <w:tcW w:w="2426" w:type="dxa"/>
          </w:tcPr>
          <w:p w14:paraId="30C9E92C">
            <w:pPr>
              <w:pStyle w:val="33"/>
              <w:rPr>
                <w:lang w:eastAsia="en-US"/>
              </w:rPr>
            </w:pPr>
            <w:r>
              <w:rPr>
                <w:lang w:eastAsia="en-US"/>
              </w:rPr>
              <w:t>频带稳定性检查</w:t>
            </w:r>
          </w:p>
        </w:tc>
      </w:tr>
      <w:tr w14:paraId="649C7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0611A20F">
            <w:pPr>
              <w:pStyle w:val="33"/>
              <w:rPr>
                <w:lang w:eastAsia="en-US"/>
              </w:rPr>
            </w:pPr>
            <w:r>
              <w:rPr>
                <w:lang w:eastAsia="en-US"/>
              </w:rPr>
              <w:t>中心频率</w:t>
            </w:r>
          </w:p>
        </w:tc>
        <w:tc>
          <w:tcPr>
            <w:tcW w:w="2600" w:type="dxa"/>
          </w:tcPr>
          <w:p w14:paraId="6D82CB46">
            <w:pPr>
              <w:pStyle w:val="33"/>
              <w:rPr>
                <w:lang w:eastAsia="en-US"/>
              </w:rPr>
            </w:pPr>
            <w:r>
              <w:rPr>
                <w:lang w:eastAsia="en-US"/>
              </w:rPr>
              <w:t>振幅谱加权频率重心</w:t>
            </w:r>
          </w:p>
        </w:tc>
        <w:tc>
          <w:tcPr>
            <w:tcW w:w="2500" w:type="dxa"/>
          </w:tcPr>
          <w:p w14:paraId="4DBD349D">
            <w:pPr>
              <w:pStyle w:val="33"/>
              <w:rPr>
                <w:lang w:eastAsia="zh-CN"/>
              </w:rPr>
            </w:pPr>
            <w:r>
              <w:rPr>
                <w:lang w:eastAsia="zh-CN"/>
              </w:rPr>
              <w:t>高频衰减、色散和温度</w:t>
            </w:r>
          </w:p>
        </w:tc>
        <w:tc>
          <w:tcPr>
            <w:tcW w:w="2426" w:type="dxa"/>
          </w:tcPr>
          <w:p w14:paraId="6E98525C">
            <w:pPr>
              <w:pStyle w:val="33"/>
              <w:rPr>
                <w:lang w:eastAsia="en-US"/>
              </w:rPr>
            </w:pPr>
            <w:r>
              <w:rPr>
                <w:lang w:eastAsia="en-US"/>
              </w:rPr>
              <w:t>频域温度敏感特征</w:t>
            </w:r>
          </w:p>
        </w:tc>
      </w:tr>
      <w:tr w14:paraId="10E0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62DE7537">
            <w:pPr>
              <w:pStyle w:val="33"/>
              <w:rPr>
                <w:lang w:eastAsia="en-US"/>
              </w:rPr>
            </w:pPr>
            <w:r>
              <w:rPr>
                <w:lang w:eastAsia="en-US"/>
              </w:rPr>
              <w:t>STFT能量重心</w:t>
            </w:r>
          </w:p>
        </w:tc>
        <w:tc>
          <w:tcPr>
            <w:tcW w:w="2600" w:type="dxa"/>
          </w:tcPr>
          <w:p w14:paraId="0B43B838">
            <w:pPr>
              <w:pStyle w:val="33"/>
              <w:rPr>
                <w:lang w:eastAsia="zh-CN"/>
              </w:rPr>
            </w:pPr>
            <w:r>
              <w:rPr>
                <w:lang w:eastAsia="zh-CN"/>
              </w:rPr>
              <w:t>短时谱能量的时间—频率重心</w:t>
            </w:r>
          </w:p>
        </w:tc>
        <w:tc>
          <w:tcPr>
            <w:tcW w:w="2500" w:type="dxa"/>
          </w:tcPr>
          <w:p w14:paraId="3FFEEBC6">
            <w:pPr>
              <w:pStyle w:val="33"/>
              <w:rPr>
                <w:lang w:eastAsia="zh-CN"/>
              </w:rPr>
            </w:pPr>
            <w:r>
              <w:rPr>
                <w:lang w:eastAsia="zh-CN"/>
              </w:rPr>
              <w:t>回波时刻、频带迁移、能量扩散</w:t>
            </w:r>
          </w:p>
        </w:tc>
        <w:tc>
          <w:tcPr>
            <w:tcW w:w="2426" w:type="dxa"/>
          </w:tcPr>
          <w:p w14:paraId="31A7E3F2">
            <w:pPr>
              <w:pStyle w:val="33"/>
              <w:rPr>
                <w:lang w:eastAsia="en-US"/>
              </w:rPr>
            </w:pPr>
            <w:r>
              <w:rPr>
                <w:lang w:eastAsia="en-US"/>
              </w:rPr>
              <w:t>局部时频融合</w:t>
            </w:r>
          </w:p>
        </w:tc>
      </w:tr>
      <w:tr w14:paraId="7B8D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11810FC1">
            <w:pPr>
              <w:pStyle w:val="33"/>
              <w:rPr>
                <w:lang w:eastAsia="en-US"/>
              </w:rPr>
            </w:pPr>
            <w:r>
              <w:rPr>
                <w:lang w:eastAsia="en-US"/>
              </w:rPr>
              <w:t>CWT能量重心</w:t>
            </w:r>
          </w:p>
        </w:tc>
        <w:tc>
          <w:tcPr>
            <w:tcW w:w="2600" w:type="dxa"/>
          </w:tcPr>
          <w:p w14:paraId="1F462938">
            <w:pPr>
              <w:pStyle w:val="33"/>
              <w:rPr>
                <w:lang w:eastAsia="en-US"/>
              </w:rPr>
            </w:pPr>
            <w:r>
              <w:rPr>
                <w:lang w:eastAsia="en-US"/>
              </w:rPr>
              <w:t>Morlet小波能量团重心</w:t>
            </w:r>
          </w:p>
        </w:tc>
        <w:tc>
          <w:tcPr>
            <w:tcW w:w="2500" w:type="dxa"/>
          </w:tcPr>
          <w:p w14:paraId="61A81578">
            <w:pPr>
              <w:pStyle w:val="33"/>
              <w:rPr>
                <w:lang w:eastAsia="zh-CN"/>
              </w:rPr>
            </w:pPr>
            <w:r>
              <w:rPr>
                <w:lang w:eastAsia="zh-CN"/>
              </w:rPr>
              <w:t>瞬态多尺度结构和弱回波</w:t>
            </w:r>
          </w:p>
        </w:tc>
        <w:tc>
          <w:tcPr>
            <w:tcW w:w="2426" w:type="dxa"/>
          </w:tcPr>
          <w:p w14:paraId="084C8B6B">
            <w:pPr>
              <w:pStyle w:val="33"/>
              <w:rPr>
                <w:lang w:eastAsia="en-US"/>
              </w:rPr>
            </w:pPr>
            <w:r>
              <w:rPr>
                <w:lang w:eastAsia="en-US"/>
              </w:rPr>
              <w:t>多尺度AI特征</w:t>
            </w:r>
          </w:p>
        </w:tc>
      </w:tr>
    </w:tbl>
    <w:p w14:paraId="72224E69">
      <w:pPr>
        <w:ind w:firstLine="420"/>
      </w:pPr>
      <w:r>
        <w:t>在温度相关本构条件下，TOF通常具有较清晰的累积敏感性：温度改变有效弹性与密度，进而改变波速，传播距离越长，时间偏移越容易观测。幅值和包络面积对界面透射率、颗粒或纤维散射、阻尼和波包展宽同时敏感，能够补充TOF无法区分的材料或界面变化，但其单调性通常弱于TOF。中心频率对高频衰减和色散较敏感，在本报告代表性算例中相对偏移普遍较小，可作为稳定的辅助特征。</w:t>
      </w:r>
    </w:p>
    <w:p w14:paraId="2926FC9F">
      <w:pPr>
        <w:ind w:firstLine="420"/>
      </w:pPr>
      <w:r>
        <w:t>多层材料的界面回波位置明确，适合使用门控TOF与分回波能量；随机颗粒材料的波形包含更多局部散射，包络面积和时频扩散更具信息量；周期纤维均匀化模型的宏观波形较稳定，适合研究温度相关等效参数对频谱重心和传播时延的影响。因此，模块二应采用“TOF主约束＋幅值/能量/频率辅助约束”的融合方式，模块三则可同时使用全波形与人工特征，保留数据驱动模型自动学习复杂非线性关系的能力。</w:t>
      </w:r>
    </w:p>
    <w:p w14:paraId="57B61795">
      <w:pPr>
        <w:ind w:firstLine="420"/>
      </w:pPr>
      <w:r>
        <w:t>为保证特征可比性，数据进入后续模块前需要同时保存闸门范围、采样间隔、去直流方式、归一化规则、滤波参数、STFT窗长和小波类型。任何仅保存特征值而不保存处理元数据的做法都会削弱数据的可追溯性。</w:t>
      </w:r>
    </w:p>
    <w:p w14:paraId="7FB39554">
      <w:pPr>
        <w:pStyle w:val="5"/>
      </w:pPr>
      <w:bookmarkStart w:id="58" w:name="_Toc235910455"/>
      <w:r>
        <w:t>本模块研究结果及数据输出</w:t>
      </w:r>
      <w:bookmarkEnd w:id="58"/>
    </w:p>
    <w:p w14:paraId="2774AE6E">
      <w:pPr>
        <w:ind w:firstLine="420"/>
      </w:pPr>
      <w:r>
        <w:rPr>
          <w:color w:val="222222"/>
        </w:rPr>
        <w:t>本模块建立了覆盖一维和二维、稳态和瞬态的热—固—声顺序耦合计算体系。二维部分形成了T6热传导、热弹性、界面和超声传播求解流程，并通过Fortran内核提高矩阵装配与大规模网格计算效率；一维部分形成独立的分层有限元求解器，用于厚度方向快速分析和批量样本生成。两类求解器共享材料、边界和输出语义，可在同一平台中协同使用。</w:t>
      </w:r>
    </w:p>
    <w:p w14:paraId="42546FA1">
      <w:pPr>
        <w:ind w:firstLine="420"/>
      </w:pPr>
      <w:r>
        <w:rPr>
          <w:color w:val="222222"/>
        </w:rPr>
        <w:t>围绕三类材料形成了具有不同结构层次的算例：两层W30Mo70模型验证了明确层间界面条件下的热传递、热变形和界面回波；W基体/SiC纤维模型建立了Halpin–Tsai一维等效模型和二维显式随机颗粒模型；SiC纤维/CVI-SiC基体模型建立了周期单胞、温度/频率相关均匀化、宏观热力和宏观超声传播的连续多尺度链路。</w:t>
      </w:r>
    </w:p>
    <w:p w14:paraId="3C4B39C6">
      <w:pPr>
        <w:ind w:firstLine="420"/>
      </w:pPr>
      <w:r>
        <w:rPr>
          <w:color w:val="222222"/>
        </w:rPr>
        <w:t>计算输出覆盖温度场、热流、位移、应变、应力、预应力、波动位移/速度、接收全波形、Hilbert包络、振幅谱、STFT、CWT以及声时、幅值、包络面积、中心频率等汇总特征。这些结果既可用于研究温度、材料和界面参数对声学响应的影响，也可作为模块二和模块三的标准化数据输入。</w:t>
      </w:r>
    </w:p>
    <w:p w14:paraId="2CF422F1">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14</w:t>
      </w:r>
      <w:r>
        <w:fldChar w:fldCharType="end"/>
      </w:r>
      <w:r>
        <w:t>研究数据输出及下游使用方式</w:t>
      </w:r>
    </w:p>
    <w:tbl>
      <w:tblPr>
        <w:tblStyle w:val="22"/>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700"/>
        <w:gridCol w:w="1600"/>
        <w:gridCol w:w="3226"/>
      </w:tblGrid>
      <w:tr w14:paraId="5E7DE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tcMar>
              <w:top w:w="90" w:type="dxa"/>
              <w:left w:w="120" w:type="dxa"/>
              <w:bottom w:w="90" w:type="dxa"/>
              <w:right w:w="120" w:type="dxa"/>
            </w:tcMar>
            <w:vAlign w:val="center"/>
          </w:tcPr>
          <w:p w14:paraId="2CED525E">
            <w:r>
              <w:t>数据类别</w:t>
            </w:r>
          </w:p>
        </w:tc>
        <w:tc>
          <w:tcPr>
            <w:tcW w:w="2700" w:type="dxa"/>
            <w:tcMar>
              <w:top w:w="90" w:type="dxa"/>
              <w:left w:w="120" w:type="dxa"/>
              <w:bottom w:w="90" w:type="dxa"/>
              <w:right w:w="120" w:type="dxa"/>
            </w:tcMar>
            <w:vAlign w:val="center"/>
          </w:tcPr>
          <w:p w14:paraId="277D9952">
            <w:r>
              <w:t>主要字段</w:t>
            </w:r>
          </w:p>
        </w:tc>
        <w:tc>
          <w:tcPr>
            <w:tcW w:w="1600" w:type="dxa"/>
            <w:tcMar>
              <w:top w:w="90" w:type="dxa"/>
              <w:left w:w="120" w:type="dxa"/>
              <w:bottom w:w="90" w:type="dxa"/>
              <w:right w:w="120" w:type="dxa"/>
            </w:tcMar>
            <w:vAlign w:val="center"/>
          </w:tcPr>
          <w:p w14:paraId="186FA8F9">
            <w:r>
              <w:t>文件形态</w:t>
            </w:r>
          </w:p>
        </w:tc>
        <w:tc>
          <w:tcPr>
            <w:tcW w:w="3226" w:type="dxa"/>
            <w:tcMar>
              <w:top w:w="90" w:type="dxa"/>
              <w:left w:w="120" w:type="dxa"/>
              <w:bottom w:w="90" w:type="dxa"/>
              <w:right w:w="120" w:type="dxa"/>
            </w:tcMar>
            <w:vAlign w:val="center"/>
          </w:tcPr>
          <w:p w14:paraId="0EB20531">
            <w:r>
              <w:t>进入模块二/三的方式</w:t>
            </w:r>
          </w:p>
        </w:tc>
      </w:tr>
      <w:tr w14:paraId="26C7D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1FFF245E">
            <w:r>
              <w:t>模型元数据</w:t>
            </w:r>
          </w:p>
        </w:tc>
        <w:tc>
          <w:tcPr>
            <w:tcW w:w="2700" w:type="dxa"/>
          </w:tcPr>
          <w:p w14:paraId="1A22FD06">
            <w:r>
              <w:t>材料类型、几何、网格、边界、温度和频率</w:t>
            </w:r>
          </w:p>
        </w:tc>
        <w:tc>
          <w:tcPr>
            <w:tcW w:w="1600" w:type="dxa"/>
          </w:tcPr>
          <w:p w14:paraId="4B517E9C">
            <w:r>
              <w:t>JSON/配置记录</w:t>
            </w:r>
          </w:p>
        </w:tc>
        <w:tc>
          <w:tcPr>
            <w:tcW w:w="3226" w:type="dxa"/>
          </w:tcPr>
          <w:p w14:paraId="1072FFB1">
            <w:r>
              <w:t>反演先验、样本条件与可追溯索引</w:t>
            </w:r>
          </w:p>
        </w:tc>
      </w:tr>
      <w:tr w14:paraId="15A34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5B371DEE">
            <w:r>
              <w:t>场数据</w:t>
            </w:r>
          </w:p>
        </w:tc>
        <w:tc>
          <w:tcPr>
            <w:tcW w:w="2700" w:type="dxa"/>
          </w:tcPr>
          <w:p w14:paraId="6C8423ED">
            <w:r>
              <w:t>坐标、温度、位移、应力、波动场</w:t>
            </w:r>
          </w:p>
        </w:tc>
        <w:tc>
          <w:tcPr>
            <w:tcW w:w="1600" w:type="dxa"/>
          </w:tcPr>
          <w:p w14:paraId="24632D97">
            <w:r>
              <w:t>CSV、VTU/PVD</w:t>
            </w:r>
          </w:p>
        </w:tc>
        <w:tc>
          <w:tcPr>
            <w:tcW w:w="3226" w:type="dxa"/>
          </w:tcPr>
          <w:p w14:paraId="0BD8C251">
            <w:r>
              <w:t>温度场标签、物理约束和误差评价</w:t>
            </w:r>
          </w:p>
        </w:tc>
      </w:tr>
      <w:tr w14:paraId="48AC3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335B3700">
            <w:r>
              <w:t>全波形</w:t>
            </w:r>
          </w:p>
        </w:tc>
        <w:tc>
          <w:tcPr>
            <w:tcW w:w="2700" w:type="dxa"/>
          </w:tcPr>
          <w:p w14:paraId="4D59BF09">
            <w:r>
              <w:t>时间、接收位移/速度/加速度</w:t>
            </w:r>
          </w:p>
        </w:tc>
        <w:tc>
          <w:tcPr>
            <w:tcW w:w="1600" w:type="dxa"/>
          </w:tcPr>
          <w:p w14:paraId="0702936A">
            <w:r>
              <w:t>CSV/数组</w:t>
            </w:r>
          </w:p>
        </w:tc>
        <w:tc>
          <w:tcPr>
            <w:tcW w:w="3226" w:type="dxa"/>
          </w:tcPr>
          <w:p w14:paraId="08DE0681">
            <w:r>
              <w:t>模块二声时提取；模块三端到端输入</w:t>
            </w:r>
          </w:p>
        </w:tc>
      </w:tr>
      <w:tr w14:paraId="3544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10D8C2DA">
            <w:r>
              <w:t>时域特征</w:t>
            </w:r>
          </w:p>
        </w:tc>
        <w:tc>
          <w:tcPr>
            <w:tcW w:w="2700" w:type="dxa"/>
          </w:tcPr>
          <w:p w14:paraId="66B7D645">
            <w:r>
              <w:t>TOF、峰值、包络面积、相关系数</w:t>
            </w:r>
          </w:p>
        </w:tc>
        <w:tc>
          <w:tcPr>
            <w:tcW w:w="1600" w:type="dxa"/>
          </w:tcPr>
          <w:p w14:paraId="35A4144C">
            <w:r>
              <w:t>CSV/JSON</w:t>
            </w:r>
          </w:p>
        </w:tc>
        <w:tc>
          <w:tcPr>
            <w:tcW w:w="3226" w:type="dxa"/>
          </w:tcPr>
          <w:p w14:paraId="72AB6B6B">
            <w:r>
              <w:t>多参数融合反演和结构化AI特征</w:t>
            </w:r>
          </w:p>
        </w:tc>
      </w:tr>
      <w:tr w14:paraId="42AA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2BFE7B50">
            <w:r>
              <w:t>频域特征</w:t>
            </w:r>
          </w:p>
        </w:tc>
        <w:tc>
          <w:tcPr>
            <w:tcW w:w="2700" w:type="dxa"/>
          </w:tcPr>
          <w:p w14:paraId="5CCD7F3B">
            <w:r>
              <w:t>谱峰、中心频率、频谱能量</w:t>
            </w:r>
          </w:p>
        </w:tc>
        <w:tc>
          <w:tcPr>
            <w:tcW w:w="1600" w:type="dxa"/>
          </w:tcPr>
          <w:p w14:paraId="5296EC19">
            <w:r>
              <w:t>CSV/PNG</w:t>
            </w:r>
          </w:p>
        </w:tc>
        <w:tc>
          <w:tcPr>
            <w:tcW w:w="3226" w:type="dxa"/>
          </w:tcPr>
          <w:p w14:paraId="02EC69FB">
            <w:r>
              <w:t>频域约束与温度敏感性特征</w:t>
            </w:r>
          </w:p>
        </w:tc>
      </w:tr>
      <w:tr w14:paraId="36CE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1F73B174">
            <w:r>
              <w:t>时频特征</w:t>
            </w:r>
          </w:p>
        </w:tc>
        <w:tc>
          <w:tcPr>
            <w:tcW w:w="2700" w:type="dxa"/>
          </w:tcPr>
          <w:p w14:paraId="346B6431">
            <w:r>
              <w:t>STFT/CWT图与能量重心</w:t>
            </w:r>
          </w:p>
        </w:tc>
        <w:tc>
          <w:tcPr>
            <w:tcW w:w="1600" w:type="dxa"/>
          </w:tcPr>
          <w:p w14:paraId="16EF765B">
            <w:r>
              <w:t>数组/PNG/CSV</w:t>
            </w:r>
          </w:p>
        </w:tc>
        <w:tc>
          <w:tcPr>
            <w:tcW w:w="3226" w:type="dxa"/>
          </w:tcPr>
          <w:p w14:paraId="7B9C50A1">
            <w:r>
              <w:t>时频融合网络和弱回波识别</w:t>
            </w:r>
          </w:p>
        </w:tc>
      </w:tr>
      <w:tr w14:paraId="71F6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1E9F0E84">
            <w:r>
              <w:t>处理元数据</w:t>
            </w:r>
          </w:p>
        </w:tc>
        <w:tc>
          <w:tcPr>
            <w:tcW w:w="2700" w:type="dxa"/>
          </w:tcPr>
          <w:p w14:paraId="56FCA62F">
            <w:r>
              <w:t>闸门、采样率、归一化、窗函数和小波参数</w:t>
            </w:r>
          </w:p>
        </w:tc>
        <w:tc>
          <w:tcPr>
            <w:tcW w:w="1600" w:type="dxa"/>
          </w:tcPr>
          <w:p w14:paraId="358036CF">
            <w:r>
              <w:t>JSON</w:t>
            </w:r>
          </w:p>
        </w:tc>
        <w:tc>
          <w:tcPr>
            <w:tcW w:w="3226" w:type="dxa"/>
          </w:tcPr>
          <w:p w14:paraId="12C385F5">
            <w:r>
              <w:t>保证训练、验证和反演过程可重复</w:t>
            </w:r>
          </w:p>
        </w:tc>
      </w:tr>
    </w:tbl>
    <w:p w14:paraId="23D354B7">
      <w:pPr>
        <w:ind w:firstLine="420"/>
      </w:pPr>
      <w:r>
        <w:rPr>
          <w:color w:val="222222"/>
        </w:rPr>
        <w:t>模块二接收场景几何、试件厚度、声时、幅值、衰减和频谱等特征，通过单参数或多参数目标函数反演温度场；模块三接收全波形或特征矩阵以及对应温度场标签，形成预训练数据库，并可通过实验数据开展迁移学习和在线增量更新。模块一输出中的模型元数据和处理元数据用于保证不同来源样本的一致性与可追溯性。</w:t>
      </w:r>
    </w:p>
    <w:p w14:paraId="7D65C4EC">
      <w:r>
        <w:rPr>
          <w:color w:val="222222"/>
        </w:rPr>
        <w:t>总体而言，本模块已经形成从材料与结构定义、有限元正演、物理场耦合、全波形计算到声学特征输出的完整研究链。代表性算例与参考软件之间的温度、位移、波动场及声学特征保持良好一致性，说明所建立的数值方法和程序实现能够为复合材料温度场物理反演与人工智能重构提供可靠、可扩展的数据基础。</w:t>
      </w:r>
    </w:p>
    <w:p w14:paraId="444086C6">
      <w:pPr>
        <w:pStyle w:val="4"/>
      </w:pPr>
      <w:bookmarkStart w:id="59" w:name="_Toc235910456"/>
      <w:bookmarkStart w:id="60" w:name="OLE_LINK1"/>
      <w:r>
        <w:t>声学多参数融合的温度场反演方法研究情况</w:t>
      </w:r>
      <w:bookmarkEnd w:id="59"/>
    </w:p>
    <w:p w14:paraId="7A7F2947">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15</w:t>
      </w:r>
      <w:r>
        <w:fldChar w:fldCharType="end"/>
      </w:r>
      <w:r>
        <w:rPr>
          <w:rFonts w:hint="eastAsia"/>
        </w:rPr>
        <w:t xml:space="preserve"> 模块二技术指标对比表</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
        <w:gridCol w:w="511"/>
        <w:gridCol w:w="3469"/>
        <w:gridCol w:w="3773"/>
        <w:gridCol w:w="474"/>
      </w:tblGrid>
      <w:tr w14:paraId="1EDD0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vAlign w:val="center"/>
          </w:tcPr>
          <w:p w14:paraId="7B5F7057">
            <w:pPr>
              <w:pStyle w:val="33"/>
            </w:pPr>
            <w:r>
              <w:rPr>
                <w:rFonts w:hint="eastAsia"/>
              </w:rPr>
              <w:t>模块二</w:t>
            </w:r>
          </w:p>
        </w:tc>
        <w:tc>
          <w:tcPr>
            <w:tcW w:w="0" w:type="auto"/>
            <w:vMerge w:val="restart"/>
            <w:vAlign w:val="center"/>
          </w:tcPr>
          <w:p w14:paraId="1765BB02">
            <w:pPr>
              <w:pStyle w:val="33"/>
            </w:pPr>
            <w:r>
              <w:rPr>
                <w:rFonts w:hint="eastAsia"/>
              </w:rPr>
              <w:t>功能要求</w:t>
            </w:r>
          </w:p>
        </w:tc>
        <w:tc>
          <w:tcPr>
            <w:tcW w:w="0" w:type="auto"/>
            <w:vAlign w:val="center"/>
          </w:tcPr>
          <w:p w14:paraId="34C409E1">
            <w:pPr>
              <w:pStyle w:val="33"/>
            </w:pPr>
            <w:r>
              <w:t>(1)实现单参数（如声时）和多参数（如声时、幅值等）融合条件下多层材料、金属基复合材料、硅基/碳基复合材料内部一维、二维的稳态和瞬态温度场反演，并要求兼顾反演精度和效率</w:t>
            </w:r>
          </w:p>
        </w:tc>
        <w:tc>
          <w:tcPr>
            <w:tcW w:w="0" w:type="auto"/>
            <w:vAlign w:val="center"/>
          </w:tcPr>
          <w:p w14:paraId="5FBBC185">
            <w:pPr>
              <w:pStyle w:val="33"/>
            </w:pPr>
            <w:r>
              <w:t>项目分别建立了以声时为目标量的单参数反演模型，以及综合声时和幅值</w:t>
            </w:r>
            <w:r>
              <w:rPr>
                <w:rFonts w:hint="eastAsia"/>
              </w:rPr>
              <w:t>相对</w:t>
            </w:r>
            <w:r>
              <w:t>衰减信息的多参数加权反演模型，并完成多层材料、金属基复合材料和硅基复合材料一维、二维稳态及瞬态工况的温度场反演。算法采用</w:t>
            </w:r>
            <w:r>
              <w:rPr>
                <w:rFonts w:hint="eastAsia"/>
              </w:rPr>
              <w:t>贝叶斯优化＋有限差分(</w:t>
            </w:r>
            <w:r>
              <w:t>BO+FD</w:t>
            </w:r>
            <w:r>
              <w:rPr>
                <w:rFonts w:hint="eastAsia"/>
              </w:rPr>
              <w:t>)</w:t>
            </w:r>
            <w:r>
              <w:t>和</w:t>
            </w:r>
            <w:r>
              <w:rPr>
                <w:rFonts w:hint="eastAsia"/>
              </w:rPr>
              <w:t>粒子群+共轭梯度(</w:t>
            </w:r>
            <w:r>
              <w:t>PSO+CG</w:t>
            </w:r>
            <w:r>
              <w:rPr>
                <w:rFonts w:hint="eastAsia"/>
              </w:rPr>
              <w:t>)</w:t>
            </w:r>
            <w:r>
              <w:t>两种全局搜索与局部精修相结合的优化策略，在保证反演精度的同时减少迭代时间。多层材料实验场景的5个测点平均温度相对误差为3.884%～9.750%，均低于10%。测试结果表明，单参数和多参数反演功能均已实现，多参数信息能够提高反演稳定性，反演精度及运行效率满足项目要求，本项指标达到要求。</w:t>
            </w:r>
            <w:r>
              <w:rPr>
                <w:rFonts w:hint="eastAsia"/>
              </w:rPr>
              <w:t>（</w:t>
            </w:r>
            <w:r>
              <w:fldChar w:fldCharType="begin"/>
            </w:r>
            <w:r>
              <w:instrText xml:space="preserve"> REF _Ref235899704 \r \h </w:instrText>
            </w:r>
            <w:r>
              <w:fldChar w:fldCharType="separate"/>
            </w:r>
            <w:r>
              <w:t>3.3.3</w:t>
            </w:r>
            <w:r>
              <w:fldChar w:fldCharType="end"/>
            </w:r>
            <w:r>
              <w:rPr>
                <w:rFonts w:hint="eastAsia"/>
              </w:rPr>
              <w:t>、</w:t>
            </w:r>
            <w:r>
              <w:fldChar w:fldCharType="begin"/>
            </w:r>
            <w:r>
              <w:instrText xml:space="preserve"> REF _Ref235899692 \r \h </w:instrText>
            </w:r>
            <w:r>
              <w:fldChar w:fldCharType="separate"/>
            </w:r>
            <w:r>
              <w:t>3.3.4</w:t>
            </w:r>
            <w:r>
              <w:fldChar w:fldCharType="end"/>
            </w:r>
            <w:r>
              <w:rPr>
                <w:rFonts w:hint="eastAsia"/>
              </w:rPr>
              <w:t>、</w:t>
            </w:r>
            <w:r>
              <w:fldChar w:fldCharType="begin"/>
            </w:r>
            <w:r>
              <w:instrText xml:space="preserve"> REF _Ref235899697 \r \h </w:instrText>
            </w:r>
            <w:r>
              <w:fldChar w:fldCharType="separate"/>
            </w:r>
            <w:r>
              <w:t>3.3.5</w:t>
            </w:r>
            <w:r>
              <w:fldChar w:fldCharType="end"/>
            </w:r>
            <w:r>
              <w:rPr>
                <w:rFonts w:hint="eastAsia"/>
              </w:rPr>
              <w:t>)</w:t>
            </w:r>
          </w:p>
        </w:tc>
        <w:tc>
          <w:tcPr>
            <w:tcW w:w="0" w:type="auto"/>
            <w:vAlign w:val="center"/>
          </w:tcPr>
          <w:p w14:paraId="40FC01C7">
            <w:pPr>
              <w:pStyle w:val="33"/>
            </w:pPr>
            <w:r>
              <w:rPr>
                <w:rFonts w:hint="eastAsia"/>
              </w:rPr>
              <w:t>完成</w:t>
            </w:r>
          </w:p>
        </w:tc>
      </w:tr>
      <w:tr w14:paraId="67B55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21B40384">
            <w:pPr>
              <w:pStyle w:val="33"/>
            </w:pPr>
          </w:p>
        </w:tc>
        <w:tc>
          <w:tcPr>
            <w:tcW w:w="0" w:type="auto"/>
            <w:vMerge w:val="continue"/>
            <w:vAlign w:val="center"/>
          </w:tcPr>
          <w:p w14:paraId="11F7A2D7">
            <w:pPr>
              <w:pStyle w:val="33"/>
            </w:pPr>
          </w:p>
        </w:tc>
        <w:tc>
          <w:tcPr>
            <w:tcW w:w="0" w:type="auto"/>
            <w:vAlign w:val="center"/>
          </w:tcPr>
          <w:p w14:paraId="642EDB4F">
            <w:pPr>
              <w:pStyle w:val="33"/>
            </w:pPr>
            <w:r>
              <w:t>(2)除共轭梯度法、灵敏度法、最速下降法等经典优化方法外，发展至少一种以上的温度场新反演优化方法</w:t>
            </w:r>
          </w:p>
        </w:tc>
        <w:tc>
          <w:tcPr>
            <w:tcW w:w="0" w:type="auto"/>
            <w:vAlign w:val="center"/>
          </w:tcPr>
          <w:p w14:paraId="74A0514B">
            <w:pPr>
              <w:pStyle w:val="33"/>
            </w:pPr>
            <w:r>
              <w:t>项目在共轭梯度法、灵敏度法和最速下降法之外，开发了BO+FD和PSO+CG两种新的混合反演方法。其中，BO+FD先利用贝叶斯优化搜索较优参数区域，再通过有限差分进行局部精修；PSO+CG先利用粒子群算法完成全局搜索，再采用共轭梯度法加快局部收敛。两种方法均已完成程序实现，并应用于一维、二维稳态及瞬态温度场反演。表明新方法在满足反演精度要求的同时具有效率优势。项目实际形成两种新反演优化方法，超过“至少一种”的要求，本项指标完成。（</w:t>
            </w:r>
            <w:r>
              <w:fldChar w:fldCharType="begin"/>
            </w:r>
            <w:r>
              <w:instrText xml:space="preserve"> REF _Ref235899755 \r \h </w:instrText>
            </w:r>
            <w:r>
              <w:fldChar w:fldCharType="separate"/>
            </w:r>
            <w:r>
              <w:t>3.3.6</w:t>
            </w:r>
            <w:r>
              <w:fldChar w:fldCharType="end"/>
            </w:r>
            <w:r>
              <w:t>）</w:t>
            </w:r>
          </w:p>
        </w:tc>
        <w:tc>
          <w:tcPr>
            <w:tcW w:w="0" w:type="auto"/>
            <w:vAlign w:val="center"/>
          </w:tcPr>
          <w:p w14:paraId="455BA428">
            <w:pPr>
              <w:pStyle w:val="33"/>
            </w:pPr>
            <w:r>
              <w:rPr>
                <w:rFonts w:hint="eastAsia"/>
              </w:rPr>
              <w:t>完成</w:t>
            </w:r>
          </w:p>
        </w:tc>
      </w:tr>
      <w:tr w14:paraId="527EA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33596939">
            <w:pPr>
              <w:pStyle w:val="33"/>
            </w:pPr>
          </w:p>
        </w:tc>
        <w:tc>
          <w:tcPr>
            <w:tcW w:w="0" w:type="auto"/>
            <w:vMerge w:val="continue"/>
            <w:vAlign w:val="center"/>
          </w:tcPr>
          <w:p w14:paraId="082680B5">
            <w:pPr>
              <w:pStyle w:val="33"/>
            </w:pPr>
          </w:p>
        </w:tc>
        <w:tc>
          <w:tcPr>
            <w:tcW w:w="0" w:type="auto"/>
            <w:vAlign w:val="center"/>
          </w:tcPr>
          <w:p w14:paraId="482460CB">
            <w:pPr>
              <w:pStyle w:val="33"/>
            </w:pPr>
            <w:r>
              <w:t>(3)提供一种优化算法同时实现温度场和试件厚度的反演</w:t>
            </w:r>
          </w:p>
        </w:tc>
        <w:tc>
          <w:tcPr>
            <w:tcW w:w="0" w:type="auto"/>
            <w:vAlign w:val="center"/>
          </w:tcPr>
          <w:p w14:paraId="36A218B3">
            <w:pPr>
              <w:pStyle w:val="33"/>
            </w:pPr>
            <w:r>
              <w:t>项目将温度场控制参数与试件厚度共同纳入优化变量，以实测声时或声时、幅值等声学特征与正演计算结果之间的偏差构建统一目标函数，在一次优化迭代过程中同步更新温度场和厚度参数，最终同时输出重构温度场、反演厚度及相应误差。该方法已完成一维、二维稳态及瞬态场景测试，并采用实测总厚度为19.2 mm的两层W30Mo70试件进行实验验证。测试结果显示，温度—厚度联合反演的5测点平均温度相对误差为0.328%～9.926%，厚度相对误差为0.197%～0.395%，分别低于15%和5%的验收限值。本项已实现同一优化过程对温度场和试件厚度的同步反演，指标达到要求。</w:t>
            </w:r>
            <w:r>
              <w:rPr>
                <w:rFonts w:hint="eastAsia"/>
              </w:rPr>
              <w:t>（</w:t>
            </w:r>
            <w:r>
              <w:fldChar w:fldCharType="begin"/>
            </w:r>
            <w:r>
              <w:instrText xml:space="preserve"> REF _Ref235899704 \r \h </w:instrText>
            </w:r>
            <w:r>
              <w:fldChar w:fldCharType="separate"/>
            </w:r>
            <w:r>
              <w:t>3.3.3</w:t>
            </w:r>
            <w:r>
              <w:fldChar w:fldCharType="end"/>
            </w:r>
            <w:r>
              <w:rPr>
                <w:rFonts w:hint="eastAsia"/>
              </w:rPr>
              <w:t>、</w:t>
            </w:r>
            <w:r>
              <w:fldChar w:fldCharType="begin"/>
            </w:r>
            <w:r>
              <w:instrText xml:space="preserve"> REF _Ref235899692 \r \h </w:instrText>
            </w:r>
            <w:r>
              <w:fldChar w:fldCharType="separate"/>
            </w:r>
            <w:r>
              <w:t>3.3.4</w:t>
            </w:r>
            <w:r>
              <w:fldChar w:fldCharType="end"/>
            </w:r>
            <w:r>
              <w:rPr>
                <w:rFonts w:hint="eastAsia"/>
              </w:rPr>
              <w:t>、</w:t>
            </w:r>
            <w:r>
              <w:fldChar w:fldCharType="begin"/>
            </w:r>
            <w:r>
              <w:instrText xml:space="preserve"> REF _Ref235899697 \r \h </w:instrText>
            </w:r>
            <w:r>
              <w:fldChar w:fldCharType="separate"/>
            </w:r>
            <w:r>
              <w:t>3.3.5</w:t>
            </w:r>
            <w:r>
              <w:fldChar w:fldCharType="end"/>
            </w:r>
            <w:r>
              <w:rPr>
                <w:rFonts w:hint="eastAsia"/>
              </w:rPr>
              <w:t>)</w:t>
            </w:r>
          </w:p>
        </w:tc>
        <w:tc>
          <w:tcPr>
            <w:tcW w:w="0" w:type="auto"/>
            <w:vAlign w:val="center"/>
          </w:tcPr>
          <w:p w14:paraId="039A5369">
            <w:pPr>
              <w:pStyle w:val="33"/>
            </w:pPr>
            <w:r>
              <w:rPr>
                <w:rFonts w:hint="eastAsia"/>
              </w:rPr>
              <w:t>完成</w:t>
            </w:r>
          </w:p>
        </w:tc>
      </w:tr>
      <w:tr w14:paraId="7676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601144A7">
            <w:pPr>
              <w:pStyle w:val="33"/>
            </w:pPr>
          </w:p>
        </w:tc>
        <w:tc>
          <w:tcPr>
            <w:tcW w:w="0" w:type="auto"/>
            <w:vMerge w:val="continue"/>
            <w:vAlign w:val="center"/>
          </w:tcPr>
          <w:p w14:paraId="1183A4B2">
            <w:pPr>
              <w:pStyle w:val="33"/>
            </w:pPr>
          </w:p>
        </w:tc>
        <w:tc>
          <w:tcPr>
            <w:tcW w:w="0" w:type="auto"/>
            <w:vAlign w:val="center"/>
          </w:tcPr>
          <w:p w14:paraId="0251F4F8">
            <w:pPr>
              <w:pStyle w:val="33"/>
            </w:pPr>
            <w:r>
              <w:t>(4)完成反演方法的实验验证，实验温度范围：室温至1500K</w:t>
            </w:r>
          </w:p>
        </w:tc>
        <w:tc>
          <w:tcPr>
            <w:tcW w:w="0" w:type="auto"/>
            <w:vAlign w:val="center"/>
          </w:tcPr>
          <w:p w14:paraId="1D2F7954">
            <w:pPr>
              <w:pStyle w:val="33"/>
            </w:pPr>
            <w:r>
              <w:t>项目选用两层W30Mo70多层材料试件开展反演方法实验验证，低温阶段采用恒温加热台形成稳态温度工况，高温阶段采用氧乙炔烧蚀加热形成瞬态升温工况，并同步采集热电偶温度和超声波形。实验从室温开始，最高实测温度达到153</w:t>
            </w:r>
            <w:r>
              <w:rPr>
                <w:rFonts w:hint="eastAsia"/>
              </w:rPr>
              <w:t>1</w:t>
            </w:r>
            <w:r>
              <w:t>K，完整覆盖室温至1500K的规定区间，并超过上限3</w:t>
            </w:r>
            <w:r>
              <w:rPr>
                <w:rFonts w:hint="eastAsia"/>
              </w:rPr>
              <w:t>1</w:t>
            </w:r>
            <w:r>
              <w:t>K。采集数据已用于一维、二维稳态及瞬态温度场反演，相关程序运行和结果输出正常，本项指标达到要求。</w:t>
            </w:r>
            <w:r>
              <w:rPr>
                <w:rFonts w:hint="eastAsia"/>
              </w:rPr>
              <w:t>（</w:t>
            </w:r>
            <w:r>
              <w:fldChar w:fldCharType="begin"/>
            </w:r>
            <w:r>
              <w:instrText xml:space="preserve"> REF _Ref235899704 \r \h </w:instrText>
            </w:r>
            <w:r>
              <w:fldChar w:fldCharType="separate"/>
            </w:r>
            <w:r>
              <w:t>3.3.3</w:t>
            </w:r>
            <w:r>
              <w:fldChar w:fldCharType="end"/>
            </w:r>
            <w:r>
              <w:rPr>
                <w:rFonts w:hint="eastAsia"/>
              </w:rPr>
              <w:t>）</w:t>
            </w:r>
          </w:p>
        </w:tc>
        <w:tc>
          <w:tcPr>
            <w:tcW w:w="0" w:type="auto"/>
            <w:vAlign w:val="center"/>
          </w:tcPr>
          <w:p w14:paraId="414E5DF0">
            <w:pPr>
              <w:pStyle w:val="33"/>
            </w:pPr>
            <w:r>
              <w:rPr>
                <w:rFonts w:hint="eastAsia"/>
              </w:rPr>
              <w:t>完成</w:t>
            </w:r>
          </w:p>
        </w:tc>
      </w:tr>
      <w:tr w14:paraId="47C6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4152D572">
            <w:pPr>
              <w:pStyle w:val="33"/>
            </w:pPr>
          </w:p>
        </w:tc>
        <w:tc>
          <w:tcPr>
            <w:tcW w:w="0" w:type="auto"/>
            <w:vMerge w:val="restart"/>
            <w:vAlign w:val="center"/>
          </w:tcPr>
          <w:p w14:paraId="21D346D0">
            <w:pPr>
              <w:pStyle w:val="33"/>
            </w:pPr>
            <w:r>
              <w:rPr>
                <w:rFonts w:hint="eastAsia"/>
              </w:rPr>
              <w:t>性能指标</w:t>
            </w:r>
          </w:p>
        </w:tc>
        <w:tc>
          <w:tcPr>
            <w:tcW w:w="0" w:type="auto"/>
            <w:vAlign w:val="center"/>
          </w:tcPr>
          <w:p w14:paraId="41506F95">
            <w:pPr>
              <w:pStyle w:val="33"/>
            </w:pPr>
            <w:r>
              <w:rPr>
                <w:rFonts w:hint="eastAsia"/>
              </w:rPr>
              <w:t>(5)在多层材料、金属基复合材料、硅基/碳基复合材料选择一种进行温度场反演的实验验证。一维条件下，多层材料至少达到5mm厚、金属基复合材料至少达到10mm厚、碳基/硅基复合材料至少达到5mm至8mm厚；二维条件下，多层材料至少达到5mm厚、宽度50mm，金属基复合材料至少达到10mm厚、宽度50mm，碳基/硅基复合材料至少达到5mm至8mm厚、宽度50mm；</w:t>
            </w:r>
          </w:p>
          <w:p w14:paraId="45D56EAF">
            <w:pPr>
              <w:pStyle w:val="33"/>
            </w:pPr>
            <w:r>
              <w:rPr>
                <w:rFonts w:hint="eastAsia"/>
              </w:rPr>
              <w:t>与高温光学测温仪器或热电偶等测温设备（测温范围：室温至1500K内的温度变化，测温精度1%FS）相比，以5个测点平均值计，一维和二维温度场反演相对误差≤10%；同时温度场和试件厚度反演中，温度场误差≤15%、试件厚度误差≤5%</w:t>
            </w:r>
          </w:p>
        </w:tc>
        <w:tc>
          <w:tcPr>
            <w:tcW w:w="0" w:type="auto"/>
            <w:vAlign w:val="center"/>
          </w:tcPr>
          <w:p w14:paraId="28041B53">
            <w:pPr>
              <w:pStyle w:val="33"/>
            </w:pPr>
            <w:r>
              <w:t>项目从三类材料中选取两层W30Mo70多层材料开展实验验证，试件尺寸为100 mm×100 mm×19.2 mm，二维有效宽度为100 mm；其厚度和宽度分别超过多层材料5 mm和50 mm的规定下限。实验温度由室温升至153</w:t>
            </w:r>
            <w:r>
              <w:rPr>
                <w:rFonts w:hint="eastAsia"/>
              </w:rPr>
              <w:t>1</w:t>
            </w:r>
            <w:r>
              <w:t>K，采用5个固定热电偶测点作为温度基准，完成一维、二维稳态及瞬态条件下的单参数和多参数温度场反演。5测点平均温度相对误差为3.884%～9.750%，均低于10%；在温度场—厚度联合反演中，5测点平均温度相对误差为0.328%～9.926%，厚度相对误差为0.197%～0.395%，分别低于15%和5%的限值。试件尺寸、实验温区以及温度和厚度反演精度均达到要求，本项指标完成。</w:t>
            </w:r>
            <w:r>
              <w:rPr>
                <w:rFonts w:hint="eastAsia"/>
              </w:rPr>
              <w:t>（</w:t>
            </w:r>
            <w:r>
              <w:fldChar w:fldCharType="begin"/>
            </w:r>
            <w:r>
              <w:instrText xml:space="preserve"> REF _Ref235899704 \r \h </w:instrText>
            </w:r>
            <w:r>
              <w:fldChar w:fldCharType="separate"/>
            </w:r>
            <w:r>
              <w:t>3.3.3</w:t>
            </w:r>
            <w:r>
              <w:fldChar w:fldCharType="end"/>
            </w:r>
            <w:r>
              <w:rPr>
                <w:rFonts w:hint="eastAsia"/>
              </w:rPr>
              <w:t>）</w:t>
            </w:r>
          </w:p>
        </w:tc>
        <w:tc>
          <w:tcPr>
            <w:tcW w:w="0" w:type="auto"/>
            <w:vAlign w:val="center"/>
          </w:tcPr>
          <w:p w14:paraId="4098FA45">
            <w:pPr>
              <w:pStyle w:val="33"/>
            </w:pPr>
            <w:r>
              <w:rPr>
                <w:rFonts w:hint="eastAsia"/>
              </w:rPr>
              <w:t>完成</w:t>
            </w:r>
          </w:p>
        </w:tc>
      </w:tr>
      <w:tr w14:paraId="4961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14391B22">
            <w:pPr>
              <w:pStyle w:val="33"/>
            </w:pPr>
          </w:p>
        </w:tc>
        <w:tc>
          <w:tcPr>
            <w:tcW w:w="0" w:type="auto"/>
            <w:vMerge w:val="continue"/>
            <w:vAlign w:val="center"/>
          </w:tcPr>
          <w:p w14:paraId="6DD2B56D">
            <w:pPr>
              <w:pStyle w:val="33"/>
            </w:pPr>
          </w:p>
        </w:tc>
        <w:tc>
          <w:tcPr>
            <w:tcW w:w="0" w:type="auto"/>
            <w:vAlign w:val="center"/>
          </w:tcPr>
          <w:p w14:paraId="4786FAC7">
            <w:pPr>
              <w:pStyle w:val="33"/>
            </w:pPr>
            <w:r>
              <w:t>(</w:t>
            </w:r>
            <w:r>
              <w:rPr>
                <w:rFonts w:hint="eastAsia"/>
              </w:rPr>
              <w:t>6</w:t>
            </w:r>
            <w:r>
              <w:t>)算法适用于一维、二维的稳态和瞬态温度场，其中二维温度场需要考虑波传播路径的弯曲效应</w:t>
            </w:r>
          </w:p>
        </w:tc>
        <w:tc>
          <w:tcPr>
            <w:tcW w:w="0" w:type="auto"/>
            <w:vAlign w:val="center"/>
          </w:tcPr>
          <w:p w14:paraId="204F7897">
            <w:pPr>
              <w:pStyle w:val="33"/>
            </w:pPr>
            <w:r>
              <w:t>项目已建立适用于一维和二维温度分布的反演流程：一维模型沿试件厚度方向设置温度控制参数，二维模型同时考虑宽度和厚度方向的温度变化；两类模型均完成稳态及瞬态工况下的正演计算、声学特征提取和温度场反演。在二维非均匀温度场中，根据温度相关声速的空间分布，采用四阶Runge-Kutta（RK4）方法进行弯曲声线追踪，并在反演迭代过程中同步更新声波传播路径，避免使用固定直线路径造成偏差。相关一维、二维稳态及瞬态场景均已完成程序验证和结果输出，本项指标达到要求。</w:t>
            </w:r>
            <w:r>
              <w:rPr>
                <w:rFonts w:hint="eastAsia"/>
              </w:rPr>
              <w:t>（</w:t>
            </w:r>
            <w:r>
              <w:fldChar w:fldCharType="begin"/>
            </w:r>
            <w:r>
              <w:instrText xml:space="preserve"> </w:instrText>
            </w:r>
            <w:r>
              <w:rPr>
                <w:rFonts w:hint="eastAsia"/>
              </w:rPr>
              <w:instrText xml:space="preserve">REF _Ref235899828 \r \h</w:instrText>
            </w:r>
            <w:r>
              <w:instrText xml:space="preserve"> </w:instrText>
            </w:r>
            <w:r>
              <w:fldChar w:fldCharType="separate"/>
            </w:r>
            <w:r>
              <w:t>3.3.2.4</w:t>
            </w:r>
            <w:r>
              <w:fldChar w:fldCharType="end"/>
            </w:r>
            <w:r>
              <w:rPr>
                <w:rFonts w:hint="eastAsia"/>
              </w:rPr>
              <w:t>）</w:t>
            </w:r>
          </w:p>
        </w:tc>
        <w:tc>
          <w:tcPr>
            <w:tcW w:w="0" w:type="auto"/>
            <w:vAlign w:val="center"/>
          </w:tcPr>
          <w:p w14:paraId="23D1F998">
            <w:pPr>
              <w:pStyle w:val="33"/>
            </w:pPr>
            <w:r>
              <w:rPr>
                <w:rFonts w:hint="eastAsia"/>
              </w:rPr>
              <w:t>完成</w:t>
            </w:r>
          </w:p>
        </w:tc>
      </w:tr>
      <w:tr w14:paraId="3F6D5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2C3C1343">
            <w:pPr>
              <w:pStyle w:val="33"/>
            </w:pPr>
          </w:p>
        </w:tc>
        <w:tc>
          <w:tcPr>
            <w:tcW w:w="0" w:type="auto"/>
            <w:vMerge w:val="continue"/>
            <w:vAlign w:val="center"/>
          </w:tcPr>
          <w:p w14:paraId="17BBB527">
            <w:pPr>
              <w:pStyle w:val="33"/>
            </w:pPr>
          </w:p>
        </w:tc>
        <w:tc>
          <w:tcPr>
            <w:tcW w:w="0" w:type="auto"/>
            <w:vAlign w:val="center"/>
          </w:tcPr>
          <w:p w14:paraId="17215B68">
            <w:pPr>
              <w:pStyle w:val="33"/>
            </w:pPr>
            <w:r>
              <w:t>(</w:t>
            </w:r>
            <w:r>
              <w:rPr>
                <w:rFonts w:hint="eastAsia"/>
              </w:rPr>
              <w:t>7</w:t>
            </w:r>
            <w:r>
              <w:t>)算法效率不低于共轭梯度法、灵敏度法、最速下降法等经典优化方法</w:t>
            </w:r>
          </w:p>
        </w:tc>
        <w:tc>
          <w:tcPr>
            <w:tcW w:w="0" w:type="auto"/>
            <w:vAlign w:val="center"/>
          </w:tcPr>
          <w:p w14:paraId="75BC6E22">
            <w:pPr>
              <w:pStyle w:val="33"/>
            </w:pPr>
            <w:r>
              <w:t>在相同计算环境、材料参数、几何模型、声学输入、测点布置和误差判据下，选取两层W30Mo70多层材料，在单参数输入，固定厚度情况下，进行一维瞬态、二维瞬态、一维稳态、二维稳态反演任务，对BO+FD、PSO+CG两种新方法与共轭梯度法、灵敏度法和最速下降法进行运行时间比较。所有算法均在满足规定反演精度后统计耗时，BO+FD在一维瞬态、二维瞬态、一维稳态、二维稳态任务下的耗时为414.52s，214.19s，1.74s，28.24s；PSO+CG在一维瞬态、二维瞬态、一维稳态、二维稳态任务下的耗时为407.24s，203.37s，11.8s，20.20s；共轭梯度法在一维瞬态、二维瞬态、一维稳态、二维稳态任务下的耗时为1318.69s，314.92s，21.27s，49.56s；灵敏度法在一维瞬态、二维瞬态、一维稳态、二维稳态任务下的耗时为578.35s，988.41s，12.08s，37.42s；最速下降法在一维瞬态、二维瞬态、一维稳态、二维稳态任务下的耗时为702.78s，469.71s，13.57s，50.29s。两种新方法均优于三种经典方法，本项指标达到要求。</w:t>
            </w:r>
            <w:r>
              <w:rPr>
                <w:rFonts w:hint="eastAsia"/>
              </w:rPr>
              <w:t>（</w:t>
            </w:r>
            <w:r>
              <w:fldChar w:fldCharType="begin"/>
            </w:r>
            <w:r>
              <w:instrText xml:space="preserve"> REF _Ref235899755 \r \h </w:instrText>
            </w:r>
            <w:r>
              <w:fldChar w:fldCharType="separate"/>
            </w:r>
            <w:r>
              <w:t>3.3.6</w:t>
            </w:r>
            <w:r>
              <w:fldChar w:fldCharType="end"/>
            </w:r>
            <w:r>
              <w:rPr>
                <w:rFonts w:hint="eastAsia"/>
              </w:rPr>
              <w:t>）</w:t>
            </w:r>
          </w:p>
        </w:tc>
        <w:tc>
          <w:tcPr>
            <w:tcW w:w="0" w:type="auto"/>
            <w:vAlign w:val="center"/>
          </w:tcPr>
          <w:p w14:paraId="58DA07E2">
            <w:pPr>
              <w:pStyle w:val="33"/>
            </w:pPr>
            <w:r>
              <w:rPr>
                <w:rFonts w:hint="eastAsia"/>
              </w:rPr>
              <w:t>完成</w:t>
            </w:r>
          </w:p>
        </w:tc>
      </w:tr>
      <w:tr w14:paraId="5107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6145BFD6">
            <w:pPr>
              <w:pStyle w:val="33"/>
            </w:pPr>
          </w:p>
        </w:tc>
        <w:tc>
          <w:tcPr>
            <w:tcW w:w="0" w:type="auto"/>
            <w:vMerge w:val="continue"/>
            <w:vAlign w:val="center"/>
          </w:tcPr>
          <w:p w14:paraId="4BDD661C">
            <w:pPr>
              <w:pStyle w:val="33"/>
            </w:pPr>
          </w:p>
        </w:tc>
        <w:tc>
          <w:tcPr>
            <w:tcW w:w="0" w:type="auto"/>
            <w:vAlign w:val="center"/>
          </w:tcPr>
          <w:p w14:paraId="07A31332">
            <w:pPr>
              <w:pStyle w:val="33"/>
            </w:pPr>
            <w:r>
              <w:t>(</w:t>
            </w:r>
            <w:r>
              <w:rPr>
                <w:rFonts w:hint="eastAsia"/>
              </w:rPr>
              <w:t>8</w:t>
            </w:r>
            <w:r>
              <w:t>)兼容性：支持Windows系统，程序代码采用Fortran语言编写</w:t>
            </w:r>
          </w:p>
        </w:tc>
        <w:tc>
          <w:tcPr>
            <w:tcW w:w="0" w:type="auto"/>
            <w:vAlign w:val="center"/>
          </w:tcPr>
          <w:p w14:paraId="16242289">
            <w:pPr>
              <w:pStyle w:val="33"/>
            </w:pPr>
            <w:r>
              <w:t>项目已在Windows测试环境中完成模块二程序的安装、配置和连续运行验证，声学参数文件读取、反演任务设置、优化迭代、温度场及厚度结果输出等功能均运行正常。热学正演核心数值计算模块采用Fortran语言编写，并通过标准接口与Windows图形化界面及结果后处理模块连接；相关源代码、编译配置和运行文件已完成。测试过程中未出现影响反演计算和结果输出的系统兼容性问题，本项指标达到要求。</w:t>
            </w:r>
            <w:r>
              <w:rPr>
                <w:rFonts w:hint="eastAsia"/>
              </w:rPr>
              <w:t>（</w:t>
            </w:r>
            <w:r>
              <w:fldChar w:fldCharType="begin"/>
            </w:r>
            <w:r>
              <w:instrText xml:space="preserve"> REF _Ref235899862 \r \h </w:instrText>
            </w:r>
            <w:r>
              <w:fldChar w:fldCharType="separate"/>
            </w:r>
            <w:r>
              <w:t>3.3.7</w:t>
            </w:r>
            <w:r>
              <w:fldChar w:fldCharType="end"/>
            </w:r>
            <w:r>
              <w:rPr>
                <w:rFonts w:hint="eastAsia"/>
              </w:rPr>
              <w:t>）</w:t>
            </w:r>
          </w:p>
        </w:tc>
        <w:tc>
          <w:tcPr>
            <w:tcW w:w="0" w:type="auto"/>
            <w:vAlign w:val="center"/>
          </w:tcPr>
          <w:p w14:paraId="034D8C2F">
            <w:pPr>
              <w:pStyle w:val="33"/>
            </w:pPr>
            <w:r>
              <w:rPr>
                <w:rFonts w:hint="eastAsia"/>
              </w:rPr>
              <w:t>完成</w:t>
            </w:r>
          </w:p>
        </w:tc>
      </w:tr>
      <w:bookmarkEnd w:id="60"/>
    </w:tbl>
    <w:p w14:paraId="2AA73193">
      <w:pPr>
        <w:pStyle w:val="5"/>
      </w:pPr>
      <w:bookmarkStart w:id="61" w:name="_Toc235910457"/>
      <w:r>
        <w:t>研究目标与总体技术路线</w:t>
      </w:r>
      <w:bookmarkEnd w:id="61"/>
    </w:p>
    <w:p w14:paraId="6B258C4C">
      <w:pPr>
        <w:ind w:firstLine="480" w:firstLineChars="200"/>
      </w:pPr>
      <w:r>
        <w:rPr>
          <w:rFonts w:hint="eastAsia"/>
        </w:rPr>
        <w:t>本模块以多层材料、金属基复合材料和硅基/碳基复合材料为对象，利用超声声时和幅值相对衰减对材料内部温度场进行反演。研究包括单参数反演和多参数融合反演两种模式，其中单参数反演采用声时，多参数融合反演采用声时和幅值相对衰减。反演范围覆盖一维、二维的稳态和瞬态温度场，并兼顾反演精度和效率；二维温度场反演考虑波传播路径的弯曲效应。</w:t>
      </w:r>
    </w:p>
    <w:p w14:paraId="1A842CC8">
      <w:pPr>
        <w:ind w:firstLine="480" w:firstLineChars="200"/>
      </w:pPr>
      <w:r>
        <w:rPr>
          <w:rFonts w:hint="eastAsia"/>
        </w:rPr>
        <w:t>在温度场反演的基础上，研究采用优化算法实现温度场和试件厚度的联合反演。除共轭梯度法、灵敏度法、最速下降法等经典优化方法外，研究发展温度场新反演优化方法，并对新反演优化方法与经典优化方法的计算效率进行比较。</w:t>
      </w:r>
    </w:p>
    <w:p w14:paraId="5BB6C128">
      <w:pPr>
        <w:ind w:firstLine="480" w:firstLineChars="200"/>
      </w:pPr>
      <w:r>
        <w:rPr>
          <w:rFonts w:hint="eastAsia"/>
        </w:rPr>
        <w:t>总体技术路线为：热声固耦合分析模块输出的仿真温度场、接收信号和声学参数，为本模块开展温度场反演研究提供仿真数据；实验测试检验模块输出的原始波形、温度记录和声学参数，为本模块开展反演方法实验验证提供试验数据。在上述数据基础上，开展单参数和多参数融合条件下的一维、二维稳态和瞬态温度场反演，以及温度场与试件厚度联合反演，并在选择钨钼合金多层材料进行实验验证，实验温度范围为室温至1500K。</w:t>
      </w:r>
    </w:p>
    <w:p w14:paraId="0D1D06D5">
      <w:r>
        <w:drawing>
          <wp:inline distT="0" distB="0" distL="0" distR="0">
            <wp:extent cx="5274310" cy="3956050"/>
            <wp:effectExtent l="0" t="0" r="2540" b="6350"/>
            <wp:docPr id="1855840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40172"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274310" cy="3956050"/>
                    </a:xfrm>
                    <a:prstGeom prst="rect">
                      <a:avLst/>
                    </a:prstGeom>
                    <a:noFill/>
                    <a:ln>
                      <a:noFill/>
                    </a:ln>
                  </pic:spPr>
                </pic:pic>
              </a:graphicData>
            </a:graphic>
          </wp:inline>
        </w:drawing>
      </w:r>
    </w:p>
    <w:p w14:paraId="2D9BD10D">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25</w:t>
      </w:r>
      <w:r>
        <w:fldChar w:fldCharType="end"/>
      </w:r>
      <w:r>
        <w:rPr>
          <w:rFonts w:hint="eastAsia"/>
        </w:rPr>
        <w:t>模块二总体技术路线图</w:t>
      </w:r>
    </w:p>
    <w:p w14:paraId="4DAFB7FD">
      <w:pPr>
        <w:pStyle w:val="5"/>
      </w:pPr>
      <w:bookmarkStart w:id="62" w:name="_Toc235910458"/>
      <w:r>
        <w:t>声学多参数反演模型及程序实现</w:t>
      </w:r>
      <w:bookmarkEnd w:id="62"/>
    </w:p>
    <w:p w14:paraId="69323DB3">
      <w:pPr>
        <w:pStyle w:val="6"/>
      </w:pPr>
      <w:r>
        <w:t>声学特征选择与目标函数构建</w:t>
      </w:r>
    </w:p>
    <w:p w14:paraId="4775DF3B">
      <w:pPr>
        <w:pStyle w:val="3"/>
        <w:ind w:firstLine="420" w:firstLineChars="0"/>
      </w:pPr>
      <w:r>
        <w:t>声学特征的选择遵循“材料结构可分辨性、温度敏感性和测量可重复性”三项原则。不同材料的回波构成和弹性各向异性不同，不能简单使用同一组声学特征。</w:t>
      </w:r>
      <w:r>
        <w:rPr>
          <w:vertAlign w:val="superscript"/>
        </w:rPr>
        <w:fldChar w:fldCharType="begin"/>
      </w:r>
      <w:r>
        <w:rPr>
          <w:vertAlign w:val="superscript"/>
        </w:rPr>
        <w:instrText xml:space="preserve"> REF _Ref235908155 \n \h  \* MERGEFORMAT </w:instrText>
      </w:r>
      <w:r>
        <w:rPr>
          <w:vertAlign w:val="superscript"/>
        </w:rPr>
        <w:fldChar w:fldCharType="separate"/>
      </w:r>
      <w:r>
        <w:rPr>
          <w:vertAlign w:val="superscript"/>
        </w:rPr>
        <w:t>[5]</w:t>
      </w:r>
      <w:r>
        <w:rPr>
          <w:vertAlign w:val="superscript"/>
        </w:rPr>
        <w:fldChar w:fldCharType="end"/>
      </w:r>
    </w:p>
    <w:p w14:paraId="1001C728">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16</w:t>
      </w:r>
      <w:r>
        <w:fldChar w:fldCharType="end"/>
      </w:r>
      <w:r>
        <w:t>三类材料的声学特征选择</w:t>
      </w:r>
    </w:p>
    <w:tbl>
      <w:tblPr>
        <w:tblStyle w:val="21"/>
        <w:tblW w:w="88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842"/>
        <w:gridCol w:w="2182"/>
        <w:gridCol w:w="3090"/>
      </w:tblGrid>
      <w:tr w14:paraId="01911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110" w:type="dxa"/>
              <w:left w:w="100" w:type="dxa"/>
              <w:bottom w:w="110" w:type="dxa"/>
              <w:right w:w="100" w:type="dxa"/>
            </w:tcMar>
            <w:vAlign w:val="center"/>
          </w:tcPr>
          <w:p w14:paraId="2F421283">
            <w:pPr>
              <w:pStyle w:val="33"/>
            </w:pPr>
            <w:r>
              <w:t>材料类别</w:t>
            </w:r>
          </w:p>
        </w:tc>
        <w:tc>
          <w:tcPr>
            <w:tcW w:w="1842" w:type="dxa"/>
            <w:tcMar>
              <w:top w:w="110" w:type="dxa"/>
              <w:left w:w="100" w:type="dxa"/>
              <w:bottom w:w="110" w:type="dxa"/>
              <w:right w:w="100" w:type="dxa"/>
            </w:tcMar>
            <w:vAlign w:val="center"/>
          </w:tcPr>
          <w:p w14:paraId="14CD0249">
            <w:pPr>
              <w:pStyle w:val="33"/>
            </w:pPr>
            <w:r>
              <w:t>单参数模式</w:t>
            </w:r>
          </w:p>
        </w:tc>
        <w:tc>
          <w:tcPr>
            <w:tcW w:w="2182" w:type="dxa"/>
            <w:tcMar>
              <w:top w:w="110" w:type="dxa"/>
              <w:left w:w="100" w:type="dxa"/>
              <w:bottom w:w="110" w:type="dxa"/>
              <w:right w:w="100" w:type="dxa"/>
            </w:tcMar>
            <w:vAlign w:val="center"/>
          </w:tcPr>
          <w:p w14:paraId="17DD6411">
            <w:pPr>
              <w:pStyle w:val="33"/>
            </w:pPr>
            <w:r>
              <w:t>多参数模式</w:t>
            </w:r>
          </w:p>
        </w:tc>
        <w:tc>
          <w:tcPr>
            <w:tcW w:w="3089" w:type="dxa"/>
            <w:tcMar>
              <w:top w:w="110" w:type="dxa"/>
              <w:left w:w="100" w:type="dxa"/>
              <w:bottom w:w="110" w:type="dxa"/>
              <w:right w:w="100" w:type="dxa"/>
            </w:tcMar>
            <w:vAlign w:val="center"/>
          </w:tcPr>
          <w:p w14:paraId="2354A6D6">
            <w:pPr>
              <w:pStyle w:val="33"/>
            </w:pPr>
            <w:r>
              <w:t>物理含义</w:t>
            </w:r>
          </w:p>
        </w:tc>
      </w:tr>
      <w:tr w14:paraId="1DA5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5" w:type="dxa"/>
              <w:left w:w="110" w:type="dxa"/>
              <w:bottom w:w="95" w:type="dxa"/>
              <w:right w:w="110" w:type="dxa"/>
            </w:tcMar>
            <w:vAlign w:val="center"/>
          </w:tcPr>
          <w:p w14:paraId="3741AA01">
            <w:pPr>
              <w:pStyle w:val="33"/>
            </w:pPr>
            <w:r>
              <w:t>两层W30Mo70</w:t>
            </w:r>
          </w:p>
        </w:tc>
        <w:tc>
          <w:tcPr>
            <w:tcW w:w="1842" w:type="dxa"/>
            <w:tcMar>
              <w:top w:w="95" w:type="dxa"/>
              <w:left w:w="110" w:type="dxa"/>
              <w:bottom w:w="95" w:type="dxa"/>
              <w:right w:w="110" w:type="dxa"/>
            </w:tcMar>
            <w:vAlign w:val="center"/>
          </w:tcPr>
          <w:p w14:paraId="6D23C9C5">
            <w:pPr>
              <w:pStyle w:val="33"/>
            </w:pPr>
            <w:r>
              <w:t>界面回波TOF、底面回波TOF</w:t>
            </w:r>
          </w:p>
        </w:tc>
        <w:tc>
          <w:tcPr>
            <w:tcW w:w="2182" w:type="dxa"/>
            <w:tcMar>
              <w:top w:w="95" w:type="dxa"/>
              <w:left w:w="110" w:type="dxa"/>
              <w:bottom w:w="95" w:type="dxa"/>
              <w:right w:w="110" w:type="dxa"/>
            </w:tcMar>
            <w:vAlign w:val="center"/>
          </w:tcPr>
          <w:p w14:paraId="110074F8">
            <w:pPr>
              <w:pStyle w:val="33"/>
            </w:pPr>
            <w:r>
              <w:t>界面/底面TOF + 回波幅值比 A₂/A₁</w:t>
            </w:r>
          </w:p>
        </w:tc>
        <w:tc>
          <w:tcPr>
            <w:tcW w:w="3089" w:type="dxa"/>
            <w:tcMar>
              <w:top w:w="95" w:type="dxa"/>
              <w:left w:w="110" w:type="dxa"/>
              <w:bottom w:w="95" w:type="dxa"/>
              <w:right w:w="110" w:type="dxa"/>
            </w:tcMar>
            <w:vAlign w:val="center"/>
          </w:tcPr>
          <w:p w14:paraId="5993FEDF">
            <w:pPr>
              <w:pStyle w:val="33"/>
            </w:pPr>
            <w:r>
              <w:t>界面TOF约束上层传播，底面TOF约束上下两层总传播；幅值比补充界面与路径衰减信息</w:t>
            </w:r>
          </w:p>
        </w:tc>
      </w:tr>
      <w:tr w14:paraId="067C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5" w:type="dxa"/>
              <w:left w:w="110" w:type="dxa"/>
              <w:bottom w:w="95" w:type="dxa"/>
              <w:right w:w="110" w:type="dxa"/>
            </w:tcMar>
            <w:vAlign w:val="center"/>
          </w:tcPr>
          <w:p w14:paraId="7439AE71">
            <w:pPr>
              <w:pStyle w:val="33"/>
            </w:pPr>
            <w:r>
              <w:t>W基体/SiC纤维金属基复合材料</w:t>
            </w:r>
          </w:p>
        </w:tc>
        <w:tc>
          <w:tcPr>
            <w:tcW w:w="1842" w:type="dxa"/>
            <w:tcMar>
              <w:top w:w="95" w:type="dxa"/>
              <w:left w:w="110" w:type="dxa"/>
              <w:bottom w:w="95" w:type="dxa"/>
              <w:right w:w="110" w:type="dxa"/>
            </w:tcMar>
            <w:vAlign w:val="center"/>
          </w:tcPr>
          <w:p w14:paraId="63E60C26">
            <w:pPr>
              <w:pStyle w:val="33"/>
            </w:pPr>
            <w:r>
              <w:t>纵波TOF</w:t>
            </w:r>
          </w:p>
        </w:tc>
        <w:tc>
          <w:tcPr>
            <w:tcW w:w="2182" w:type="dxa"/>
            <w:tcMar>
              <w:top w:w="95" w:type="dxa"/>
              <w:left w:w="110" w:type="dxa"/>
              <w:bottom w:w="95" w:type="dxa"/>
              <w:right w:w="110" w:type="dxa"/>
            </w:tcMar>
            <w:vAlign w:val="center"/>
          </w:tcPr>
          <w:p w14:paraId="0B6D0B9D">
            <w:pPr>
              <w:pStyle w:val="33"/>
            </w:pPr>
            <w:r>
              <w:t>纵波TOF + 幅值相对衰减</w:t>
            </w:r>
          </w:p>
        </w:tc>
        <w:tc>
          <w:tcPr>
            <w:tcW w:w="3089" w:type="dxa"/>
            <w:tcMar>
              <w:top w:w="95" w:type="dxa"/>
              <w:left w:w="110" w:type="dxa"/>
              <w:bottom w:w="95" w:type="dxa"/>
              <w:right w:w="110" w:type="dxa"/>
            </w:tcMar>
            <w:vAlign w:val="center"/>
          </w:tcPr>
          <w:p w14:paraId="71633889">
            <w:pPr>
              <w:pStyle w:val="33"/>
            </w:pPr>
            <w:r>
              <w:t>等效各向同性模型，以传播时间为主，衰减反映温度相关能量损失</w:t>
            </w:r>
          </w:p>
        </w:tc>
      </w:tr>
      <w:tr w14:paraId="68E30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5" w:type="dxa"/>
              <w:left w:w="110" w:type="dxa"/>
              <w:bottom w:w="95" w:type="dxa"/>
              <w:right w:w="110" w:type="dxa"/>
            </w:tcMar>
            <w:vAlign w:val="center"/>
          </w:tcPr>
          <w:p w14:paraId="7C5C0B39">
            <w:pPr>
              <w:pStyle w:val="33"/>
            </w:pPr>
            <w:r>
              <w:t>硅基/碳基复合材料</w:t>
            </w:r>
          </w:p>
        </w:tc>
        <w:tc>
          <w:tcPr>
            <w:tcW w:w="1842" w:type="dxa"/>
            <w:tcMar>
              <w:top w:w="95" w:type="dxa"/>
              <w:left w:w="110" w:type="dxa"/>
              <w:bottom w:w="95" w:type="dxa"/>
              <w:right w:w="110" w:type="dxa"/>
            </w:tcMar>
            <w:vAlign w:val="center"/>
          </w:tcPr>
          <w:p w14:paraId="72278064">
            <w:pPr>
              <w:pStyle w:val="33"/>
            </w:pPr>
            <w:r>
              <w:t>纵波TOF + 横波TOF</w:t>
            </w:r>
          </w:p>
        </w:tc>
        <w:tc>
          <w:tcPr>
            <w:tcW w:w="2182" w:type="dxa"/>
            <w:tcMar>
              <w:top w:w="95" w:type="dxa"/>
              <w:left w:w="110" w:type="dxa"/>
              <w:bottom w:w="95" w:type="dxa"/>
              <w:right w:w="110" w:type="dxa"/>
            </w:tcMar>
            <w:vAlign w:val="center"/>
          </w:tcPr>
          <w:p w14:paraId="707571BD">
            <w:pPr>
              <w:pStyle w:val="33"/>
            </w:pPr>
            <w:r>
              <w:t>纵/横波TOF，并按数据可用性引入幅值比</w:t>
            </w:r>
          </w:p>
        </w:tc>
        <w:tc>
          <w:tcPr>
            <w:tcW w:w="3089" w:type="dxa"/>
            <w:tcMar>
              <w:top w:w="95" w:type="dxa"/>
              <w:left w:w="110" w:type="dxa"/>
              <w:bottom w:w="95" w:type="dxa"/>
              <w:right w:w="110" w:type="dxa"/>
            </w:tcMar>
            <w:vAlign w:val="center"/>
          </w:tcPr>
          <w:p w14:paraId="649951C6">
            <w:pPr>
              <w:pStyle w:val="33"/>
            </w:pPr>
            <w:r>
              <w:t>利用各向异性弹性参数对纵、横波声速的不同温度响应提高约束独立性</w:t>
            </w:r>
          </w:p>
        </w:tc>
      </w:tr>
    </w:tbl>
    <w:p w14:paraId="693716D1">
      <w:pPr>
        <w:ind w:firstLine="420"/>
      </w:pPr>
      <w:r>
        <w:t>在多层材料中，</w:t>
      </w:r>
      <w:r>
        <w:rPr>
          <w:rFonts w:hint="eastAsia"/>
        </w:rPr>
        <w:t>对采集数据提取各位置的第一次回波和第二次回波的超声波声时，并计算第二次回波幅值比上第一次回波幅值。最终获得稳态以及瞬态条件下物块上表面探测位置对应的声时和幅值相对衰减数据。</w:t>
      </w:r>
      <w:r>
        <w:t>单参数反演使用中间界面反射波TOF和底面反射波TOF，目标函数为：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6096"/>
        <w:gridCol w:w="1269"/>
      </w:tblGrid>
      <w:tr w14:paraId="6BAB2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017346B1"/>
        </w:tc>
        <w:tc>
          <w:tcPr>
            <w:tcW w:w="6096" w:type="dxa"/>
          </w:tcPr>
          <w:p w14:paraId="3E6BA3F5">
            <w:pPr>
              <w:rPr>
                <w:rFonts w:cs="Times New Roman"/>
                <w:szCs w:val="28"/>
                <w:lang w:val="zh-CN"/>
              </w:rPr>
            </w:pPr>
            <m:oMathPara>
              <m:oMath>
                <m:r>
                  <m:rPr/>
                  <w:rPr>
                    <w:rFonts w:ascii="Cambria Math" w:hAnsi="Cambria Math" w:cs="Times New Roman"/>
                    <w:szCs w:val="28"/>
                    <w:lang w:val="zh-CN"/>
                  </w:rPr>
                  <m:t>J</m:t>
                </m:r>
                <m:r>
                  <m:rPr>
                    <m:sty m:val="p"/>
                  </m:rPr>
                  <w:rPr>
                    <w:rFonts w:ascii="Cambria Math" w:hAnsi="Cambria Math" w:cs="Times New Roman"/>
                    <w:szCs w:val="28"/>
                    <w:lang w:val="zh-CN"/>
                  </w:rPr>
                  <m:t>=</m:t>
                </m:r>
                <m:sSub>
                  <m:sSubPr>
                    <m:ctrlPr>
                      <w:rPr>
                        <w:rFonts w:ascii="Cambria Math" w:hAnsi="Cambria Math" w:cs="Times New Roman"/>
                        <w:szCs w:val="28"/>
                        <w:lang w:val="zh-CN"/>
                      </w:rPr>
                    </m:ctrlPr>
                  </m:sSubPr>
                  <m:e>
                    <m:r>
                      <m:rPr/>
                      <w:rPr>
                        <w:rFonts w:ascii="Cambria Math" w:hAnsi="Cambria Math" w:cs="Times New Roman"/>
                        <w:szCs w:val="28"/>
                        <w:lang w:val="zh-CN"/>
                      </w:rPr>
                      <m:t>J</m:t>
                    </m:r>
                    <m:ctrlPr>
                      <w:rPr>
                        <w:rFonts w:ascii="Cambria Math" w:hAnsi="Cambria Math" w:cs="Times New Roman"/>
                        <w:szCs w:val="28"/>
                        <w:lang w:val="zh-CN"/>
                      </w:rPr>
                    </m:ctrlPr>
                  </m:e>
                  <m:sub>
                    <m:r>
                      <m:rPr/>
                      <w:rPr>
                        <w:rFonts w:ascii="Cambria Math" w:hAnsi="Cambria Math" w:cs="Times New Roman"/>
                        <w:szCs w:val="28"/>
                        <w:lang w:val="zh-CN"/>
                      </w:rPr>
                      <m:t>TOFM</m:t>
                    </m:r>
                    <m:ctrlPr>
                      <w:rPr>
                        <w:rFonts w:ascii="Cambria Math" w:hAnsi="Cambria Math" w:cs="Times New Roman"/>
                        <w:szCs w:val="28"/>
                        <w:lang w:val="zh-CN"/>
                      </w:rPr>
                    </m:ctrlPr>
                  </m:sub>
                </m:sSub>
                <m:r>
                  <m:rPr>
                    <m:sty m:val="p"/>
                  </m:rPr>
                  <w:rPr>
                    <w:rFonts w:ascii="Cambria Math" w:hAnsi="Cambria Math" w:cs="Times New Roman"/>
                    <w:szCs w:val="28"/>
                    <w:lang w:val="zh-CN"/>
                  </w:rPr>
                  <m:t>+</m:t>
                </m:r>
                <m:sSub>
                  <m:sSubPr>
                    <m:ctrlPr>
                      <w:rPr>
                        <w:rFonts w:ascii="Cambria Math" w:hAnsi="Cambria Math" w:cs="Times New Roman"/>
                        <w:szCs w:val="28"/>
                        <w:lang w:val="zh-CN"/>
                      </w:rPr>
                    </m:ctrlPr>
                  </m:sSubPr>
                  <m:e>
                    <m:r>
                      <m:rPr/>
                      <w:rPr>
                        <w:rFonts w:ascii="Cambria Math" w:hAnsi="Cambria Math" w:cs="Times New Roman"/>
                        <w:szCs w:val="28"/>
                        <w:lang w:val="zh-CN"/>
                      </w:rPr>
                      <m:t>J</m:t>
                    </m:r>
                    <m:ctrlPr>
                      <w:rPr>
                        <w:rFonts w:ascii="Cambria Math" w:hAnsi="Cambria Math" w:cs="Times New Roman"/>
                        <w:szCs w:val="28"/>
                        <w:lang w:val="zh-CN"/>
                      </w:rPr>
                    </m:ctrlPr>
                  </m:e>
                  <m:sub>
                    <m:r>
                      <m:rPr/>
                      <w:rPr>
                        <w:rFonts w:ascii="Cambria Math" w:hAnsi="Cambria Math" w:cs="Times New Roman"/>
                        <w:szCs w:val="28"/>
                        <w:lang w:val="zh-CN"/>
                      </w:rPr>
                      <m:t>TOFB</m:t>
                    </m:r>
                    <m:ctrlPr>
                      <w:rPr>
                        <w:rFonts w:ascii="Cambria Math" w:hAnsi="Cambria Math" w:cs="Times New Roman"/>
                        <w:szCs w:val="28"/>
                        <w:lang w:val="zh-CN"/>
                      </w:rPr>
                    </m:ctrlPr>
                  </m:sub>
                </m:sSub>
                <m:r>
                  <m:rPr>
                    <m:sty m:val="p"/>
                  </m:rPr>
                  <w:rPr>
                    <w:rFonts w:ascii="Cambria Math" w:hAnsi="Cambria Math" w:cs="Times New Roman"/>
                    <w:szCs w:val="28"/>
                    <w:lang w:val="zh-CN"/>
                  </w:rPr>
                  <m:t>+</m:t>
                </m:r>
                <m:r>
                  <m:rPr/>
                  <w:rPr>
                    <w:rFonts w:ascii="Cambria Math" w:hAnsi="Cambria Math" w:cs="Times New Roman"/>
                    <w:szCs w:val="28"/>
                    <w:lang w:val="zh-CN"/>
                  </w:rPr>
                  <m:t>R</m:t>
                </m:r>
              </m:oMath>
            </m:oMathPara>
          </w:p>
        </w:tc>
        <w:tc>
          <w:tcPr>
            <w:tcW w:w="1269" w:type="dxa"/>
          </w:tcPr>
          <w:p w14:paraId="427DB590">
            <w:pPr>
              <w:keepLines/>
              <w:spacing w:before="120" w:after="120"/>
              <w:jc w:val="right"/>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5</w:t>
            </w:r>
            <w:r>
              <w:fldChar w:fldCharType="end"/>
            </w:r>
            <w:r>
              <w:rPr>
                <w:rFonts w:hint="eastAsia"/>
              </w:rPr>
              <w:t>）</w:t>
            </w:r>
          </w:p>
        </w:tc>
      </w:tr>
    </w:tbl>
    <w:p w14:paraId="1FE3CC5C">
      <w:pPr>
        <w:ind w:firstLine="480" w:firstLineChars="200"/>
      </w:pPr>
      <w:r>
        <w:t>其中R为平滑项。多参数反演使用中间界面反射波TOF、底面反射波TOF及反射波幅值相对衰减A2/A1，目标函数为：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6096"/>
        <w:gridCol w:w="1269"/>
      </w:tblGrid>
      <w:tr w14:paraId="4BA28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0123BAC5"/>
        </w:tc>
        <w:tc>
          <w:tcPr>
            <w:tcW w:w="6096" w:type="dxa"/>
          </w:tcPr>
          <w:p w14:paraId="52C0C6C5">
            <w:pPr>
              <w:rPr>
                <w:rFonts w:cs="Times New Roman"/>
                <w:szCs w:val="28"/>
                <w:lang w:val="zh-CN"/>
              </w:rPr>
            </w:pPr>
            <m:oMathPara>
              <m:oMath>
                <m:r>
                  <m:rPr/>
                  <w:rPr>
                    <w:rFonts w:ascii="Cambria Math" w:hAnsi="Cambria Math" w:cs="Times New Roman"/>
                    <w:szCs w:val="28"/>
                    <w:lang w:val="zh-CN"/>
                  </w:rPr>
                  <m:t>J</m:t>
                </m:r>
                <m:r>
                  <m:rPr>
                    <m:sty m:val="p"/>
                  </m:rPr>
                  <w:rPr>
                    <w:rFonts w:ascii="Cambria Math" w:hAnsi="Cambria Math" w:cs="Times New Roman"/>
                    <w:szCs w:val="28"/>
                    <w:lang w:val="zh-CN"/>
                  </w:rPr>
                  <m:t>=</m:t>
                </m:r>
                <m:sSub>
                  <m:sSubPr>
                    <m:ctrlPr>
                      <w:rPr>
                        <w:rFonts w:ascii="Cambria Math" w:hAnsi="Cambria Math" w:cs="Times New Roman"/>
                        <w:szCs w:val="28"/>
                        <w:lang w:val="zh-CN"/>
                      </w:rPr>
                    </m:ctrlPr>
                  </m:sSubPr>
                  <m:e>
                    <m:r>
                      <m:rPr/>
                      <w:rPr>
                        <w:rFonts w:ascii="Cambria Math" w:hAnsi="Cambria Math" w:cs="Times New Roman"/>
                        <w:szCs w:val="28"/>
                        <w:lang w:val="zh-CN"/>
                      </w:rPr>
                      <m:t>J</m:t>
                    </m:r>
                    <m:ctrlPr>
                      <w:rPr>
                        <w:rFonts w:ascii="Cambria Math" w:hAnsi="Cambria Math" w:cs="Times New Roman"/>
                        <w:szCs w:val="28"/>
                        <w:lang w:val="zh-CN"/>
                      </w:rPr>
                    </m:ctrlPr>
                  </m:e>
                  <m:sub>
                    <m:r>
                      <m:rPr/>
                      <w:rPr>
                        <w:rFonts w:ascii="Cambria Math" w:hAnsi="Cambria Math" w:cs="Times New Roman"/>
                        <w:szCs w:val="28"/>
                        <w:lang w:val="zh-CN"/>
                      </w:rPr>
                      <m:t>TOFM</m:t>
                    </m:r>
                    <m:ctrlPr>
                      <w:rPr>
                        <w:rFonts w:ascii="Cambria Math" w:hAnsi="Cambria Math" w:cs="Times New Roman"/>
                        <w:szCs w:val="28"/>
                        <w:lang w:val="zh-CN"/>
                      </w:rPr>
                    </m:ctrlPr>
                  </m:sub>
                </m:sSub>
                <m:r>
                  <m:rPr>
                    <m:sty m:val="p"/>
                  </m:rPr>
                  <w:rPr>
                    <w:rFonts w:ascii="Cambria Math" w:hAnsi="Cambria Math" w:cs="Times New Roman"/>
                    <w:szCs w:val="28"/>
                    <w:lang w:val="zh-CN"/>
                  </w:rPr>
                  <m:t>+</m:t>
                </m:r>
                <m:sSub>
                  <m:sSubPr>
                    <m:ctrlPr>
                      <w:rPr>
                        <w:rFonts w:ascii="Cambria Math" w:hAnsi="Cambria Math" w:cs="Times New Roman"/>
                        <w:szCs w:val="28"/>
                        <w:lang w:val="zh-CN"/>
                      </w:rPr>
                    </m:ctrlPr>
                  </m:sSubPr>
                  <m:e>
                    <m:r>
                      <m:rPr/>
                      <w:rPr>
                        <w:rFonts w:ascii="Cambria Math" w:hAnsi="Cambria Math" w:cs="Times New Roman"/>
                        <w:szCs w:val="28"/>
                        <w:lang w:val="zh-CN"/>
                      </w:rPr>
                      <m:t>J</m:t>
                    </m:r>
                    <m:ctrlPr>
                      <w:rPr>
                        <w:rFonts w:ascii="Cambria Math" w:hAnsi="Cambria Math" w:cs="Times New Roman"/>
                        <w:szCs w:val="28"/>
                        <w:lang w:val="zh-CN"/>
                      </w:rPr>
                    </m:ctrlPr>
                  </m:e>
                  <m:sub>
                    <m:r>
                      <m:rPr/>
                      <w:rPr>
                        <w:rFonts w:ascii="Cambria Math" w:hAnsi="Cambria Math" w:cs="Times New Roman"/>
                        <w:szCs w:val="28"/>
                        <w:lang w:val="zh-CN"/>
                      </w:rPr>
                      <m:t>TOFB</m:t>
                    </m:r>
                    <m:ctrlPr>
                      <w:rPr>
                        <w:rFonts w:ascii="Cambria Math" w:hAnsi="Cambria Math" w:cs="Times New Roman"/>
                        <w:szCs w:val="28"/>
                        <w:lang w:val="zh-CN"/>
                      </w:rPr>
                    </m:ctrlPr>
                  </m:sub>
                </m:sSub>
                <m:r>
                  <m:rPr>
                    <m:sty m:val="p"/>
                  </m:rPr>
                  <w:rPr>
                    <w:rFonts w:ascii="Cambria Math" w:hAnsi="Cambria Math" w:cs="Times New Roman"/>
                    <w:szCs w:val="28"/>
                    <w:lang w:val="zh-CN"/>
                  </w:rPr>
                  <m:t>+</m:t>
                </m:r>
                <m:sSub>
                  <m:sSubPr>
                    <m:ctrlPr>
                      <w:rPr>
                        <w:rFonts w:ascii="Cambria Math" w:hAnsi="Cambria Math" w:cs="Times New Roman"/>
                        <w:szCs w:val="28"/>
                        <w:lang w:val="zh-CN"/>
                      </w:rPr>
                    </m:ctrlPr>
                  </m:sSubPr>
                  <m:e>
                    <m:r>
                      <m:rPr/>
                      <w:rPr>
                        <w:rFonts w:ascii="Cambria Math" w:hAnsi="Cambria Math" w:cs="Times New Roman"/>
                        <w:szCs w:val="28"/>
                        <w:lang w:val="zh-CN"/>
                      </w:rPr>
                      <m:t>J</m:t>
                    </m:r>
                    <m:ctrlPr>
                      <w:rPr>
                        <w:rFonts w:ascii="Cambria Math" w:hAnsi="Cambria Math" w:cs="Times New Roman"/>
                        <w:szCs w:val="28"/>
                        <w:lang w:val="zh-CN"/>
                      </w:rPr>
                    </m:ctrlPr>
                  </m:e>
                  <m:sub>
                    <m:r>
                      <m:rPr/>
                      <w:rPr>
                        <w:rFonts w:ascii="Cambria Math" w:hAnsi="Cambria Math" w:cs="Times New Roman"/>
                        <w:szCs w:val="28"/>
                        <w:lang w:val="zh-CN"/>
                      </w:rPr>
                      <m:t>AM</m:t>
                    </m:r>
                    <m:ctrlPr>
                      <w:rPr>
                        <w:rFonts w:ascii="Cambria Math" w:hAnsi="Cambria Math" w:cs="Times New Roman"/>
                        <w:szCs w:val="28"/>
                        <w:lang w:val="zh-CN"/>
                      </w:rPr>
                    </m:ctrlPr>
                  </m:sub>
                </m:sSub>
                <m:r>
                  <m:rPr>
                    <m:sty m:val="p"/>
                  </m:rPr>
                  <w:rPr>
                    <w:rFonts w:ascii="Cambria Math" w:hAnsi="Cambria Math" w:cs="Times New Roman"/>
                    <w:szCs w:val="28"/>
                    <w:lang w:val="zh-CN"/>
                  </w:rPr>
                  <m:t>+</m:t>
                </m:r>
                <m:r>
                  <m:rPr/>
                  <w:rPr>
                    <w:rFonts w:ascii="Cambria Math" w:hAnsi="Cambria Math" w:cs="Times New Roman"/>
                    <w:szCs w:val="28"/>
                    <w:lang w:val="zh-CN"/>
                  </w:rPr>
                  <m:t>R</m:t>
                </m:r>
              </m:oMath>
            </m:oMathPara>
          </w:p>
        </w:tc>
        <w:tc>
          <w:tcPr>
            <w:tcW w:w="1269" w:type="dxa"/>
          </w:tcPr>
          <w:p w14:paraId="48965E0A">
            <w:pPr>
              <w:keepLines/>
              <w:spacing w:before="120" w:after="120"/>
              <w:jc w:val="right"/>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6</w:t>
            </w:r>
            <w:r>
              <w:fldChar w:fldCharType="end"/>
            </w:r>
            <w:r>
              <w:rPr>
                <w:rFonts w:hint="eastAsia"/>
              </w:rPr>
              <w:t>）</w:t>
            </w:r>
          </w:p>
        </w:tc>
      </w:tr>
    </w:tbl>
    <w:p w14:paraId="365CBB79">
      <w:pPr>
        <w:ind w:firstLine="480" w:firstLineChars="200"/>
      </w:pPr>
      <w:r>
        <w:t>在金属基复合材料中，</w:t>
      </w:r>
      <w:r>
        <w:rPr>
          <w:rFonts w:hint="eastAsia"/>
        </w:rPr>
        <w:t>对回波波形取包络，并提取第一次回波的峰值时间，该时间减去发射波峰值时间得到超声波传播时间TOF。再用该回波的峰值比发射波峰值得到相对衰减</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0</m:t>
            </m:r>
            <m:ctrlPr>
              <w:rPr>
                <w:rFonts w:ascii="Cambria Math" w:hAnsi="Cambria Math"/>
                <w:i/>
              </w:rPr>
            </m:ctrlPr>
          </m:sub>
        </m:sSub>
      </m:oMath>
      <w:r>
        <w:rPr>
          <w:rFonts w:hint="eastAsia"/>
        </w:rPr>
        <w:t>，然后将提取到的声学参数写进CSV文件里用于后续反演。</w:t>
      </w:r>
      <w:r>
        <w:t>单参数反演使用纵波TOF，目标函数为：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6096"/>
        <w:gridCol w:w="1269"/>
      </w:tblGrid>
      <w:tr w14:paraId="7989B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1E90D4EB"/>
        </w:tc>
        <w:tc>
          <w:tcPr>
            <w:tcW w:w="6096" w:type="dxa"/>
          </w:tcPr>
          <w:p w14:paraId="35450B8C">
            <w:pPr>
              <w:rPr>
                <w:lang w:val="zh-CN"/>
              </w:rPr>
            </w:pPr>
            <m:oMathPara>
              <m:oMath>
                <m:r>
                  <m:rPr/>
                  <w:rPr>
                    <w:rFonts w:ascii="Cambria Math" w:hAnsi="Cambria Math"/>
                    <w:lang w:val="zh-CN"/>
                  </w:rPr>
                  <m:t>J</m:t>
                </m:r>
                <m:r>
                  <m:rPr>
                    <m:sty m:val="p"/>
                  </m:rPr>
                  <w:rPr>
                    <w:rFonts w:ascii="Cambria Math" w:hAnsi="Cambria Math"/>
                    <w:lang w:val="zh-CN"/>
                  </w:rPr>
                  <m:t>=</m:t>
                </m:r>
                <m:sSub>
                  <m:sSubPr>
                    <m:ctrlPr>
                      <w:rPr>
                        <w:rFonts w:ascii="Cambria Math" w:hAnsi="Cambria Math"/>
                        <w:lang w:val="zh-CN"/>
                      </w:rPr>
                    </m:ctrlPr>
                  </m:sSubPr>
                  <m:e>
                    <m:r>
                      <m:rPr/>
                      <w:rPr>
                        <w:rFonts w:ascii="Cambria Math" w:hAnsi="Cambria Math"/>
                        <w:lang w:val="zh-CN"/>
                      </w:rPr>
                      <m:t>J</m:t>
                    </m:r>
                    <m:ctrlPr>
                      <w:rPr>
                        <w:rFonts w:ascii="Cambria Math" w:hAnsi="Cambria Math"/>
                        <w:lang w:val="zh-CN"/>
                      </w:rPr>
                    </m:ctrlPr>
                  </m:e>
                  <m:sub>
                    <m:r>
                      <m:rPr/>
                      <w:rPr>
                        <w:rFonts w:ascii="Cambria Math" w:hAnsi="Cambria Math"/>
                        <w:lang w:val="zh-CN"/>
                      </w:rPr>
                      <m:t>LTOF</m:t>
                    </m:r>
                    <m:ctrlPr>
                      <w:rPr>
                        <w:rFonts w:ascii="Cambria Math" w:hAnsi="Cambria Math"/>
                        <w:lang w:val="zh-CN"/>
                      </w:rPr>
                    </m:ctrlPr>
                  </m:sub>
                </m:sSub>
                <m:r>
                  <m:rPr>
                    <m:sty m:val="p"/>
                  </m:rPr>
                  <w:rPr>
                    <w:rFonts w:ascii="Cambria Math" w:hAnsi="Cambria Math"/>
                    <w:lang w:val="zh-CN"/>
                  </w:rPr>
                  <m:t>+</m:t>
                </m:r>
                <m:r>
                  <m:rPr/>
                  <w:rPr>
                    <w:rFonts w:ascii="Cambria Math" w:hAnsi="Cambria Math"/>
                    <w:lang w:val="zh-CN"/>
                  </w:rPr>
                  <m:t>R</m:t>
                </m:r>
              </m:oMath>
            </m:oMathPara>
          </w:p>
        </w:tc>
        <w:tc>
          <w:tcPr>
            <w:tcW w:w="1269" w:type="dxa"/>
          </w:tcPr>
          <w:p w14:paraId="34D8BAF9">
            <w:pPr>
              <w:keepLines/>
              <w:spacing w:before="120" w:after="120"/>
              <w:jc w:val="right"/>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7</w:t>
            </w:r>
            <w:r>
              <w:fldChar w:fldCharType="end"/>
            </w:r>
            <w:r>
              <w:rPr>
                <w:rFonts w:hint="eastAsia"/>
              </w:rPr>
              <w:t>）</w:t>
            </w:r>
          </w:p>
        </w:tc>
      </w:tr>
    </w:tbl>
    <w:p w14:paraId="33266B80">
      <w:pPr>
        <w:ind w:firstLine="480" w:firstLineChars="200"/>
      </w:pPr>
      <w:r>
        <w:t>其中R为平滑项。多参数反演使用纵波TOF及幅值相对衰减</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0</m:t>
            </m:r>
            <m:ctrlPr>
              <w:rPr>
                <w:rFonts w:ascii="Cambria Math" w:hAnsi="Cambria Math"/>
                <w:i/>
              </w:rPr>
            </m:ctrlPr>
          </m:sub>
        </m:sSub>
      </m:oMath>
      <w:r>
        <w:t>，目标函数为：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6096"/>
        <w:gridCol w:w="1269"/>
      </w:tblGrid>
      <w:tr w14:paraId="7B8CC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63F6D342"/>
        </w:tc>
        <w:tc>
          <w:tcPr>
            <w:tcW w:w="6096" w:type="dxa"/>
          </w:tcPr>
          <w:p w14:paraId="0F1368F1">
            <w:pPr>
              <w:rPr>
                <w:lang w:val="zh-CN"/>
              </w:rPr>
            </w:pPr>
            <m:oMathPara>
              <m:oMath>
                <m:r>
                  <m:rPr/>
                  <w:rPr>
                    <w:rFonts w:ascii="Cambria Math" w:hAnsi="Cambria Math"/>
                    <w:lang w:val="zh-CN"/>
                  </w:rPr>
                  <m:t>J</m:t>
                </m:r>
                <m:r>
                  <m:rPr>
                    <m:sty m:val="p"/>
                  </m:rPr>
                  <w:rPr>
                    <w:rFonts w:ascii="Cambria Math" w:hAnsi="Cambria Math"/>
                    <w:lang w:val="zh-CN"/>
                  </w:rPr>
                  <m:t>=</m:t>
                </m:r>
                <m:sSub>
                  <m:sSubPr>
                    <m:ctrlPr>
                      <w:rPr>
                        <w:rFonts w:ascii="Cambria Math" w:hAnsi="Cambria Math"/>
                        <w:lang w:val="zh-CN"/>
                      </w:rPr>
                    </m:ctrlPr>
                  </m:sSubPr>
                  <m:e>
                    <m:r>
                      <m:rPr/>
                      <w:rPr>
                        <w:rFonts w:ascii="Cambria Math" w:hAnsi="Cambria Math"/>
                        <w:lang w:val="zh-CN"/>
                      </w:rPr>
                      <m:t>J</m:t>
                    </m:r>
                    <m:ctrlPr>
                      <w:rPr>
                        <w:rFonts w:ascii="Cambria Math" w:hAnsi="Cambria Math"/>
                        <w:lang w:val="zh-CN"/>
                      </w:rPr>
                    </m:ctrlPr>
                  </m:e>
                  <m:sub>
                    <m:r>
                      <m:rPr/>
                      <w:rPr>
                        <w:rFonts w:ascii="Cambria Math" w:hAnsi="Cambria Math"/>
                        <w:lang w:val="zh-CN"/>
                      </w:rPr>
                      <m:t>LTOF</m:t>
                    </m:r>
                    <m:ctrlPr>
                      <w:rPr>
                        <w:rFonts w:ascii="Cambria Math" w:hAnsi="Cambria Math"/>
                        <w:lang w:val="zh-CN"/>
                      </w:rPr>
                    </m:ctrlPr>
                  </m:sub>
                </m:sSub>
                <m:r>
                  <m:rPr>
                    <m:sty m:val="p"/>
                  </m:rPr>
                  <w:rPr>
                    <w:rFonts w:ascii="Cambria Math" w:hAnsi="Cambria Math"/>
                    <w:lang w:val="zh-CN"/>
                  </w:rPr>
                  <m:t>+</m:t>
                </m:r>
                <m:sSub>
                  <m:sSubPr>
                    <m:ctrlPr>
                      <w:rPr>
                        <w:rFonts w:ascii="Cambria Math" w:hAnsi="Cambria Math"/>
                        <w:lang w:val="zh-CN"/>
                      </w:rPr>
                    </m:ctrlPr>
                  </m:sSubPr>
                  <m:e>
                    <m:r>
                      <m:rPr/>
                      <w:rPr>
                        <w:rFonts w:ascii="Cambria Math" w:hAnsi="Cambria Math"/>
                        <w:lang w:val="zh-CN"/>
                      </w:rPr>
                      <m:t>J</m:t>
                    </m:r>
                    <m:ctrlPr>
                      <w:rPr>
                        <w:rFonts w:ascii="Cambria Math" w:hAnsi="Cambria Math"/>
                        <w:lang w:val="zh-CN"/>
                      </w:rPr>
                    </m:ctrlPr>
                  </m:e>
                  <m:sub>
                    <m:r>
                      <m:rPr/>
                      <w:rPr>
                        <w:rFonts w:ascii="Cambria Math" w:hAnsi="Cambria Math"/>
                        <w:lang w:val="zh-CN"/>
                      </w:rPr>
                      <m:t>A</m:t>
                    </m:r>
                    <m:ctrlPr>
                      <w:rPr>
                        <w:rFonts w:ascii="Cambria Math" w:hAnsi="Cambria Math"/>
                        <w:lang w:val="zh-CN"/>
                      </w:rPr>
                    </m:ctrlPr>
                  </m:sub>
                </m:sSub>
                <m:r>
                  <m:rPr>
                    <m:sty m:val="p"/>
                  </m:rPr>
                  <w:rPr>
                    <w:rFonts w:ascii="Cambria Math" w:hAnsi="Cambria Math"/>
                    <w:lang w:val="zh-CN"/>
                  </w:rPr>
                  <m:t>+</m:t>
                </m:r>
                <m:r>
                  <m:rPr/>
                  <w:rPr>
                    <w:rFonts w:ascii="Cambria Math" w:hAnsi="Cambria Math"/>
                    <w:lang w:val="zh-CN"/>
                  </w:rPr>
                  <m:t>R</m:t>
                </m:r>
              </m:oMath>
            </m:oMathPara>
          </w:p>
        </w:tc>
        <w:tc>
          <w:tcPr>
            <w:tcW w:w="1269" w:type="dxa"/>
          </w:tcPr>
          <w:p w14:paraId="76AD907B">
            <w:pPr>
              <w:keepLines/>
              <w:spacing w:before="120" w:after="120"/>
              <w:jc w:val="right"/>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8</w:t>
            </w:r>
            <w:r>
              <w:fldChar w:fldCharType="end"/>
            </w:r>
            <w:r>
              <w:rPr>
                <w:rFonts w:hint="eastAsia"/>
              </w:rPr>
              <w:t>）</w:t>
            </w:r>
          </w:p>
        </w:tc>
      </w:tr>
    </w:tbl>
    <w:p w14:paraId="61F9B6D5">
      <w:pPr>
        <w:ind w:firstLine="480" w:firstLineChars="200"/>
      </w:pPr>
      <w:r>
        <w:t>对回波波形取包络，并提取第一次回波的峰值时间，该时间减去发射波峰值时间得到超声波传播时间</w:t>
      </w:r>
      <w:r>
        <w:rPr>
          <w:rFonts w:hint="eastAsia"/>
        </w:rPr>
        <w:t>横波以及纵波</w:t>
      </w:r>
      <w:r>
        <w:t>TOF。再用该回波的峰值比发射波峰值得到相对衰减</w:t>
      </w:r>
      <m:oMath>
        <m:f>
          <m:fPr>
            <m:type m:val="lin"/>
            <m:ctrlPr>
              <w:rPr>
                <w:rFonts w:ascii="Cambria Math" w:hAnsi="Cambria Math"/>
                <w:i/>
              </w:rPr>
            </m:ctrlPr>
          </m:fPr>
          <m:num>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den>
        </m:f>
      </m:oMath>
      <w:r>
        <w:t>，然后将提取到的声学参数写进CSV文件里用于后续反演。</w:t>
      </w:r>
    </w:p>
    <w:p w14:paraId="43E7F9B2">
      <w:pPr>
        <w:ind w:firstLine="480" w:firstLineChars="200"/>
      </w:pPr>
      <w:r>
        <w:t>在硅基/碳基复合材料中，单参数反演使用纵波和横波TOF，目标函数为：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6096"/>
        <w:gridCol w:w="1269"/>
      </w:tblGrid>
      <w:tr w14:paraId="648CB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35630638"/>
        </w:tc>
        <w:tc>
          <w:tcPr>
            <w:tcW w:w="6096" w:type="dxa"/>
          </w:tcPr>
          <w:p w14:paraId="32F2630B">
            <w:pPr>
              <w:rPr>
                <w:lang w:val="zh-CN"/>
              </w:rPr>
            </w:pPr>
            <m:oMathPara>
              <m:oMath>
                <m:r>
                  <m:rPr/>
                  <w:rPr>
                    <w:rFonts w:ascii="Cambria Math" w:hAnsi="Cambria Math"/>
                    <w:lang w:val="zh-CN"/>
                  </w:rPr>
                  <m:t>J=</m:t>
                </m:r>
                <m:sSub>
                  <m:sSubPr>
                    <m:ctrlPr>
                      <w:rPr>
                        <w:rFonts w:ascii="Cambria Math" w:hAnsi="Cambria Math"/>
                        <w:i/>
                        <w:lang w:val="zh-CN"/>
                      </w:rPr>
                    </m:ctrlPr>
                  </m:sSubPr>
                  <m:e>
                    <m:r>
                      <m:rPr/>
                      <w:rPr>
                        <w:rFonts w:ascii="Cambria Math" w:hAnsi="Cambria Math"/>
                        <w:lang w:val="zh-CN"/>
                      </w:rPr>
                      <m:t>J</m:t>
                    </m:r>
                    <m:ctrlPr>
                      <w:rPr>
                        <w:rFonts w:ascii="Cambria Math" w:hAnsi="Cambria Math"/>
                        <w:i/>
                        <w:lang w:val="zh-CN"/>
                      </w:rPr>
                    </m:ctrlPr>
                  </m:e>
                  <m:sub>
                    <m:r>
                      <m:rPr/>
                      <w:rPr>
                        <w:rFonts w:ascii="Cambria Math" w:hAnsi="Cambria Math"/>
                        <w:lang w:val="zh-CN"/>
                      </w:rPr>
                      <m:t>LTOF</m:t>
                    </m:r>
                    <m:ctrlPr>
                      <w:rPr>
                        <w:rFonts w:ascii="Cambria Math" w:hAnsi="Cambria Math"/>
                        <w:i/>
                        <w:lang w:val="zh-CN"/>
                      </w:rPr>
                    </m:ctrlPr>
                  </m:sub>
                </m:sSub>
                <m:r>
                  <m:rPr/>
                  <w:rPr>
                    <w:rFonts w:ascii="Cambria Math" w:hAnsi="Cambria Math"/>
                    <w:lang w:val="zh-CN"/>
                  </w:rPr>
                  <m:t>+</m:t>
                </m:r>
                <m:sSub>
                  <m:sSubPr>
                    <m:ctrlPr>
                      <w:rPr>
                        <w:rFonts w:ascii="Cambria Math" w:hAnsi="Cambria Math"/>
                        <w:i/>
                        <w:lang w:val="zh-CN"/>
                      </w:rPr>
                    </m:ctrlPr>
                  </m:sSubPr>
                  <m:e>
                    <m:r>
                      <m:rPr/>
                      <w:rPr>
                        <w:rFonts w:ascii="Cambria Math" w:hAnsi="Cambria Math"/>
                        <w:lang w:val="zh-CN"/>
                      </w:rPr>
                      <m:t>J</m:t>
                    </m:r>
                    <m:ctrlPr>
                      <w:rPr>
                        <w:rFonts w:ascii="Cambria Math" w:hAnsi="Cambria Math"/>
                        <w:i/>
                        <w:lang w:val="zh-CN"/>
                      </w:rPr>
                    </m:ctrlPr>
                  </m:e>
                  <m:sub>
                    <m:r>
                      <m:rPr/>
                      <w:rPr>
                        <w:rFonts w:ascii="Cambria Math" w:hAnsi="Cambria Math"/>
                        <w:lang w:val="zh-CN"/>
                      </w:rPr>
                      <m:t>STOF</m:t>
                    </m:r>
                    <m:ctrlPr>
                      <w:rPr>
                        <w:rFonts w:ascii="Cambria Math" w:hAnsi="Cambria Math"/>
                        <w:i/>
                        <w:lang w:val="zh-CN"/>
                      </w:rPr>
                    </m:ctrlPr>
                  </m:sub>
                </m:sSub>
                <m:r>
                  <m:rPr/>
                  <w:rPr>
                    <w:rFonts w:ascii="Cambria Math" w:hAnsi="Cambria Math"/>
                    <w:lang w:val="zh-CN"/>
                  </w:rPr>
                  <m:t>+R</m:t>
                </m:r>
              </m:oMath>
            </m:oMathPara>
          </w:p>
        </w:tc>
        <w:tc>
          <w:tcPr>
            <w:tcW w:w="1269" w:type="dxa"/>
          </w:tcPr>
          <w:p w14:paraId="17CE6887">
            <w:pPr>
              <w:keepLines/>
              <w:spacing w:before="120" w:after="120"/>
              <w:jc w:val="right"/>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9</w:t>
            </w:r>
            <w:r>
              <w:fldChar w:fldCharType="end"/>
            </w:r>
            <w:r>
              <w:rPr>
                <w:rFonts w:hint="eastAsia"/>
              </w:rPr>
              <w:t>）</w:t>
            </w:r>
          </w:p>
        </w:tc>
      </w:tr>
    </w:tbl>
    <w:p w14:paraId="05CCD7C9">
      <w:pPr>
        <w:ind w:firstLine="480" w:firstLineChars="200"/>
      </w:pPr>
      <w:r>
        <w:t>多参数反演使用纵波TOF及幅值相对衰减A1/A0，目标函数为：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6096"/>
        <w:gridCol w:w="1269"/>
      </w:tblGrid>
      <w:tr w14:paraId="303D2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1E7EE70E"/>
        </w:tc>
        <w:tc>
          <w:tcPr>
            <w:tcW w:w="6096" w:type="dxa"/>
          </w:tcPr>
          <w:p w14:paraId="0572BDEF">
            <w:pPr>
              <w:rPr>
                <w:lang w:val="zh-CN"/>
              </w:rPr>
            </w:pPr>
            <m:oMathPara>
              <m:oMath>
                <m:r>
                  <m:rPr/>
                  <w:rPr>
                    <w:rFonts w:ascii="Cambria Math" w:hAnsi="Cambria Math"/>
                    <w:lang w:val="zh-CN"/>
                  </w:rPr>
                  <m:t>J=</m:t>
                </m:r>
                <m:sSub>
                  <m:sSubPr>
                    <m:ctrlPr>
                      <w:rPr>
                        <w:rFonts w:ascii="Cambria Math" w:hAnsi="Cambria Math"/>
                        <w:i/>
                        <w:lang w:val="zh-CN"/>
                      </w:rPr>
                    </m:ctrlPr>
                  </m:sSubPr>
                  <m:e>
                    <m:r>
                      <m:rPr/>
                      <w:rPr>
                        <w:rFonts w:ascii="Cambria Math" w:hAnsi="Cambria Math"/>
                        <w:lang w:val="zh-CN"/>
                      </w:rPr>
                      <m:t>J</m:t>
                    </m:r>
                    <m:ctrlPr>
                      <w:rPr>
                        <w:rFonts w:ascii="Cambria Math" w:hAnsi="Cambria Math"/>
                        <w:i/>
                        <w:lang w:val="zh-CN"/>
                      </w:rPr>
                    </m:ctrlPr>
                  </m:e>
                  <m:sub>
                    <m:r>
                      <m:rPr/>
                      <w:rPr>
                        <w:rFonts w:ascii="Cambria Math" w:hAnsi="Cambria Math"/>
                        <w:lang w:val="zh-CN"/>
                      </w:rPr>
                      <m:t>LTOF</m:t>
                    </m:r>
                    <m:ctrlPr>
                      <w:rPr>
                        <w:rFonts w:ascii="Cambria Math" w:hAnsi="Cambria Math"/>
                        <w:i/>
                        <w:lang w:val="zh-CN"/>
                      </w:rPr>
                    </m:ctrlPr>
                  </m:sub>
                </m:sSub>
                <m:r>
                  <m:rPr/>
                  <w:rPr>
                    <w:rFonts w:ascii="Cambria Math" w:hAnsi="Cambria Math"/>
                    <w:lang w:val="zh-CN"/>
                  </w:rPr>
                  <m:t>+</m:t>
                </m:r>
                <m:sSub>
                  <m:sSubPr>
                    <m:ctrlPr>
                      <w:rPr>
                        <w:rFonts w:ascii="Cambria Math" w:hAnsi="Cambria Math"/>
                        <w:i/>
                        <w:lang w:val="zh-CN"/>
                      </w:rPr>
                    </m:ctrlPr>
                  </m:sSubPr>
                  <m:e>
                    <m:r>
                      <m:rPr/>
                      <w:rPr>
                        <w:rFonts w:ascii="Cambria Math" w:hAnsi="Cambria Math"/>
                        <w:lang w:val="zh-CN"/>
                      </w:rPr>
                      <m:t>J</m:t>
                    </m:r>
                    <m:ctrlPr>
                      <w:rPr>
                        <w:rFonts w:ascii="Cambria Math" w:hAnsi="Cambria Math"/>
                        <w:i/>
                        <w:lang w:val="zh-CN"/>
                      </w:rPr>
                    </m:ctrlPr>
                  </m:e>
                  <m:sub>
                    <m:r>
                      <m:rPr/>
                      <w:rPr>
                        <w:rFonts w:ascii="Cambria Math" w:hAnsi="Cambria Math"/>
                        <w:lang w:val="zh-CN"/>
                      </w:rPr>
                      <m:t>STOF</m:t>
                    </m:r>
                    <m:ctrlPr>
                      <w:rPr>
                        <w:rFonts w:ascii="Cambria Math" w:hAnsi="Cambria Math"/>
                        <w:i/>
                        <w:lang w:val="zh-CN"/>
                      </w:rPr>
                    </m:ctrlPr>
                  </m:sub>
                </m:sSub>
                <m:r>
                  <m:rPr/>
                  <w:rPr>
                    <w:rFonts w:ascii="Cambria Math" w:hAnsi="Cambria Math"/>
                    <w:lang w:val="zh-CN"/>
                  </w:rPr>
                  <m:t>+</m:t>
                </m:r>
                <m:sSub>
                  <m:sSubPr>
                    <m:ctrlPr>
                      <w:rPr>
                        <w:rFonts w:ascii="Cambria Math" w:hAnsi="Cambria Math"/>
                        <w:i/>
                        <w:lang w:val="zh-CN"/>
                      </w:rPr>
                    </m:ctrlPr>
                  </m:sSubPr>
                  <m:e>
                    <m:r>
                      <m:rPr/>
                      <w:rPr>
                        <w:rFonts w:ascii="Cambria Math" w:hAnsi="Cambria Math"/>
                        <w:lang w:val="zh-CN"/>
                      </w:rPr>
                      <m:t>J</m:t>
                    </m:r>
                    <m:ctrlPr>
                      <w:rPr>
                        <w:rFonts w:ascii="Cambria Math" w:hAnsi="Cambria Math"/>
                        <w:i/>
                        <w:lang w:val="zh-CN"/>
                      </w:rPr>
                    </m:ctrlPr>
                  </m:e>
                  <m:sub>
                    <m:r>
                      <m:rPr/>
                      <w:rPr>
                        <w:rFonts w:ascii="Cambria Math" w:hAnsi="Cambria Math"/>
                        <w:lang w:val="zh-CN"/>
                      </w:rPr>
                      <m:t>A</m:t>
                    </m:r>
                    <m:ctrlPr>
                      <w:rPr>
                        <w:rFonts w:ascii="Cambria Math" w:hAnsi="Cambria Math"/>
                        <w:i/>
                        <w:lang w:val="zh-CN"/>
                      </w:rPr>
                    </m:ctrlPr>
                  </m:sub>
                </m:sSub>
                <m:r>
                  <m:rPr/>
                  <w:rPr>
                    <w:rFonts w:ascii="Cambria Math" w:hAnsi="Cambria Math"/>
                    <w:lang w:val="zh-CN"/>
                  </w:rPr>
                  <m:t>+R</m:t>
                </m:r>
              </m:oMath>
            </m:oMathPara>
          </w:p>
        </w:tc>
        <w:tc>
          <w:tcPr>
            <w:tcW w:w="1269" w:type="dxa"/>
          </w:tcPr>
          <w:p w14:paraId="1DED35FE">
            <w:pPr>
              <w:keepLines/>
              <w:spacing w:before="120" w:after="120"/>
              <w:jc w:val="right"/>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10</w:t>
            </w:r>
            <w:r>
              <w:fldChar w:fldCharType="end"/>
            </w:r>
            <w:r>
              <w:rPr>
                <w:rFonts w:hint="eastAsia"/>
              </w:rPr>
              <w:t>）</w:t>
            </w:r>
          </w:p>
        </w:tc>
      </w:tr>
    </w:tbl>
    <w:p w14:paraId="34D9F2A6">
      <w:pPr>
        <w:ind w:firstLine="480" w:firstLineChars="200"/>
        <w:rPr>
          <w:lang w:bidi="ar"/>
        </w:rPr>
      </w:pPr>
      <w:r>
        <w:rPr>
          <w:lang w:bidi="ar"/>
        </w:rPr>
        <w:t>权重调整：多参数目标函数通过TOF权重以及幅值相对衰减权重控制不同声学特征的贡献。</w:t>
      </w:r>
    </w:p>
    <w:p w14:paraId="283E9DA0">
      <w:pPr>
        <w:pStyle w:val="6"/>
        <w:rPr>
          <w:lang w:bidi="ar"/>
        </w:rPr>
      </w:pPr>
      <w:r>
        <w:rPr>
          <w:lang w:bidi="ar"/>
        </w:rPr>
        <w:t>温度场参数化与稳定化处理</w:t>
      </w:r>
    </w:p>
    <w:p w14:paraId="0531DC5E">
      <w:pPr>
        <w:ind w:firstLine="420"/>
      </w:pPr>
      <w:r>
        <w:t>温度场反演属于典型的反问题。超声测量获得的是传播路径上的积分信息，而温度场是空间连续分布，因此有限数量的声学参数通常不足以直接确定所有网格节点的温度。不同热流分布可能产生相近的声时或幅值结果，测量噪声和材料参数误差也可能在反演过程中被放大。此外，热流参数、温度场和试件厚度之间存在相关性，容易造成多解、局部最优和参数振荡。</w:t>
      </w:r>
    </w:p>
    <w:p w14:paraId="64DFC26F">
      <w:pPr>
        <w:ind w:firstLine="420"/>
      </w:pPr>
      <w:r>
        <w:t>针对上述不适定性，本项目没有直接将每个温度节点作为独立反演变量，而是以边界热流控制参数作为待反演对象，通过热传导正演计算温度场。稳态一维工况采用1个热流参数，稳态二维工况采用4个空间热流控制参数；瞬态一维工况采用8个时间控制参数，瞬态二维工况采用4个空间控制点与8个时间控制点组成的32个热流参数。热流控制点之间通过线性插值构成连续热流分布，从而在保留温度场主要变化特征的同时降低未知参数维数。</w:t>
      </w:r>
    </w:p>
    <w:p w14:paraId="773316AE">
      <w:pPr>
        <w:ind w:firstLine="420"/>
      </w:pPr>
      <w:r>
        <w:t>对于瞬态反演，</w:t>
      </w:r>
      <w:r>
        <w:rPr>
          <w:rFonts w:hint="eastAsia"/>
        </w:rPr>
        <w:t>以金属基复合材料为例，</w:t>
      </w:r>
      <w:r>
        <w:t>20 s过程划分为50个计算时间步，时间步长为0.4 s，但仅设置8个时间控制点。程序首先在时间方向进行插值，再在二维工况下沿空间方向进行插值，得到各时间步完整的底面热流分布。通过控制点压缩，一维瞬态未知参数由50个减少为8个，二维瞬态未知参数由200个减少为32个，降低了参数间相关性和反演计算规模。</w:t>
      </w:r>
      <w:r>
        <w:rPr>
          <w:vertAlign w:val="superscript"/>
        </w:rPr>
        <w:fldChar w:fldCharType="begin"/>
      </w:r>
      <w:r>
        <w:rPr>
          <w:vertAlign w:val="superscript"/>
        </w:rPr>
        <w:instrText xml:space="preserve"> REF _Ref235907918 \n \h  \* MERGEFORMAT </w:instrText>
      </w:r>
      <w:r>
        <w:rPr>
          <w:vertAlign w:val="superscript"/>
        </w:rPr>
        <w:fldChar w:fldCharType="separate"/>
      </w:r>
      <w:r>
        <w:rPr>
          <w:vertAlign w:val="superscript"/>
        </w:rPr>
        <w:t>[1]</w:t>
      </w:r>
      <w:r>
        <w:rPr>
          <w:vertAlign w:val="superscript"/>
        </w:rPr>
        <w:fldChar w:fldCharType="end"/>
      </w:r>
    </w:p>
    <w:p w14:paraId="7DFA02CC">
      <w:pPr>
        <w:ind w:firstLine="420"/>
      </w:pPr>
      <w:r>
        <w:t>为抑制热流控制参数在空间和时间方向上的非物理振荡，程序引入二阶差分平滑正则项。统一目标函数写为</w:t>
      </w:r>
      <w:r>
        <w:fldChar w:fldCharType="begin"/>
      </w:r>
      <w:r>
        <w:instrText xml:space="preserve"> REF _Ref235908988 \n \h </w:instrText>
      </w:r>
      <w:r>
        <w:fldChar w:fldCharType="separate"/>
      </w:r>
      <w:r>
        <w:t>[16]</w:t>
      </w:r>
      <w:r>
        <w:fldChar w:fldCharType="end"/>
      </w:r>
      <w:r>
        <w:t>：</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6096"/>
        <w:gridCol w:w="1269"/>
      </w:tblGrid>
      <w:tr w14:paraId="4A836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7B4A5A65"/>
        </w:tc>
        <w:tc>
          <w:tcPr>
            <w:tcW w:w="6096" w:type="dxa"/>
          </w:tcPr>
          <w:p w14:paraId="6E7AD27E">
            <w:pPr>
              <w:spacing w:before="60" w:after="60" w:line="276" w:lineRule="auto"/>
              <w:jc w:val="center"/>
            </w:pPr>
            <m:oMathPara>
              <m:oMath>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TOF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s</m:t>
                    </m:r>
                    <m:ctrlPr>
                      <w:rPr>
                        <w:rFonts w:ascii="Cambria Math" w:hAnsi="Cambria Math"/>
                      </w:rPr>
                    </m:ctrlPr>
                  </m:sub>
                </m:sSub>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space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t</m:t>
                    </m:r>
                    <m:ctrlPr>
                      <w:rPr>
                        <w:rFonts w:ascii="Cambria Math" w:hAnsi="Cambria Math"/>
                      </w:rPr>
                    </m:ctrlPr>
                  </m:sub>
                </m:sSub>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time</m:t>
                    </m:r>
                    <m:ctrlPr>
                      <w:rPr>
                        <w:rFonts w:ascii="Cambria Math" w:hAnsi="Cambria Math"/>
                      </w:rPr>
                    </m:ctrlPr>
                  </m:sub>
                </m:sSub>
              </m:oMath>
            </m:oMathPara>
          </w:p>
        </w:tc>
        <w:tc>
          <w:tcPr>
            <w:tcW w:w="1269" w:type="dxa"/>
          </w:tcPr>
          <w:p w14:paraId="78EA2B13">
            <w:pPr>
              <w:keepLines/>
              <w:spacing w:before="120" w:after="120"/>
              <w:jc w:val="right"/>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11</w:t>
            </w:r>
            <w:r>
              <w:fldChar w:fldCharType="end"/>
            </w:r>
            <w:r>
              <w:rPr>
                <w:rFonts w:hint="eastAsia"/>
              </w:rPr>
              <w:t>）</w:t>
            </w:r>
          </w:p>
        </w:tc>
      </w:tr>
    </w:tbl>
    <w:p w14:paraId="2E648F6C">
      <w:pPr>
        <w:ind w:firstLine="420"/>
      </w:pPr>
      <w:r>
        <w:t>式中，</w:t>
      </w:r>
      <m:oMath>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TOF</m:t>
            </m:r>
            <m:ctrlPr>
              <w:rPr>
                <w:rFonts w:ascii="Cambria Math" w:hAnsi="Cambria Math"/>
              </w:rPr>
            </m:ctrlPr>
          </m:sub>
        </m:sSub>
      </m:oMath>
      <w:r>
        <w:t>为全体探头和全部时间步的声时相对误差平方均值；</w:t>
      </w:r>
      <m:oMath>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space</m:t>
            </m:r>
            <m:ctrlPr>
              <w:rPr>
                <w:rFonts w:ascii="Cambria Math" w:hAnsi="Cambria Math"/>
              </w:rPr>
            </m:ctrlPr>
          </m:sub>
        </m:sSub>
      </m:oMath>
      <w:r>
        <w:t>为空间方向热流平滑项；</w:t>
      </w:r>
      <m:oMath>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time</m:t>
            </m:r>
            <m:ctrlPr>
              <w:rPr>
                <w:rFonts w:ascii="Cambria Math" w:hAnsi="Cambria Math"/>
              </w:rPr>
            </m:ctrlPr>
          </m:sub>
        </m:sSub>
      </m:oMath>
      <w:r>
        <w:t>为时间方向热流平滑项；λₛ和λₜ为正则化权重。稳态工况不使用时间平滑项，一维工况不使用空间平滑项，使同一目标函数结构能够适配不同反演模式。</w:t>
      </w:r>
    </w:p>
    <w:p w14:paraId="62DEEECF">
      <w:pPr>
        <w:ind w:firstLine="420"/>
      </w:pPr>
      <w:r>
        <w:t>程序还对热流、厚度和温度设置明确的物理上下界。优化器产生新参数后，首先进行边界投影，避免出现负热流、厚度越界或明显超过材料适用温度范围的参数。当热学求解不收敛、材料物性出现非有限值、声速不大于零、声线未到达底面、回波顺序异常或预测幅值不满足物理条件时，该候选参数被判定为无效解，并赋予较大的惩罚目标函数</w:t>
      </w:r>
      <w:r>
        <w:fldChar w:fldCharType="begin"/>
      </w:r>
      <w:r>
        <w:instrText xml:space="preserve"> REF _Ref235908995 \n \h </w:instrText>
      </w:r>
      <w:r>
        <w:fldChar w:fldCharType="separate"/>
      </w:r>
      <w:r>
        <w:t>[17]</w:t>
      </w:r>
      <w:r>
        <w:fldChar w:fldCharType="end"/>
      </w:r>
      <w:r>
        <w:t>。</w:t>
      </w:r>
    </w:p>
    <w:p w14:paraId="1D7C6D78">
      <w:pPr>
        <w:ind w:firstLine="420"/>
      </w:pPr>
      <w:r>
        <w:t>在数据层面，程序对输入声时、幅值、探头编号、时间步和数据矩阵尺寸进行检查；在目标函数层面采用相对残差，降低不同参数量级的影响；在参数层面使用控制点压缩、边界约束和平滑正则化；在优化层面采用全局搜索与局部精修相结合的方法。上述措施共同提高了温度场反演的稳定性，降低了测量扰动、初始值和参数相关性对反演结果的影响。</w:t>
      </w:r>
    </w:p>
    <w:p w14:paraId="49804825">
      <w:pPr>
        <w:pStyle w:val="6"/>
      </w:pPr>
      <w:r>
        <w:t>一维、二维稳态和瞬态反演模式</w:t>
      </w:r>
    </w:p>
    <w:p w14:paraId="595C8C15">
      <w:pPr>
        <w:ind w:firstLine="480" w:firstLineChars="200"/>
      </w:pPr>
      <w:r>
        <w:rPr>
          <w:rFonts w:hint="eastAsia"/>
        </w:rPr>
        <w:t>反演模式按照“工况类型—声学参数—优化方法”的顺序进行选择。</w:t>
      </w:r>
    </w:p>
    <w:p w14:paraId="4E76D6E6">
      <w:pPr>
        <w:ind w:firstLine="480" w:firstLineChars="200"/>
      </w:pPr>
      <w:r>
        <w:rPr>
          <w:rFonts w:hint="eastAsia"/>
        </w:rPr>
        <w:t>首先，选择稳态反演或瞬态反演；稳态工况仅反演当前温度场，瞬态工况则反演随时间变化的温度场历史。然后，根据可用的声学特征确定单参数或多参数反演：仅使用TOF时选择单参数模式，同时使用TOF与幅值相对衰减时选择多参数模式，并分别计算各声学特征对应的目标函数分量。最后，选择优化方法，采用BO+FD时先通过贝叶斯优化进行全局初值搜索，再利用有限差分梯度进行局部精修；采用PSO+CG时先通过粒子群搜索较优解区域，再利用共轭梯度方法进行局部更新。</w:t>
      </w:r>
      <w:r>
        <w:rPr>
          <w:vertAlign w:val="superscript"/>
        </w:rPr>
        <w:fldChar w:fldCharType="begin"/>
      </w:r>
      <w:r>
        <w:rPr>
          <w:vertAlign w:val="superscript"/>
        </w:rPr>
        <w:instrText xml:space="preserve"> </w:instrText>
      </w:r>
      <w:r>
        <w:rPr>
          <w:rFonts w:hint="eastAsia"/>
          <w:vertAlign w:val="superscript"/>
        </w:rPr>
        <w:instrText xml:space="preserve">REF _Ref235907970 \n \h</w:instrText>
      </w:r>
      <w:r>
        <w:rPr>
          <w:vertAlign w:val="superscript"/>
        </w:rPr>
        <w:instrText xml:space="preserve">  \* MERGEFORMAT </w:instrText>
      </w:r>
      <w:r>
        <w:rPr>
          <w:vertAlign w:val="superscript"/>
        </w:rPr>
        <w:fldChar w:fldCharType="separate"/>
      </w:r>
      <w:r>
        <w:rPr>
          <w:vertAlign w:val="superscript"/>
        </w:rPr>
        <w:t>[2]</w:t>
      </w:r>
      <w:r>
        <w:rPr>
          <w:vertAlign w:val="superscript"/>
        </w:rPr>
        <w:fldChar w:fldCharType="end"/>
      </w:r>
    </w:p>
    <w:p w14:paraId="401F0428">
      <w:pPr>
        <w:ind w:firstLine="480" w:firstLineChars="200"/>
      </w:pPr>
      <w:r>
        <w:rPr>
          <w:rFonts w:hint="eastAsia"/>
        </w:rPr>
        <w:t>二维工况：</w:t>
      </w:r>
      <w:r>
        <w:t>将底部热流设为x方向分段线性函数，由4个控制点</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2</m:t>
            </m:r>
            <m:ctrlPr>
              <w:rPr>
                <w:rFonts w:ascii="Cambria Math" w:hAnsi="Cambria Math"/>
              </w:rPr>
            </m:ctrlPr>
          </m:sub>
        </m:sSub>
      </m:oMath>
      <w:r>
        <w:t>、</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3</m:t>
            </m:r>
            <m:ctrlPr>
              <w:rPr>
                <w:rFonts w:ascii="Cambria Math" w:hAnsi="Cambria Math"/>
              </w:rPr>
            </m:ctrlPr>
          </m:sub>
        </m:sSub>
      </m:oMath>
      <w:r>
        <w:t>、</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4</m:t>
            </m:r>
            <m:ctrlPr>
              <w:rPr>
                <w:rFonts w:ascii="Cambria Math" w:hAnsi="Cambria Math"/>
              </w:rPr>
            </m:ctrlPr>
          </m:sub>
        </m:sSub>
      </m:oMath>
      <w:r>
        <w:t>确定；稳态工况下优化</w:t>
      </w:r>
      <m:oMath>
        <m:r>
          <m:rPr/>
          <w:rPr>
            <w:rFonts w:ascii="Cambria Math" w:hAnsi="Cambria Math"/>
          </w:rPr>
          <m:t>4</m:t>
        </m:r>
        <m:r>
          <m:rPr>
            <m:sty m:val="p"/>
          </m:rPr>
          <w:rPr>
            <w:rFonts w:ascii="Cambria Math" w:hAnsi="Cambria Math"/>
          </w:rPr>
          <m:t>×</m:t>
        </m:r>
        <m:r>
          <m:rPr/>
          <w:rPr>
            <w:rFonts w:ascii="Cambria Math" w:hAnsi="Cambria Math"/>
          </w:rPr>
          <m:t>1</m:t>
        </m:r>
      </m:oMath>
      <w:r>
        <w:t>个热流参数，瞬态工况优化</w:t>
      </w:r>
      <m:oMath>
        <m:r>
          <m:rPr/>
          <w:rPr>
            <w:rFonts w:ascii="Cambria Math" w:hAnsi="Cambria Math"/>
          </w:rPr>
          <m:t>4</m:t>
        </m:r>
        <m:r>
          <m:rPr>
            <m:sty m:val="p"/>
          </m:rPr>
          <w:rPr>
            <w:rFonts w:ascii="Cambria Math" w:hAnsi="Cambria Math"/>
          </w:rPr>
          <m:t>×</m:t>
        </m:r>
        <m:r>
          <m:rPr/>
          <w:rPr>
            <w:rFonts w:ascii="Cambria Math" w:hAnsi="Cambria Math"/>
          </w:rPr>
          <m:t>8</m:t>
        </m:r>
      </m:oMath>
      <w:r>
        <w:t>的热流历史矩阵。二维模式在声学正演中启用RK4弯曲射线追踪</w:t>
      </w:r>
      <w:r>
        <w:fldChar w:fldCharType="begin"/>
      </w:r>
      <w:r>
        <w:instrText xml:space="preserve"> REF _Ref235909005 \n \h </w:instrText>
      </w:r>
      <w:r>
        <w:fldChar w:fldCharType="separate"/>
      </w:r>
      <w:r>
        <w:t>[18]</w:t>
      </w:r>
      <w:r>
        <w:fldChar w:fldCharType="end"/>
      </w:r>
      <w:r>
        <w:t>。</w:t>
      </w:r>
    </w:p>
    <w:p w14:paraId="00EF3AC4">
      <w:pPr>
        <w:ind w:firstLine="480" w:firstLineChars="200"/>
      </w:pPr>
      <w:r>
        <w:rPr>
          <w:rFonts w:hint="eastAsia"/>
        </w:rPr>
        <w:t>一维工况：</w:t>
      </w:r>
      <w:r>
        <w:t>稳态优化1个热流参数，瞬态优化</w:t>
      </w:r>
      <m:oMath>
        <m:r>
          <m:rPr/>
          <w:rPr>
            <w:rFonts w:ascii="Cambria Math" w:hAnsi="Cambria Math"/>
          </w:rPr>
          <m:t>1</m:t>
        </m:r>
        <m:r>
          <m:rPr>
            <m:sty m:val="p"/>
          </m:rPr>
          <w:rPr>
            <w:rFonts w:ascii="Cambria Math" w:hAnsi="Cambria Math"/>
          </w:rPr>
          <m:t>×</m:t>
        </m:r>
        <m:r>
          <m:rPr/>
          <w:rPr>
            <w:rFonts w:ascii="Cambria Math" w:hAnsi="Cambria Math"/>
          </w:rPr>
          <m:t>8</m:t>
        </m:r>
      </m:oMath>
      <w:r>
        <w:t>个热流参数。声学传播路径固定为厚度方向垂直直线路径，不调用弯曲射线追踪。</w:t>
      </w:r>
    </w:p>
    <w:p w14:paraId="74AE2892">
      <w:pPr>
        <w:ind w:firstLine="480" w:firstLineChars="200"/>
      </w:pPr>
      <w:r>
        <w:t>稳态情况</w:t>
      </w:r>
      <w:r>
        <w:rPr>
          <w:rFonts w:hint="eastAsia"/>
        </w:rPr>
        <w:t>下输出</w:t>
      </w:r>
      <w:r>
        <w:t>反演温度场图片，五个测温点的</w:t>
      </w:r>
      <w:r>
        <w:rPr>
          <w:rFonts w:hint="eastAsia"/>
        </w:rPr>
        <w:t>实验</w:t>
      </w:r>
      <w:r>
        <w:t>真实温度场与反演温度场的平均温度值以及相对误差</w:t>
      </w:r>
      <w:r>
        <w:rPr>
          <w:rFonts w:hint="eastAsia"/>
        </w:rPr>
        <w:t>。</w:t>
      </w:r>
      <w:r>
        <w:t>瞬态情况</w:t>
      </w:r>
      <w:r>
        <w:rPr>
          <w:rFonts w:hint="eastAsia"/>
        </w:rPr>
        <w:t>下输出</w:t>
      </w:r>
      <w:r>
        <w:t>瞬态五个测温点每个时刻的反演温度场平均温度值、真实温度场平均温度值以及相对误差。</w:t>
      </w:r>
    </w:p>
    <w:p w14:paraId="58577228">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17</w:t>
      </w:r>
      <w:r>
        <w:fldChar w:fldCharType="end"/>
      </w:r>
      <w:r>
        <w:t>四类基础反演模式的实现差异</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1"/>
        <w:gridCol w:w="2693"/>
        <w:gridCol w:w="2353"/>
        <w:gridCol w:w="2438"/>
      </w:tblGrid>
      <w:tr w14:paraId="42009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31" w:type="dxa"/>
            <w:tcMar>
              <w:top w:w="110" w:type="dxa"/>
              <w:left w:w="100" w:type="dxa"/>
              <w:bottom w:w="110" w:type="dxa"/>
              <w:right w:w="100" w:type="dxa"/>
            </w:tcMar>
            <w:vAlign w:val="center"/>
          </w:tcPr>
          <w:p w14:paraId="2DC35D59">
            <w:pPr>
              <w:pStyle w:val="33"/>
            </w:pPr>
            <w:r>
              <w:t>模式</w:t>
            </w:r>
          </w:p>
        </w:tc>
        <w:tc>
          <w:tcPr>
            <w:tcW w:w="2693" w:type="dxa"/>
            <w:tcMar>
              <w:top w:w="110" w:type="dxa"/>
              <w:left w:w="100" w:type="dxa"/>
              <w:bottom w:w="110" w:type="dxa"/>
              <w:right w:w="100" w:type="dxa"/>
            </w:tcMar>
            <w:vAlign w:val="center"/>
          </w:tcPr>
          <w:p w14:paraId="3AE0D9A0">
            <w:pPr>
              <w:pStyle w:val="33"/>
            </w:pPr>
            <w:r>
              <w:t>热学正演</w:t>
            </w:r>
          </w:p>
        </w:tc>
        <w:tc>
          <w:tcPr>
            <w:tcW w:w="2353" w:type="dxa"/>
            <w:tcMar>
              <w:top w:w="110" w:type="dxa"/>
              <w:left w:w="100" w:type="dxa"/>
              <w:bottom w:w="110" w:type="dxa"/>
              <w:right w:w="100" w:type="dxa"/>
            </w:tcMar>
            <w:vAlign w:val="center"/>
          </w:tcPr>
          <w:p w14:paraId="5F09B51A">
            <w:pPr>
              <w:pStyle w:val="33"/>
            </w:pPr>
            <w:r>
              <w:t>声学路径</w:t>
            </w:r>
          </w:p>
        </w:tc>
        <w:tc>
          <w:tcPr>
            <w:tcW w:w="2438" w:type="dxa"/>
            <w:tcMar>
              <w:top w:w="110" w:type="dxa"/>
              <w:left w:w="100" w:type="dxa"/>
              <w:bottom w:w="110" w:type="dxa"/>
              <w:right w:w="100" w:type="dxa"/>
            </w:tcMar>
            <w:vAlign w:val="center"/>
          </w:tcPr>
          <w:p w14:paraId="12758874">
            <w:pPr>
              <w:pStyle w:val="33"/>
            </w:pPr>
            <w:r>
              <w:t>典型输出</w:t>
            </w:r>
          </w:p>
        </w:tc>
      </w:tr>
      <w:tr w14:paraId="2B4AB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31" w:type="dxa"/>
            <w:tcMar>
              <w:top w:w="95" w:type="dxa"/>
              <w:left w:w="110" w:type="dxa"/>
              <w:bottom w:w="95" w:type="dxa"/>
              <w:right w:w="110" w:type="dxa"/>
            </w:tcMar>
            <w:vAlign w:val="center"/>
          </w:tcPr>
          <w:p w14:paraId="2B3E4146">
            <w:pPr>
              <w:pStyle w:val="33"/>
            </w:pPr>
            <w:r>
              <w:t>一维稳态</w:t>
            </w:r>
          </w:p>
        </w:tc>
        <w:tc>
          <w:tcPr>
            <w:tcW w:w="2693" w:type="dxa"/>
            <w:tcMar>
              <w:top w:w="95" w:type="dxa"/>
              <w:left w:w="110" w:type="dxa"/>
              <w:bottom w:w="95" w:type="dxa"/>
              <w:right w:w="110" w:type="dxa"/>
            </w:tcMar>
            <w:vAlign w:val="center"/>
          </w:tcPr>
          <w:p w14:paraId="0E5AEB21">
            <w:pPr>
              <w:pStyle w:val="33"/>
            </w:pPr>
            <w:r>
              <w:t>厚度方向稳态导热，底部均匀热流</w:t>
            </w:r>
          </w:p>
        </w:tc>
        <w:tc>
          <w:tcPr>
            <w:tcW w:w="2353" w:type="dxa"/>
            <w:tcMar>
              <w:top w:w="95" w:type="dxa"/>
              <w:left w:w="110" w:type="dxa"/>
              <w:bottom w:w="95" w:type="dxa"/>
              <w:right w:w="110" w:type="dxa"/>
            </w:tcMar>
            <w:vAlign w:val="center"/>
          </w:tcPr>
          <w:p w14:paraId="50FB1C84">
            <w:pPr>
              <w:pStyle w:val="33"/>
            </w:pPr>
            <w:r>
              <w:t>厚度方向垂直直线</w:t>
            </w:r>
          </w:p>
        </w:tc>
        <w:tc>
          <w:tcPr>
            <w:tcW w:w="2438" w:type="dxa"/>
            <w:tcMar>
              <w:top w:w="95" w:type="dxa"/>
              <w:left w:w="110" w:type="dxa"/>
              <w:bottom w:w="95" w:type="dxa"/>
              <w:right w:w="110" w:type="dxa"/>
            </w:tcMar>
            <w:vAlign w:val="center"/>
          </w:tcPr>
          <w:p w14:paraId="4C81D163">
            <w:pPr>
              <w:pStyle w:val="33"/>
            </w:pPr>
            <w:r>
              <w:t>温度剖面、单探头TOF拟合、稳态热流</w:t>
            </w:r>
          </w:p>
        </w:tc>
      </w:tr>
      <w:tr w14:paraId="5E12F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31" w:type="dxa"/>
            <w:tcMar>
              <w:top w:w="95" w:type="dxa"/>
              <w:left w:w="110" w:type="dxa"/>
              <w:bottom w:w="95" w:type="dxa"/>
              <w:right w:w="110" w:type="dxa"/>
            </w:tcMar>
            <w:vAlign w:val="center"/>
          </w:tcPr>
          <w:p w14:paraId="6B56DB03">
            <w:pPr>
              <w:pStyle w:val="33"/>
            </w:pPr>
            <w:r>
              <w:t>二维稳态</w:t>
            </w:r>
          </w:p>
        </w:tc>
        <w:tc>
          <w:tcPr>
            <w:tcW w:w="2693" w:type="dxa"/>
            <w:tcMar>
              <w:top w:w="95" w:type="dxa"/>
              <w:left w:w="110" w:type="dxa"/>
              <w:bottom w:w="95" w:type="dxa"/>
              <w:right w:w="110" w:type="dxa"/>
            </w:tcMar>
            <w:vAlign w:val="center"/>
          </w:tcPr>
          <w:p w14:paraId="7E1CE24B">
            <w:pPr>
              <w:pStyle w:val="33"/>
            </w:pPr>
            <w:r>
              <w:t>二维非线性稳态导热，4点空间热流</w:t>
            </w:r>
          </w:p>
        </w:tc>
        <w:tc>
          <w:tcPr>
            <w:tcW w:w="2353" w:type="dxa"/>
            <w:tcMar>
              <w:top w:w="95" w:type="dxa"/>
              <w:left w:w="110" w:type="dxa"/>
              <w:bottom w:w="95" w:type="dxa"/>
              <w:right w:w="110" w:type="dxa"/>
            </w:tcMar>
            <w:vAlign w:val="center"/>
          </w:tcPr>
          <w:p w14:paraId="35226024">
            <w:pPr>
              <w:pStyle w:val="33"/>
            </w:pPr>
            <w:r>
              <w:t>温度相关声速场中的RK4弯曲路径</w:t>
            </w:r>
          </w:p>
        </w:tc>
        <w:tc>
          <w:tcPr>
            <w:tcW w:w="2438" w:type="dxa"/>
            <w:tcMar>
              <w:top w:w="95" w:type="dxa"/>
              <w:left w:w="110" w:type="dxa"/>
              <w:bottom w:w="95" w:type="dxa"/>
              <w:right w:w="110" w:type="dxa"/>
            </w:tcMar>
            <w:vAlign w:val="center"/>
          </w:tcPr>
          <w:p w14:paraId="02CF1987">
            <w:pPr>
              <w:pStyle w:val="33"/>
            </w:pPr>
            <w:r>
              <w:t>二维温度场、4探头TOF、弯曲声线、q(x)</w:t>
            </w:r>
          </w:p>
        </w:tc>
      </w:tr>
      <w:tr w14:paraId="65F12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31" w:type="dxa"/>
            <w:tcMar>
              <w:top w:w="95" w:type="dxa"/>
              <w:left w:w="110" w:type="dxa"/>
              <w:bottom w:w="95" w:type="dxa"/>
              <w:right w:w="110" w:type="dxa"/>
            </w:tcMar>
            <w:vAlign w:val="center"/>
          </w:tcPr>
          <w:p w14:paraId="18CE8A43">
            <w:pPr>
              <w:pStyle w:val="33"/>
            </w:pPr>
            <w:r>
              <w:t>一维瞬态</w:t>
            </w:r>
          </w:p>
        </w:tc>
        <w:tc>
          <w:tcPr>
            <w:tcW w:w="2693" w:type="dxa"/>
            <w:tcMar>
              <w:top w:w="95" w:type="dxa"/>
              <w:left w:w="110" w:type="dxa"/>
              <w:bottom w:w="95" w:type="dxa"/>
              <w:right w:w="110" w:type="dxa"/>
            </w:tcMar>
            <w:vAlign w:val="center"/>
          </w:tcPr>
          <w:p w14:paraId="469AF698">
            <w:pPr>
              <w:pStyle w:val="33"/>
            </w:pPr>
            <w:r>
              <w:t>一维瞬态导热，8个时间控制量</w:t>
            </w:r>
          </w:p>
        </w:tc>
        <w:tc>
          <w:tcPr>
            <w:tcW w:w="2353" w:type="dxa"/>
            <w:tcMar>
              <w:top w:w="95" w:type="dxa"/>
              <w:left w:w="110" w:type="dxa"/>
              <w:bottom w:w="95" w:type="dxa"/>
              <w:right w:w="110" w:type="dxa"/>
            </w:tcMar>
            <w:vAlign w:val="center"/>
          </w:tcPr>
          <w:p w14:paraId="41F2FF48">
            <w:pPr>
              <w:pStyle w:val="33"/>
            </w:pPr>
            <w:r>
              <w:t>各时刻垂直直线</w:t>
            </w:r>
          </w:p>
        </w:tc>
        <w:tc>
          <w:tcPr>
            <w:tcW w:w="2438" w:type="dxa"/>
            <w:tcMar>
              <w:top w:w="95" w:type="dxa"/>
              <w:left w:w="110" w:type="dxa"/>
              <w:bottom w:w="95" w:type="dxa"/>
              <w:right w:w="110" w:type="dxa"/>
            </w:tcMar>
            <w:vAlign w:val="center"/>
          </w:tcPr>
          <w:p w14:paraId="223853BC">
            <w:pPr>
              <w:pStyle w:val="33"/>
            </w:pPr>
            <w:r>
              <w:t>温度历史、五点误差随时间、q(t)</w:t>
            </w:r>
          </w:p>
        </w:tc>
      </w:tr>
      <w:tr w14:paraId="6BD09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31" w:type="dxa"/>
            <w:tcMar>
              <w:top w:w="95" w:type="dxa"/>
              <w:left w:w="110" w:type="dxa"/>
              <w:bottom w:w="95" w:type="dxa"/>
              <w:right w:w="110" w:type="dxa"/>
            </w:tcMar>
            <w:vAlign w:val="center"/>
          </w:tcPr>
          <w:p w14:paraId="6E71DF80">
            <w:pPr>
              <w:pStyle w:val="33"/>
            </w:pPr>
            <w:r>
              <w:t>二维瞬态</w:t>
            </w:r>
          </w:p>
        </w:tc>
        <w:tc>
          <w:tcPr>
            <w:tcW w:w="2693" w:type="dxa"/>
            <w:tcMar>
              <w:top w:w="95" w:type="dxa"/>
              <w:left w:w="110" w:type="dxa"/>
              <w:bottom w:w="95" w:type="dxa"/>
              <w:right w:w="110" w:type="dxa"/>
            </w:tcMar>
            <w:vAlign w:val="center"/>
          </w:tcPr>
          <w:p w14:paraId="2198190E">
            <w:pPr>
              <w:pStyle w:val="33"/>
            </w:pPr>
            <w:r>
              <w:t>二维瞬态导热，4×8控制矩阵</w:t>
            </w:r>
          </w:p>
        </w:tc>
        <w:tc>
          <w:tcPr>
            <w:tcW w:w="2353" w:type="dxa"/>
            <w:tcMar>
              <w:top w:w="95" w:type="dxa"/>
              <w:left w:w="110" w:type="dxa"/>
              <w:bottom w:w="95" w:type="dxa"/>
              <w:right w:w="110" w:type="dxa"/>
            </w:tcMar>
            <w:vAlign w:val="center"/>
          </w:tcPr>
          <w:p w14:paraId="6305E2C2">
            <w:pPr>
              <w:pStyle w:val="33"/>
            </w:pPr>
            <w:r>
              <w:t>各时刻重算4条弯曲路径</w:t>
            </w:r>
          </w:p>
        </w:tc>
        <w:tc>
          <w:tcPr>
            <w:tcW w:w="2438" w:type="dxa"/>
            <w:tcMar>
              <w:top w:w="95" w:type="dxa"/>
              <w:left w:w="110" w:type="dxa"/>
              <w:bottom w:w="95" w:type="dxa"/>
              <w:right w:w="110" w:type="dxa"/>
            </w:tcMar>
            <w:vAlign w:val="center"/>
          </w:tcPr>
          <w:p w14:paraId="73D920EA">
            <w:pPr>
              <w:pStyle w:val="33"/>
            </w:pPr>
            <w:r>
              <w:t>温度场序列、q(x,t)、TOF/衰减拟合与收敛历史</w:t>
            </w:r>
          </w:p>
        </w:tc>
      </w:tr>
    </w:tbl>
    <w:p w14:paraId="3BF826BB">
      <w:pPr>
        <w:pStyle w:val="6"/>
      </w:pPr>
      <w:bookmarkStart w:id="63" w:name="_Ref235899828"/>
      <w:r>
        <w:t>二维弯曲声线计算</w:t>
      </w:r>
      <w:bookmarkEnd w:id="63"/>
    </w:p>
    <w:p w14:paraId="39F2BB1C">
      <w:pPr>
        <w:ind w:firstLine="480" w:firstLineChars="200"/>
        <w:rPr>
          <w:lang w:bidi="ar"/>
        </w:rPr>
      </w:pPr>
      <w:r>
        <w:rPr>
          <w:lang w:bidi="ar"/>
        </w:rPr>
        <w:t>二维弯曲射线状态方程为：</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5CEF148F">
        <w:tblPrEx>
          <w:tblCellMar>
            <w:top w:w="0" w:type="dxa"/>
            <w:left w:w="108" w:type="dxa"/>
            <w:bottom w:w="0" w:type="dxa"/>
            <w:right w:w="108" w:type="dxa"/>
          </w:tblCellMar>
        </w:tblPrEx>
        <w:tc>
          <w:tcPr>
            <w:tcW w:w="4032" w:type="pct"/>
            <w:tcBorders>
              <w:top w:val="nil"/>
              <w:left w:val="nil"/>
              <w:bottom w:val="nil"/>
              <w:right w:val="nil"/>
            </w:tcBorders>
            <w:vAlign w:val="center"/>
          </w:tcPr>
          <w:p w14:paraId="3000FF95">
            <w:pPr>
              <w:jc w:val="center"/>
              <w:rPr>
                <w:rFonts w:hAnsi="Cambria Math"/>
                <w:szCs w:val="28"/>
              </w:rPr>
            </w:pPr>
            <m:oMathPara>
              <m:oMathParaPr>
                <m:jc m:val="center"/>
              </m:oMathParaPr>
              <m:oMath>
                <m:f>
                  <m:fPr>
                    <m:ctrlPr>
                      <w:rPr>
                        <w:rFonts w:ascii="Cambria Math" w:hAnsi="Cambria Math"/>
                        <w:szCs w:val="28"/>
                      </w:rPr>
                    </m:ctrlPr>
                  </m:fPr>
                  <m:num>
                    <m:r>
                      <m:rPr/>
                      <w:rPr>
                        <w:rFonts w:ascii="Cambria Math" w:hAnsi="Cambria Math"/>
                        <w:szCs w:val="28"/>
                      </w:rPr>
                      <m:t>dx</m:t>
                    </m:r>
                    <m:ctrlPr>
                      <w:rPr>
                        <w:rFonts w:ascii="Cambria Math" w:hAnsi="Cambria Math"/>
                        <w:szCs w:val="28"/>
                      </w:rPr>
                    </m:ctrlPr>
                  </m:num>
                  <m:den>
                    <m:r>
                      <m:rPr/>
                      <w:rPr>
                        <w:rFonts w:ascii="Cambria Math" w:hAnsi="Cambria Math"/>
                        <w:szCs w:val="28"/>
                      </w:rPr>
                      <m:t>ds</m:t>
                    </m:r>
                    <m:ctrlPr>
                      <w:rPr>
                        <w:rFonts w:ascii="Cambria Math" w:hAnsi="Cambria Math"/>
                        <w:szCs w:val="28"/>
                      </w:rPr>
                    </m:ctrlPr>
                  </m:den>
                </m:f>
                <m:r>
                  <m:rPr>
                    <m:sty m:val="p"/>
                  </m:rPr>
                  <w:rPr>
                    <w:rFonts w:ascii="Cambria Math" w:hAnsi="Cambria Math"/>
                    <w:szCs w:val="28"/>
                  </w:rPr>
                  <m:t>=cos</m:t>
                </m:r>
                <m:r>
                  <m:rPr/>
                  <w:rPr>
                    <w:rFonts w:ascii="Cambria Math" w:hAnsi="Cambria Math"/>
                    <w:szCs w:val="28"/>
                  </w:rPr>
                  <m:t>θ</m:t>
                </m:r>
                <m:r>
                  <m:rPr>
                    <m:sty m:val="p"/>
                  </m:rPr>
                  <w:rPr>
                    <w:rFonts w:ascii="Cambria Math" w:hAnsi="Cambria Math"/>
                    <w:szCs w:val="28"/>
                  </w:rPr>
                  <m:t>, </m:t>
                </m:r>
                <m:f>
                  <m:fPr>
                    <m:ctrlPr>
                      <w:rPr>
                        <w:rFonts w:ascii="Cambria Math" w:hAnsi="Cambria Math"/>
                        <w:szCs w:val="28"/>
                      </w:rPr>
                    </m:ctrlPr>
                  </m:fPr>
                  <m:num>
                    <m:r>
                      <m:rPr/>
                      <w:rPr>
                        <w:rFonts w:ascii="Cambria Math" w:hAnsi="Cambria Math"/>
                        <w:szCs w:val="28"/>
                      </w:rPr>
                      <m:t>dy</m:t>
                    </m:r>
                    <m:ctrlPr>
                      <w:rPr>
                        <w:rFonts w:ascii="Cambria Math" w:hAnsi="Cambria Math"/>
                        <w:szCs w:val="28"/>
                      </w:rPr>
                    </m:ctrlPr>
                  </m:num>
                  <m:den>
                    <m:r>
                      <m:rPr/>
                      <w:rPr>
                        <w:rFonts w:ascii="Cambria Math" w:hAnsi="Cambria Math"/>
                        <w:szCs w:val="28"/>
                      </w:rPr>
                      <m:t>ds</m:t>
                    </m:r>
                    <m:ctrlPr>
                      <w:rPr>
                        <w:rFonts w:ascii="Cambria Math" w:hAnsi="Cambria Math"/>
                        <w:szCs w:val="28"/>
                      </w:rPr>
                    </m:ctrlPr>
                  </m:den>
                </m:f>
                <m:r>
                  <m:rPr>
                    <m:sty m:val="p"/>
                  </m:rPr>
                  <w:rPr>
                    <w:rFonts w:ascii="Cambria Math" w:hAnsi="Cambria Math"/>
                    <w:szCs w:val="28"/>
                  </w:rPr>
                  <m:t>=sin</m:t>
                </m:r>
                <m:r>
                  <m:rPr/>
                  <w:rPr>
                    <w:rFonts w:ascii="Cambria Math" w:hAnsi="Cambria Math"/>
                    <w:szCs w:val="28"/>
                  </w:rPr>
                  <m:t>θ</m:t>
                </m:r>
                <m:r>
                  <m:rPr>
                    <m:sty m:val="p"/>
                  </m:rPr>
                  <w:rPr>
                    <w:rFonts w:ascii="Cambria Math" w:hAnsi="Cambria Math"/>
                    <w:szCs w:val="28"/>
                  </w:rPr>
                  <m:t>, </m:t>
                </m:r>
                <m:f>
                  <m:fPr>
                    <m:ctrlPr>
                      <w:rPr>
                        <w:rFonts w:ascii="Cambria Math" w:hAnsi="Cambria Math"/>
                        <w:szCs w:val="28"/>
                      </w:rPr>
                    </m:ctrlPr>
                  </m:fPr>
                  <m:num>
                    <m:r>
                      <m:rPr/>
                      <w:rPr>
                        <w:rFonts w:ascii="Cambria Math" w:hAnsi="Cambria Math"/>
                        <w:szCs w:val="28"/>
                      </w:rPr>
                      <m:t>dθ</m:t>
                    </m:r>
                    <m:ctrlPr>
                      <w:rPr>
                        <w:rFonts w:ascii="Cambria Math" w:hAnsi="Cambria Math"/>
                        <w:szCs w:val="28"/>
                      </w:rPr>
                    </m:ctrlPr>
                  </m:num>
                  <m:den>
                    <m:r>
                      <m:rPr/>
                      <w:rPr>
                        <w:rFonts w:ascii="Cambria Math" w:hAnsi="Cambria Math"/>
                        <w:szCs w:val="28"/>
                      </w:rPr>
                      <m:t>ds</m:t>
                    </m:r>
                    <m:ctrlPr>
                      <w:rPr>
                        <w:rFonts w:ascii="Cambria Math" w:hAnsi="Cambria Math"/>
                        <w:szCs w:val="28"/>
                      </w:rPr>
                    </m:ctrlPr>
                  </m:den>
                </m:f>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sin</m:t>
                    </m:r>
                    <m:r>
                      <m:rPr/>
                      <w:rPr>
                        <w:rFonts w:ascii="Cambria Math" w:hAnsi="Cambria Math"/>
                        <w:szCs w:val="28"/>
                      </w:rPr>
                      <m:t>θ</m:t>
                    </m:r>
                    <m:r>
                      <m:rPr>
                        <m:sty m:val="p"/>
                      </m:rPr>
                      <w:rPr>
                        <w:rFonts w:ascii="Cambria Math" w:hAnsi="Cambria Math"/>
                        <w:szCs w:val="28"/>
                      </w:rPr>
                      <m:t> </m:t>
                    </m:r>
                    <m:f>
                      <m:fPr>
                        <m:ctrlPr>
                          <w:rPr>
                            <w:rFonts w:ascii="Cambria Math" w:hAnsi="Cambria Math"/>
                            <w:szCs w:val="28"/>
                          </w:rPr>
                        </m:ctrlPr>
                      </m:fPr>
                      <m:num>
                        <m:r>
                          <m:rPr/>
                          <w:rPr>
                            <w:rFonts w:ascii="Cambria Math" w:hAnsi="Cambria Math"/>
                            <w:szCs w:val="28"/>
                          </w:rPr>
                          <m:t>dc</m:t>
                        </m:r>
                        <m:ctrlPr>
                          <w:rPr>
                            <w:rFonts w:ascii="Cambria Math" w:hAnsi="Cambria Math"/>
                            <w:szCs w:val="28"/>
                          </w:rPr>
                        </m:ctrlPr>
                      </m:num>
                      <m:den>
                        <m:r>
                          <m:rPr/>
                          <w:rPr>
                            <w:rFonts w:ascii="Cambria Math" w:hAnsi="Cambria Math"/>
                            <w:szCs w:val="28"/>
                          </w:rPr>
                          <m:t>dx</m:t>
                        </m:r>
                        <m:ctrlPr>
                          <w:rPr>
                            <w:rFonts w:ascii="Cambria Math" w:hAnsi="Cambria Math"/>
                            <w:szCs w:val="28"/>
                          </w:rPr>
                        </m:ctrlPr>
                      </m:den>
                    </m:f>
                    <m:r>
                      <m:rPr>
                        <m:sty m:val="p"/>
                      </m:rPr>
                      <w:rPr>
                        <w:rFonts w:ascii="Cambria Math" w:hAnsi="Cambria Math"/>
                        <w:szCs w:val="28"/>
                      </w:rPr>
                      <m:t>−cos</m:t>
                    </m:r>
                    <m:r>
                      <m:rPr/>
                      <w:rPr>
                        <w:rFonts w:ascii="Cambria Math" w:hAnsi="Cambria Math"/>
                        <w:szCs w:val="28"/>
                      </w:rPr>
                      <m:t>θ</m:t>
                    </m:r>
                    <m:r>
                      <m:rPr>
                        <m:sty m:val="p"/>
                      </m:rPr>
                      <w:rPr>
                        <w:rFonts w:ascii="Cambria Math" w:hAnsi="Cambria Math"/>
                        <w:szCs w:val="28"/>
                      </w:rPr>
                      <m:t> </m:t>
                    </m:r>
                    <m:f>
                      <m:fPr>
                        <m:ctrlPr>
                          <w:rPr>
                            <w:rFonts w:ascii="Cambria Math" w:hAnsi="Cambria Math"/>
                            <w:szCs w:val="28"/>
                          </w:rPr>
                        </m:ctrlPr>
                      </m:fPr>
                      <m:num>
                        <m:r>
                          <m:rPr/>
                          <w:rPr>
                            <w:rFonts w:ascii="Cambria Math" w:hAnsi="Cambria Math"/>
                            <w:szCs w:val="28"/>
                          </w:rPr>
                          <m:t>dc</m:t>
                        </m:r>
                        <m:ctrlPr>
                          <w:rPr>
                            <w:rFonts w:ascii="Cambria Math" w:hAnsi="Cambria Math"/>
                            <w:szCs w:val="28"/>
                          </w:rPr>
                        </m:ctrlPr>
                      </m:num>
                      <m:den>
                        <m:r>
                          <m:rPr/>
                          <w:rPr>
                            <w:rFonts w:ascii="Cambria Math" w:hAnsi="Cambria Math"/>
                            <w:szCs w:val="28"/>
                          </w:rPr>
                          <m:t>dy</m:t>
                        </m:r>
                        <m:ctrlPr>
                          <w:rPr>
                            <w:rFonts w:ascii="Cambria Math" w:hAnsi="Cambria Math"/>
                            <w:szCs w:val="28"/>
                          </w:rPr>
                        </m:ctrlPr>
                      </m:den>
                    </m:f>
                    <m:ctrlPr>
                      <w:rPr>
                        <w:rFonts w:ascii="Cambria Math" w:hAnsi="Cambria Math"/>
                        <w:szCs w:val="28"/>
                      </w:rPr>
                    </m:ctrlPr>
                  </m:num>
                  <m:den>
                    <m:r>
                      <m:rPr/>
                      <w:rPr>
                        <w:rFonts w:ascii="Cambria Math" w:hAnsi="Cambria Math"/>
                        <w:szCs w:val="28"/>
                      </w:rPr>
                      <m:t>c</m:t>
                    </m:r>
                    <m:ctrlPr>
                      <w:rPr>
                        <w:rFonts w:ascii="Cambria Math" w:hAnsi="Cambria Math"/>
                        <w:szCs w:val="28"/>
                      </w:rPr>
                    </m:ctrlPr>
                  </m:den>
                </m:f>
                <m:r>
                  <m:rPr>
                    <m:sty m:val="p"/>
                  </m:rPr>
                  <w:rPr>
                    <w:rFonts w:ascii="Cambria Math" w:hAnsi="Cambria Math"/>
                    <w:szCs w:val="28"/>
                  </w:rPr>
                  <m:t>, </m:t>
                </m:r>
                <m:f>
                  <m:fPr>
                    <m:ctrlPr>
                      <w:rPr>
                        <w:rFonts w:ascii="Cambria Math" w:hAnsi="Cambria Math"/>
                        <w:szCs w:val="28"/>
                      </w:rPr>
                    </m:ctrlPr>
                  </m:fPr>
                  <m:num>
                    <m:r>
                      <m:rPr/>
                      <w:rPr>
                        <w:rFonts w:ascii="Cambria Math" w:hAnsi="Cambria Math"/>
                        <w:szCs w:val="28"/>
                      </w:rPr>
                      <m:t>dt</m:t>
                    </m:r>
                    <m:ctrlPr>
                      <w:rPr>
                        <w:rFonts w:ascii="Cambria Math" w:hAnsi="Cambria Math"/>
                        <w:szCs w:val="28"/>
                      </w:rPr>
                    </m:ctrlPr>
                  </m:num>
                  <m:den>
                    <m:r>
                      <m:rPr/>
                      <w:rPr>
                        <w:rFonts w:ascii="Cambria Math" w:hAnsi="Cambria Math"/>
                        <w:szCs w:val="28"/>
                      </w:rPr>
                      <m:t>ds</m:t>
                    </m:r>
                    <m:ctrlPr>
                      <w:rPr>
                        <w:rFonts w:ascii="Cambria Math" w:hAnsi="Cambria Math"/>
                        <w:szCs w:val="28"/>
                      </w:rPr>
                    </m:ctrlPr>
                  </m:den>
                </m:f>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1</m:t>
                    </m:r>
                    <m:ctrlPr>
                      <w:rPr>
                        <w:rFonts w:ascii="Cambria Math" w:hAnsi="Cambria Math"/>
                        <w:szCs w:val="28"/>
                      </w:rPr>
                    </m:ctrlPr>
                  </m:num>
                  <m:den>
                    <m:r>
                      <m:rPr/>
                      <w:rPr>
                        <w:rFonts w:ascii="Cambria Math" w:hAnsi="Cambria Math"/>
                        <w:szCs w:val="28"/>
                      </w:rPr>
                      <m:t>c</m:t>
                    </m:r>
                    <m:ctrlPr>
                      <w:rPr>
                        <w:rFonts w:ascii="Cambria Math" w:hAnsi="Cambria Math"/>
                        <w:szCs w:val="28"/>
                      </w:rPr>
                    </m:ctrlPr>
                  </m:den>
                </m:f>
              </m:oMath>
            </m:oMathPara>
          </w:p>
        </w:tc>
        <w:tc>
          <w:tcPr>
            <w:tcW w:w="968" w:type="pct"/>
            <w:tcBorders>
              <w:top w:val="nil"/>
              <w:left w:val="nil"/>
              <w:bottom w:val="nil"/>
              <w:right w:val="nil"/>
            </w:tcBorders>
            <w:vAlign w:val="center"/>
          </w:tcPr>
          <w:p w14:paraId="3159CBE0">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12</w:t>
            </w:r>
            <w:r>
              <w:rPr>
                <w:rFonts w:hint="eastAsia"/>
              </w:rPr>
              <w:fldChar w:fldCharType="end"/>
            </w:r>
            <w:r>
              <w:t>)</w:t>
            </w:r>
          </w:p>
        </w:tc>
      </w:tr>
    </w:tbl>
    <w:p w14:paraId="5AF49707">
      <w:pPr>
        <w:jc w:val="center"/>
      </w:pPr>
      <w:r>
        <w:drawing>
          <wp:inline distT="0" distB="0" distL="0" distR="0">
            <wp:extent cx="3959860" cy="2258060"/>
            <wp:effectExtent l="0" t="0" r="0" b="0"/>
            <wp:docPr id="93555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57617" name="Picture 1"/>
                    <pic:cNvPicPr>
                      <a:picLocks noChangeAspect="1"/>
                    </pic:cNvPicPr>
                  </pic:nvPicPr>
                  <pic:blipFill>
                    <a:blip r:embed="rId38"/>
                    <a:stretch>
                      <a:fillRect/>
                    </a:stretch>
                  </pic:blipFill>
                  <pic:spPr>
                    <a:xfrm>
                      <a:off x="0" y="0"/>
                      <a:ext cx="3960000" cy="2258211"/>
                    </a:xfrm>
                    <a:prstGeom prst="rect">
                      <a:avLst/>
                    </a:prstGeom>
                  </pic:spPr>
                </pic:pic>
              </a:graphicData>
            </a:graphic>
          </wp:inline>
        </w:drawing>
      </w:r>
    </w:p>
    <w:p w14:paraId="7452C2A7">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26</w:t>
      </w:r>
      <w:r>
        <w:fldChar w:fldCharType="end"/>
      </w:r>
      <w:r>
        <w:t>路径弯曲示意图</w:t>
      </w:r>
    </w:p>
    <w:p w14:paraId="26027C14">
      <w:pPr>
        <w:ind w:firstLine="480" w:firstLineChars="200"/>
      </w:pPr>
      <w:r>
        <w:t>二维反演模式下，程序未采用固定垂直直线路径，而是根据当前温度场计算二维声速场，并利用声速在x、y方向的空间梯度不断修正射线传播角度。代码通过_ray_rhs()建立射线位置、角度和传播时间的变化关系，并由_rk4_step()使用四阶Runge-Kutta方法逐步追踪射线，直至射线到达试件底面。</w:t>
      </w:r>
    </w:p>
    <w:p w14:paraId="485EC509">
      <w:pPr>
        <w:ind w:firstLine="480" w:firstLineChars="200"/>
      </w:pPr>
      <w:r>
        <w:t>对每个探头，程序分别以−88°、−90°和−92度为初始角度计算候选路径，并从能够到达底面的路径中选取传播时间最短的一条，用其单程传播时间的两倍计算预测TOF。上述过程由calc_steady_tof_with_bent_rays()和trace_bent_ray_rk4()实现，并在二维模式下于每次正演计算中重新执行。因此，测试结果表明，二维温度场反演中已考虑温度引起的声速空间变化及超声传播路径弯曲效应。</w:t>
      </w:r>
    </w:p>
    <w:p w14:paraId="76B9C5D4">
      <w:pPr>
        <w:pStyle w:val="6"/>
      </w:pPr>
      <w:r>
        <w:t>BO+FD与PSO+CG组合优化方法</w:t>
      </w:r>
    </w:p>
    <w:p w14:paraId="4FE754DE">
      <w:pPr>
        <w:pStyle w:val="46"/>
        <w:numPr>
          <w:ilvl w:val="0"/>
          <w:numId w:val="3"/>
        </w:numPr>
      </w:pPr>
      <w:bookmarkStart w:id="64" w:name="_Ref235035266"/>
      <w:r>
        <w:t>BO+FD反演方法流程</w:t>
      </w:r>
      <w:bookmarkEnd w:id="64"/>
    </w:p>
    <w:p w14:paraId="78AFB66A">
      <w:pPr>
        <w:ind w:firstLine="480" w:firstLineChars="200"/>
        <w:rPr>
          <w:lang w:bidi="ar"/>
        </w:rPr>
      </w:pPr>
      <w:r>
        <w:rPr>
          <w:lang w:bidi="ar"/>
        </w:rPr>
        <w:t>BO+FD方法由贝叶斯优化初值搜索和有限差分梯度局部精修两个阶段组成。贝叶斯优化用于在热流参数空间内搜索较优初值，有限差分阶段则在该初值基础上计算目标函数梯度，并采用带投影的线搜索进一步降低目标函数。</w:t>
      </w:r>
    </w:p>
    <w:p w14:paraId="07F604AF">
      <w:pPr>
        <w:pStyle w:val="33"/>
        <w:jc w:val="both"/>
      </w:pPr>
      <w:r>
        <w:drawing>
          <wp:inline distT="0" distB="0" distL="0" distR="0">
            <wp:extent cx="5274310" cy="2968625"/>
            <wp:effectExtent l="0" t="0" r="0" b="0"/>
            <wp:docPr id="250851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51886" name="Picture 2"/>
                    <pic:cNvPicPr>
                      <a:picLocks noChangeAspect="1"/>
                    </pic:cNvPicPr>
                  </pic:nvPicPr>
                  <pic:blipFill>
                    <a:blip r:embed="rId39"/>
                    <a:stretch>
                      <a:fillRect/>
                    </a:stretch>
                  </pic:blipFill>
                  <pic:spPr>
                    <a:xfrm>
                      <a:off x="0" y="0"/>
                      <a:ext cx="5274310" cy="2969052"/>
                    </a:xfrm>
                    <a:prstGeom prst="rect">
                      <a:avLst/>
                    </a:prstGeom>
                  </pic:spPr>
                </pic:pic>
              </a:graphicData>
            </a:graphic>
          </wp:inline>
        </w:drawing>
      </w:r>
    </w:p>
    <w:p w14:paraId="041E70F0">
      <w:pPr>
        <w:pStyle w:val="33"/>
        <w:rPr>
          <w:lang w:bidi="ar"/>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27</w:t>
      </w:r>
      <w:r>
        <w:fldChar w:fldCharType="end"/>
      </w:r>
      <w:r>
        <w:rPr>
          <w:rFonts w:hint="eastAsia"/>
        </w:rPr>
        <w:t xml:space="preserve"> </w:t>
      </w:r>
      <w:r>
        <w:t>BO+FD反演流程图</w:t>
      </w:r>
    </w:p>
    <w:p w14:paraId="1EDF65FB">
      <w:pPr>
        <w:pStyle w:val="46"/>
        <w:numPr>
          <w:ilvl w:val="0"/>
          <w:numId w:val="4"/>
        </w:numPr>
        <w:rPr>
          <w:lang w:bidi="ar"/>
        </w:rPr>
      </w:pPr>
      <w:r>
        <w:rPr>
          <w:lang w:bidi="ar"/>
        </w:rPr>
        <w:t>贝叶斯优化初值搜索</w:t>
      </w:r>
    </w:p>
    <w:p w14:paraId="7B5809E6">
      <w:pPr>
        <w:ind w:firstLine="480" w:firstLineChars="200"/>
        <w:rPr>
          <w:lang w:bidi="ar"/>
        </w:rPr>
      </w:pPr>
      <w:r>
        <w:rPr>
          <w:lang w:bidi="ar"/>
        </w:rPr>
        <w:t>首先，将各热流控制参数由实际热流范围归一化到单位区间：</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3546C248">
        <w:tblPrEx>
          <w:tblCellMar>
            <w:top w:w="0" w:type="dxa"/>
            <w:left w:w="108" w:type="dxa"/>
            <w:bottom w:w="0" w:type="dxa"/>
            <w:right w:w="108" w:type="dxa"/>
          </w:tblCellMar>
        </w:tblPrEx>
        <w:tc>
          <w:tcPr>
            <w:tcW w:w="4032" w:type="pct"/>
            <w:tcBorders>
              <w:top w:val="nil"/>
              <w:left w:val="nil"/>
              <w:bottom w:val="nil"/>
              <w:right w:val="nil"/>
            </w:tcBorders>
            <w:vAlign w:val="center"/>
          </w:tcPr>
          <w:p w14:paraId="7B80B3D6">
            <w:pPr>
              <w:ind w:firstLine="420"/>
              <w:jc w:val="center"/>
              <w:rPr>
                <w:rFonts w:ascii="Calibri" w:hAnsi="Calibri" w:cs="Times New Roman"/>
                <w:lang w:bidi="ar"/>
              </w:rPr>
            </w:pPr>
            <m:oMathPara>
              <m:oMath>
                <m:sSub>
                  <m:sSubPr>
                    <m:ctrlPr>
                      <w:rPr>
                        <w:rFonts w:ascii="Cambria Math" w:hAnsi="Cambria Math" w:cs="Times New Roman"/>
                        <w:lang w:bidi="ar"/>
                      </w:rPr>
                    </m:ctrlPr>
                  </m:sSubPr>
                  <m:e>
                    <m:r>
                      <m:rPr>
                        <m:sty m:val="p"/>
                      </m:rPr>
                      <w:rPr>
                        <w:rFonts w:ascii="Cambria Math" w:hAnsi="Cambria Math" w:cs="Times New Roman"/>
                        <w:lang w:bidi="ar"/>
                      </w:rPr>
                      <m:t>u</m:t>
                    </m:r>
                    <m:ctrlPr>
                      <w:rPr>
                        <w:rFonts w:ascii="Cambria Math" w:hAnsi="Cambria Math" w:cs="Times New Roman"/>
                        <w:lang w:bidi="ar"/>
                      </w:rPr>
                    </m:ctrlPr>
                  </m:e>
                  <m:sub>
                    <m:r>
                      <m:rPr>
                        <m:sty m:val="p"/>
                      </m:rPr>
                      <w:rPr>
                        <w:rFonts w:ascii="Cambria Math" w:hAnsi="Cambria Math" w:cs="Times New Roman"/>
                        <w:lang w:bidi="ar"/>
                      </w:rPr>
                      <m:t>i</m:t>
                    </m:r>
                    <m:ctrlPr>
                      <w:rPr>
                        <w:rFonts w:ascii="Cambria Math" w:hAnsi="Cambria Math" w:cs="Times New Roman"/>
                        <w:lang w:bidi="ar"/>
                      </w:rPr>
                    </m:ctrlPr>
                  </m:sub>
                </m:sSub>
                <m:r>
                  <m:rPr>
                    <m:sty m:val="p"/>
                  </m:rPr>
                  <w:rPr>
                    <w:rFonts w:ascii="Cambria Math" w:hAnsi="Cambria Math" w:cs="Times New Roman"/>
                    <w:lang w:bidi="ar"/>
                  </w:rPr>
                  <m:t>=</m:t>
                </m:r>
                <m:f>
                  <m:fPr>
                    <m:ctrlPr>
                      <w:rPr>
                        <w:rFonts w:ascii="Cambria Math" w:hAnsi="Cambria Math" w:cs="Times New Roman"/>
                        <w:lang w:bidi="ar"/>
                      </w:rPr>
                    </m:ctrlPr>
                  </m:fPr>
                  <m:num>
                    <m:sSub>
                      <m:sSubPr>
                        <m:ctrlPr>
                          <w:rPr>
                            <w:rFonts w:ascii="Cambria Math" w:hAnsi="Cambria Math" w:cs="Times New Roman"/>
                            <w:lang w:bidi="ar"/>
                          </w:rPr>
                        </m:ctrlPr>
                      </m:sSubPr>
                      <m:e>
                        <m:r>
                          <m:rPr>
                            <m:sty m:val="p"/>
                          </m:rPr>
                          <w:rPr>
                            <w:rFonts w:ascii="Cambria Math" w:hAnsi="Cambria Math" w:cs="Times New Roman"/>
                            <w:lang w:bidi="ar"/>
                          </w:rPr>
                          <m:t>q</m:t>
                        </m:r>
                        <m:ctrlPr>
                          <w:rPr>
                            <w:rFonts w:ascii="Cambria Math" w:hAnsi="Cambria Math" w:cs="Times New Roman"/>
                            <w:lang w:bidi="ar"/>
                          </w:rPr>
                        </m:ctrlPr>
                      </m:e>
                      <m:sub>
                        <m:r>
                          <m:rPr>
                            <m:sty m:val="p"/>
                          </m:rPr>
                          <w:rPr>
                            <w:rFonts w:ascii="Cambria Math" w:hAnsi="Cambria Math" w:cs="Times New Roman"/>
                            <w:lang w:bidi="ar"/>
                          </w:rPr>
                          <m:t>i</m:t>
                        </m:r>
                        <m:ctrlPr>
                          <w:rPr>
                            <w:rFonts w:ascii="Cambria Math" w:hAnsi="Cambria Math" w:cs="Times New Roman"/>
                            <w:lang w:bidi="ar"/>
                          </w:rPr>
                        </m:ctrlPr>
                      </m:sub>
                    </m:sSub>
                    <m:r>
                      <m:rPr>
                        <m:sty m:val="p"/>
                      </m:rPr>
                      <w:rPr>
                        <w:rFonts w:ascii="Cambria Math" w:hAnsi="Cambria Math" w:cs="Times New Roman"/>
                        <w:lang w:bidi="ar"/>
                      </w:rPr>
                      <m:t>−</m:t>
                    </m:r>
                    <m:sSub>
                      <m:sSubPr>
                        <m:ctrlPr>
                          <w:rPr>
                            <w:rFonts w:ascii="Cambria Math" w:hAnsi="Cambria Math" w:cs="Times New Roman"/>
                            <w:lang w:bidi="ar"/>
                          </w:rPr>
                        </m:ctrlPr>
                      </m:sSubPr>
                      <m:e>
                        <m:r>
                          <m:rPr>
                            <m:sty m:val="p"/>
                          </m:rPr>
                          <w:rPr>
                            <w:rFonts w:ascii="Cambria Math" w:hAnsi="Cambria Math" w:cs="Times New Roman"/>
                            <w:lang w:bidi="ar"/>
                          </w:rPr>
                          <m:t>q</m:t>
                        </m:r>
                        <m:ctrlPr>
                          <w:rPr>
                            <w:rFonts w:ascii="Cambria Math" w:hAnsi="Cambria Math" w:cs="Times New Roman"/>
                            <w:lang w:bidi="ar"/>
                          </w:rPr>
                        </m:ctrlPr>
                      </m:e>
                      <m:sub>
                        <m:r>
                          <m:rPr>
                            <m:sty m:val="p"/>
                          </m:rPr>
                          <w:rPr>
                            <w:rFonts w:ascii="Cambria Math" w:hAnsi="Cambria Math" w:cs="Times New Roman"/>
                            <w:lang w:bidi="ar"/>
                          </w:rPr>
                          <m:t>min</m:t>
                        </m:r>
                        <m:ctrlPr>
                          <w:rPr>
                            <w:rFonts w:ascii="Cambria Math" w:hAnsi="Cambria Math" w:cs="Times New Roman"/>
                            <w:lang w:bidi="ar"/>
                          </w:rPr>
                        </m:ctrlPr>
                      </m:sub>
                    </m:sSub>
                    <m:ctrlPr>
                      <w:rPr>
                        <w:rFonts w:ascii="Cambria Math" w:hAnsi="Cambria Math" w:cs="Times New Roman"/>
                        <w:lang w:bidi="ar"/>
                      </w:rPr>
                    </m:ctrlPr>
                  </m:num>
                  <m:den>
                    <m:sSub>
                      <m:sSubPr>
                        <m:ctrlPr>
                          <w:rPr>
                            <w:rFonts w:ascii="Cambria Math" w:hAnsi="Cambria Math" w:cs="Times New Roman"/>
                            <w:lang w:bidi="ar"/>
                          </w:rPr>
                        </m:ctrlPr>
                      </m:sSubPr>
                      <m:e>
                        <m:r>
                          <m:rPr>
                            <m:sty m:val="p"/>
                          </m:rPr>
                          <w:rPr>
                            <w:rFonts w:ascii="Cambria Math" w:hAnsi="Cambria Math" w:cs="Times New Roman"/>
                            <w:lang w:bidi="ar"/>
                          </w:rPr>
                          <m:t>q</m:t>
                        </m:r>
                        <m:ctrlPr>
                          <w:rPr>
                            <w:rFonts w:ascii="Cambria Math" w:hAnsi="Cambria Math" w:cs="Times New Roman"/>
                            <w:lang w:bidi="ar"/>
                          </w:rPr>
                        </m:ctrlPr>
                      </m:e>
                      <m:sub>
                        <m:r>
                          <m:rPr>
                            <m:sty m:val="p"/>
                          </m:rPr>
                          <w:rPr>
                            <w:rFonts w:ascii="Cambria Math" w:hAnsi="Cambria Math" w:cs="Times New Roman"/>
                            <w:lang w:bidi="ar"/>
                          </w:rPr>
                          <m:t>max</m:t>
                        </m:r>
                        <m:ctrlPr>
                          <w:rPr>
                            <w:rFonts w:ascii="Cambria Math" w:hAnsi="Cambria Math" w:cs="Times New Roman"/>
                            <w:lang w:bidi="ar"/>
                          </w:rPr>
                        </m:ctrlPr>
                      </m:sub>
                    </m:sSub>
                    <m:r>
                      <m:rPr>
                        <m:sty m:val="p"/>
                      </m:rPr>
                      <w:rPr>
                        <w:rFonts w:ascii="Cambria Math" w:hAnsi="Cambria Math" w:cs="Times New Roman"/>
                        <w:lang w:bidi="ar"/>
                      </w:rPr>
                      <m:t>−</m:t>
                    </m:r>
                    <m:sSub>
                      <m:sSubPr>
                        <m:ctrlPr>
                          <w:rPr>
                            <w:rFonts w:ascii="Cambria Math" w:hAnsi="Cambria Math" w:cs="Times New Roman"/>
                            <w:lang w:bidi="ar"/>
                          </w:rPr>
                        </m:ctrlPr>
                      </m:sSubPr>
                      <m:e>
                        <m:r>
                          <m:rPr>
                            <m:sty m:val="p"/>
                          </m:rPr>
                          <w:rPr>
                            <w:rFonts w:ascii="Cambria Math" w:hAnsi="Cambria Math" w:cs="Times New Roman"/>
                            <w:lang w:bidi="ar"/>
                          </w:rPr>
                          <m:t>q</m:t>
                        </m:r>
                        <m:ctrlPr>
                          <w:rPr>
                            <w:rFonts w:ascii="Cambria Math" w:hAnsi="Cambria Math" w:cs="Times New Roman"/>
                            <w:lang w:bidi="ar"/>
                          </w:rPr>
                        </m:ctrlPr>
                      </m:e>
                      <m:sub>
                        <m:r>
                          <m:rPr>
                            <m:sty m:val="p"/>
                          </m:rPr>
                          <w:rPr>
                            <w:rFonts w:ascii="Cambria Math" w:hAnsi="Cambria Math" w:cs="Times New Roman"/>
                            <w:lang w:bidi="ar"/>
                          </w:rPr>
                          <m:t>min</m:t>
                        </m:r>
                        <m:ctrlPr>
                          <w:rPr>
                            <w:rFonts w:ascii="Cambria Math" w:hAnsi="Cambria Math" w:cs="Times New Roman"/>
                            <w:lang w:bidi="ar"/>
                          </w:rPr>
                        </m:ctrlPr>
                      </m:sub>
                    </m:sSub>
                    <m:ctrlPr>
                      <w:rPr>
                        <w:rFonts w:ascii="Cambria Math" w:hAnsi="Cambria Math" w:cs="Times New Roman"/>
                        <w:lang w:bidi="ar"/>
                      </w:rPr>
                    </m:ctrlPr>
                  </m:den>
                </m:f>
              </m:oMath>
            </m:oMathPara>
          </w:p>
        </w:tc>
        <w:tc>
          <w:tcPr>
            <w:tcW w:w="968" w:type="pct"/>
            <w:tcBorders>
              <w:top w:val="nil"/>
              <w:left w:val="nil"/>
              <w:bottom w:val="nil"/>
              <w:right w:val="nil"/>
            </w:tcBorders>
            <w:vAlign w:val="center"/>
          </w:tcPr>
          <w:p w14:paraId="13801F8B">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13</w:t>
            </w:r>
            <w:r>
              <w:rPr>
                <w:rFonts w:hint="eastAsia"/>
              </w:rPr>
              <w:fldChar w:fldCharType="end"/>
            </w:r>
            <w:r>
              <w:t>)</w:t>
            </w:r>
          </w:p>
        </w:tc>
      </w:tr>
      <w:tr w14:paraId="27C86305">
        <w:tblPrEx>
          <w:tblCellMar>
            <w:top w:w="0" w:type="dxa"/>
            <w:left w:w="108" w:type="dxa"/>
            <w:bottom w:w="0" w:type="dxa"/>
            <w:right w:w="108" w:type="dxa"/>
          </w:tblCellMar>
        </w:tblPrEx>
        <w:tc>
          <w:tcPr>
            <w:tcW w:w="4032" w:type="pct"/>
            <w:tcBorders>
              <w:top w:val="nil"/>
              <w:left w:val="nil"/>
              <w:bottom w:val="nil"/>
              <w:right w:val="nil"/>
            </w:tcBorders>
            <w:vAlign w:val="center"/>
          </w:tcPr>
          <w:p w14:paraId="76981321">
            <w:pPr>
              <w:ind w:firstLine="420"/>
              <w:jc w:val="center"/>
              <w:rPr>
                <w:rFonts w:ascii="Calibri" w:hAnsi="Calibri" w:cs="Times New Roman"/>
                <w:lang w:bidi="ar"/>
              </w:rPr>
            </w:pPr>
            <m:oMathPara>
              <m:oMath>
                <m:sSub>
                  <m:sSubPr>
                    <m:ctrlPr>
                      <w:rPr>
                        <w:rFonts w:ascii="Cambria Math" w:hAnsi="Cambria Math" w:cs="Times New Roman"/>
                        <w:lang w:bidi="ar"/>
                      </w:rPr>
                    </m:ctrlPr>
                  </m:sSubPr>
                  <m:e>
                    <m:r>
                      <m:rPr>
                        <m:sty m:val="p"/>
                      </m:rPr>
                      <w:rPr>
                        <w:rFonts w:ascii="Cambria Math" w:hAnsi="Cambria Math" w:cs="Times New Roman"/>
                        <w:lang w:bidi="ar"/>
                      </w:rPr>
                      <m:t>q</m:t>
                    </m:r>
                    <m:ctrlPr>
                      <w:rPr>
                        <w:rFonts w:ascii="Cambria Math" w:hAnsi="Cambria Math" w:cs="Times New Roman"/>
                        <w:lang w:bidi="ar"/>
                      </w:rPr>
                    </m:ctrlPr>
                  </m:e>
                  <m:sub>
                    <m:r>
                      <m:rPr>
                        <m:sty m:val="p"/>
                      </m:rPr>
                      <w:rPr>
                        <w:rFonts w:ascii="Cambria Math" w:hAnsi="Cambria Math" w:cs="Times New Roman"/>
                        <w:lang w:bidi="ar"/>
                      </w:rPr>
                      <m:t>i</m:t>
                    </m:r>
                    <m:ctrlPr>
                      <w:rPr>
                        <w:rFonts w:ascii="Cambria Math" w:hAnsi="Cambria Math" w:cs="Times New Roman"/>
                        <w:lang w:bidi="ar"/>
                      </w:rPr>
                    </m:ctrlPr>
                  </m:sub>
                </m:sSub>
                <m:r>
                  <m:rPr>
                    <m:sty m:val="p"/>
                  </m:rPr>
                  <w:rPr>
                    <w:rFonts w:ascii="Cambria Math" w:hAnsi="Cambria Math" w:cs="Times New Roman"/>
                    <w:lang w:bidi="ar"/>
                  </w:rPr>
                  <m:t>=</m:t>
                </m:r>
                <m:sSub>
                  <m:sSubPr>
                    <m:ctrlPr>
                      <w:rPr>
                        <w:rFonts w:ascii="Cambria Math" w:hAnsi="Cambria Math" w:cs="Times New Roman"/>
                        <w:lang w:bidi="ar"/>
                      </w:rPr>
                    </m:ctrlPr>
                  </m:sSubPr>
                  <m:e>
                    <m:r>
                      <m:rPr>
                        <m:sty m:val="p"/>
                      </m:rPr>
                      <w:rPr>
                        <w:rFonts w:ascii="Cambria Math" w:hAnsi="Cambria Math" w:cs="Times New Roman"/>
                        <w:lang w:bidi="ar"/>
                      </w:rPr>
                      <m:t>q</m:t>
                    </m:r>
                    <m:ctrlPr>
                      <w:rPr>
                        <w:rFonts w:ascii="Cambria Math" w:hAnsi="Cambria Math" w:cs="Times New Roman"/>
                        <w:lang w:bidi="ar"/>
                      </w:rPr>
                    </m:ctrlPr>
                  </m:e>
                  <m:sub>
                    <m:r>
                      <m:rPr>
                        <m:sty m:val="p"/>
                      </m:rPr>
                      <w:rPr>
                        <w:rFonts w:ascii="Cambria Math" w:hAnsi="Cambria Math" w:cs="Times New Roman"/>
                        <w:lang w:bidi="ar"/>
                      </w:rPr>
                      <m:t>min</m:t>
                    </m:r>
                    <m:ctrlPr>
                      <w:rPr>
                        <w:rFonts w:ascii="Cambria Math" w:hAnsi="Cambria Math" w:cs="Times New Roman"/>
                        <w:lang w:bidi="ar"/>
                      </w:rPr>
                    </m:ctrlPr>
                  </m:sub>
                </m:sSub>
                <m:r>
                  <m:rPr>
                    <m:sty m:val="p"/>
                  </m:rPr>
                  <w:rPr>
                    <w:rFonts w:ascii="Cambria Math" w:hAnsi="Cambria Math" w:cs="Times New Roman"/>
                    <w:lang w:bidi="ar"/>
                  </w:rPr>
                  <m:t>+</m:t>
                </m:r>
                <m:sSub>
                  <m:sSubPr>
                    <m:ctrlPr>
                      <w:rPr>
                        <w:rFonts w:ascii="Cambria Math" w:hAnsi="Cambria Math" w:cs="Times New Roman"/>
                        <w:lang w:bidi="ar"/>
                      </w:rPr>
                    </m:ctrlPr>
                  </m:sSubPr>
                  <m:e>
                    <m:r>
                      <m:rPr>
                        <m:sty m:val="p"/>
                      </m:rPr>
                      <w:rPr>
                        <w:rFonts w:ascii="Cambria Math" w:hAnsi="Cambria Math" w:cs="Times New Roman"/>
                        <w:lang w:bidi="ar"/>
                      </w:rPr>
                      <m:t>u</m:t>
                    </m:r>
                    <m:ctrlPr>
                      <w:rPr>
                        <w:rFonts w:ascii="Cambria Math" w:hAnsi="Cambria Math" w:cs="Times New Roman"/>
                        <w:lang w:bidi="ar"/>
                      </w:rPr>
                    </m:ctrlPr>
                  </m:e>
                  <m:sub>
                    <m:r>
                      <m:rPr>
                        <m:sty m:val="p"/>
                      </m:rPr>
                      <w:rPr>
                        <w:rFonts w:ascii="Cambria Math" w:hAnsi="Cambria Math" w:cs="Times New Roman"/>
                        <w:lang w:bidi="ar"/>
                      </w:rPr>
                      <m:t>i</m:t>
                    </m:r>
                    <m:ctrlPr>
                      <w:rPr>
                        <w:rFonts w:ascii="Cambria Math" w:hAnsi="Cambria Math" w:cs="Times New Roman"/>
                        <w:lang w:bidi="ar"/>
                      </w:rPr>
                    </m:ctrlPr>
                  </m:sub>
                </m:sSub>
                <m:d>
                  <m:dPr>
                    <m:ctrlPr>
                      <w:rPr>
                        <w:rFonts w:ascii="Cambria Math" w:hAnsi="Cambria Math" w:cs="Times New Roman"/>
                        <w:lang w:bidi="ar"/>
                      </w:rPr>
                    </m:ctrlPr>
                  </m:dPr>
                  <m:e>
                    <m:sSub>
                      <m:sSubPr>
                        <m:ctrlPr>
                          <w:rPr>
                            <w:rFonts w:ascii="Cambria Math" w:hAnsi="Cambria Math" w:cs="Times New Roman"/>
                            <w:lang w:bidi="ar"/>
                          </w:rPr>
                        </m:ctrlPr>
                      </m:sSubPr>
                      <m:e>
                        <m:r>
                          <m:rPr>
                            <m:sty m:val="p"/>
                          </m:rPr>
                          <w:rPr>
                            <w:rFonts w:ascii="Cambria Math" w:hAnsi="Cambria Math" w:cs="Times New Roman"/>
                            <w:lang w:bidi="ar"/>
                          </w:rPr>
                          <m:t>q</m:t>
                        </m:r>
                        <m:ctrlPr>
                          <w:rPr>
                            <w:rFonts w:ascii="Cambria Math" w:hAnsi="Cambria Math" w:cs="Times New Roman"/>
                            <w:lang w:bidi="ar"/>
                          </w:rPr>
                        </m:ctrlPr>
                      </m:e>
                      <m:sub>
                        <m:r>
                          <m:rPr>
                            <m:sty m:val="p"/>
                          </m:rPr>
                          <w:rPr>
                            <w:rFonts w:ascii="Cambria Math" w:hAnsi="Cambria Math" w:cs="Times New Roman"/>
                            <w:lang w:bidi="ar"/>
                          </w:rPr>
                          <m:t>max</m:t>
                        </m:r>
                        <m:ctrlPr>
                          <w:rPr>
                            <w:rFonts w:ascii="Cambria Math" w:hAnsi="Cambria Math" w:cs="Times New Roman"/>
                            <w:lang w:bidi="ar"/>
                          </w:rPr>
                        </m:ctrlPr>
                      </m:sub>
                    </m:sSub>
                    <m:r>
                      <m:rPr>
                        <m:sty m:val="p"/>
                      </m:rPr>
                      <w:rPr>
                        <w:rFonts w:ascii="Cambria Math" w:hAnsi="Cambria Math" w:cs="Times New Roman"/>
                        <w:lang w:bidi="ar"/>
                      </w:rPr>
                      <m:t>−</m:t>
                    </m:r>
                    <m:sSub>
                      <m:sSubPr>
                        <m:ctrlPr>
                          <w:rPr>
                            <w:rFonts w:ascii="Cambria Math" w:hAnsi="Cambria Math" w:cs="Times New Roman"/>
                            <w:lang w:bidi="ar"/>
                          </w:rPr>
                        </m:ctrlPr>
                      </m:sSubPr>
                      <m:e>
                        <m:r>
                          <m:rPr>
                            <m:sty m:val="p"/>
                          </m:rPr>
                          <w:rPr>
                            <w:rFonts w:ascii="Cambria Math" w:hAnsi="Cambria Math" w:cs="Times New Roman"/>
                            <w:lang w:bidi="ar"/>
                          </w:rPr>
                          <m:t>q</m:t>
                        </m:r>
                        <m:ctrlPr>
                          <w:rPr>
                            <w:rFonts w:ascii="Cambria Math" w:hAnsi="Cambria Math" w:cs="Times New Roman"/>
                            <w:lang w:bidi="ar"/>
                          </w:rPr>
                        </m:ctrlPr>
                      </m:e>
                      <m:sub>
                        <m:r>
                          <m:rPr>
                            <m:sty m:val="p"/>
                          </m:rPr>
                          <w:rPr>
                            <w:rFonts w:ascii="Cambria Math" w:hAnsi="Cambria Math" w:cs="Times New Roman"/>
                            <w:lang w:bidi="ar"/>
                          </w:rPr>
                          <m:t>min</m:t>
                        </m:r>
                        <m:ctrlPr>
                          <w:rPr>
                            <w:rFonts w:ascii="Cambria Math" w:hAnsi="Cambria Math" w:cs="Times New Roman"/>
                            <w:lang w:bidi="ar"/>
                          </w:rPr>
                        </m:ctrlPr>
                      </m:sub>
                    </m:sSub>
                    <m:ctrlPr>
                      <w:rPr>
                        <w:rFonts w:ascii="Cambria Math" w:hAnsi="Cambria Math" w:cs="Times New Roman"/>
                        <w:lang w:bidi="ar"/>
                      </w:rPr>
                    </m:ctrlPr>
                  </m:e>
                </m:d>
              </m:oMath>
            </m:oMathPara>
          </w:p>
        </w:tc>
        <w:tc>
          <w:tcPr>
            <w:tcW w:w="968" w:type="pct"/>
            <w:tcBorders>
              <w:top w:val="nil"/>
              <w:left w:val="nil"/>
              <w:bottom w:val="nil"/>
              <w:right w:val="nil"/>
            </w:tcBorders>
            <w:vAlign w:val="center"/>
          </w:tcPr>
          <w:p w14:paraId="4322C410">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14</w:t>
            </w:r>
            <w:r>
              <w:rPr>
                <w:rFonts w:hint="eastAsia"/>
              </w:rPr>
              <w:fldChar w:fldCharType="end"/>
            </w:r>
            <w:r>
              <w:t>)</w:t>
            </w:r>
          </w:p>
        </w:tc>
      </w:tr>
    </w:tbl>
    <w:p w14:paraId="4D8B7C0D">
      <w:pPr>
        <w:ind w:firstLine="480" w:firstLineChars="200"/>
        <w:rPr>
          <w:lang w:bidi="ar"/>
        </w:rPr>
      </w:pPr>
      <w:r>
        <w:rPr>
          <w:lang w:bidi="ar"/>
        </w:rPr>
        <w:t>默认情况下，贝叶斯优化首先完成20次初始评价。随后进行80轮采集函数搜索。每轮搜索同时生成全局随机候选点、低热流偏置候选点、当前最优点附近候选点以及多个优良样本附近的局部候选点，并删除与已有样本过近的重复候选点。</w:t>
      </w:r>
    </w:p>
    <w:p w14:paraId="7B22D244">
      <w:pPr>
        <w:ind w:firstLine="480" w:firstLineChars="200"/>
        <w:rPr>
          <w:lang w:bidi="ar"/>
        </w:rPr>
      </w:pPr>
      <w:r>
        <w:rPr>
          <w:lang w:bidi="ar"/>
        </w:rPr>
        <w:t>每个候选热流参数都需调用完整的热传导与超声传播正演模型计算目标函数。若正演过程中出现温度越界、热学求解不收敛、材料物性非正、声速非正、射线未到达底部或目标函数为非有限值等情况，则该候选点返回惩罚目标函数并记录异常原因。贝叶斯优化结束后，从全部有效正演结果中选取原始目标函数最小的热流参数，作为有限差分局部精修阶段的初值。</w:t>
      </w:r>
    </w:p>
    <w:p w14:paraId="01E968DA">
      <w:pPr>
        <w:pStyle w:val="46"/>
        <w:numPr>
          <w:ilvl w:val="0"/>
          <w:numId w:val="4"/>
        </w:numPr>
        <w:rPr>
          <w:lang w:bidi="ar"/>
        </w:rPr>
      </w:pPr>
      <w:r>
        <w:rPr>
          <w:lang w:bidi="ar"/>
        </w:rPr>
        <w:t>有限差分梯度局部精修</w:t>
      </w:r>
    </w:p>
    <w:p w14:paraId="72682745">
      <w:pPr>
        <w:ind w:firstLine="480" w:firstLineChars="200"/>
        <w:rPr>
          <w:lang w:bidi="ar"/>
        </w:rPr>
      </w:pPr>
      <w:r>
        <w:rPr>
          <w:lang w:bidi="ar"/>
        </w:rPr>
        <w:t>有限差分阶段首先在当前热流参数处重新计算基础目标函数，然后分别扰动每一个热流控制参数以估算目标函数梯度。第</w:t>
      </w:r>
      <m:oMath>
        <m:r>
          <m:rPr>
            <m:sty m:val="p"/>
          </m:rPr>
          <w:rPr>
            <w:rFonts w:ascii="Cambria Math" w:hAnsi="Cambria Math"/>
            <w:lang w:bidi="ar"/>
          </w:rPr>
          <m:t>i</m:t>
        </m:r>
      </m:oMath>
      <w:r>
        <w:rPr>
          <w:lang w:bidi="ar"/>
        </w:rPr>
        <w:t>个热流参数的基础扰动步长为</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7E0836BF">
        <w:tblPrEx>
          <w:tblCellMar>
            <w:top w:w="0" w:type="dxa"/>
            <w:left w:w="108" w:type="dxa"/>
            <w:bottom w:w="0" w:type="dxa"/>
            <w:right w:w="108" w:type="dxa"/>
          </w:tblCellMar>
        </w:tblPrEx>
        <w:tc>
          <w:tcPr>
            <w:tcW w:w="4032" w:type="pct"/>
            <w:tcBorders>
              <w:top w:val="nil"/>
              <w:left w:val="nil"/>
              <w:bottom w:val="nil"/>
              <w:right w:val="nil"/>
            </w:tcBorders>
            <w:vAlign w:val="center"/>
          </w:tcPr>
          <w:p w14:paraId="20B76520">
            <w:pPr>
              <w:jc w:val="center"/>
              <w:rPr>
                <w:lang w:bidi="ar"/>
              </w:rPr>
            </w:pPr>
            <m:oMathPara>
              <m:oMath>
                <m:sSub>
                  <m:sSubPr>
                    <m:ctrlPr>
                      <w:rPr>
                        <w:rFonts w:ascii="Cambria Math" w:hAnsi="Cambria Math"/>
                        <w:lang w:bidi="ar"/>
                      </w:rPr>
                    </m:ctrlPr>
                  </m:sSubPr>
                  <m:e>
                    <m:r>
                      <m:rPr>
                        <m:sty m:val="p"/>
                      </m:rPr>
                      <w:rPr>
                        <w:rFonts w:ascii="Cambria Math" w:hAnsi="Cambria Math"/>
                        <w:lang w:bidi="ar"/>
                      </w:rPr>
                      <m:t>δ</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r>
                  <m:rPr>
                    <m:sty m:val="p"/>
                  </m:rPr>
                  <w:rPr>
                    <w:rFonts w:ascii="Cambria Math" w:hAnsi="Cambria Math"/>
                    <w:lang w:bidi="ar"/>
                  </w:rPr>
                  <m:t>=max</m:t>
                </m:r>
                <m:d>
                  <m:dPr>
                    <m:ctrlPr>
                      <w:rPr>
                        <w:rFonts w:ascii="Cambria Math" w:hAnsi="Cambria Math"/>
                        <w:lang w:bidi="ar"/>
                      </w:rPr>
                    </m:ctrlPr>
                  </m:dPr>
                  <m:e>
                    <m:sSup>
                      <m:sSupPr>
                        <m:ctrlPr>
                          <w:rPr>
                            <w:rFonts w:ascii="Cambria Math" w:hAnsi="Cambria Math"/>
                            <w:lang w:bidi="ar"/>
                          </w:rPr>
                        </m:ctrlPr>
                      </m:sSupPr>
                      <m:e>
                        <m:r>
                          <m:rPr>
                            <m:sty m:val="p"/>
                          </m:rPr>
                          <w:rPr>
                            <w:rFonts w:ascii="Cambria Math" w:hAnsi="Cambria Math"/>
                            <w:lang w:bidi="ar"/>
                          </w:rPr>
                          <m:t>10</m:t>
                        </m:r>
                        <m:ctrlPr>
                          <w:rPr>
                            <w:rFonts w:ascii="Cambria Math" w:hAnsi="Cambria Math"/>
                            <w:lang w:bidi="ar"/>
                          </w:rPr>
                        </m:ctrlPr>
                      </m:e>
                      <m:sup>
                        <m:r>
                          <m:rPr>
                            <m:sty m:val="p"/>
                          </m:rPr>
                          <w:rPr>
                            <w:rFonts w:ascii="Cambria Math" w:hAnsi="Cambria Math"/>
                            <w:lang w:bidi="ar"/>
                          </w:rPr>
                          <m:t>−3</m:t>
                        </m:r>
                        <m:ctrlPr>
                          <w:rPr>
                            <w:rFonts w:ascii="Cambria Math" w:hAnsi="Cambria Math"/>
                            <w:lang w:bidi="ar"/>
                          </w:rPr>
                        </m:ctrlPr>
                      </m:sup>
                    </m:sSup>
                    <m:d>
                      <m:dPr>
                        <m:begChr m:val="|"/>
                        <m:endChr m:val="|"/>
                        <m:ctrlPr>
                          <w:rPr>
                            <w:rFonts w:ascii="Cambria Math" w:hAnsi="Cambria Math"/>
                            <w:lang w:bidi="ar"/>
                          </w:rPr>
                        </m:ctrlPr>
                      </m:dPr>
                      <m:e>
                        <m:sSub>
                          <m:sSubPr>
                            <m:ctrlPr>
                              <w:rPr>
                                <w:rFonts w:ascii="Cambria Math" w:hAnsi="Cambria Math"/>
                                <w:lang w:bidi="ar"/>
                              </w:rPr>
                            </m:ctrlPr>
                          </m:sSubPr>
                          <m:e>
                            <m:r>
                              <m:rPr>
                                <m:sty m:val="p"/>
                              </m:rPr>
                              <w:rPr>
                                <w:rFonts w:ascii="Cambria Math" w:hAnsi="Cambria Math"/>
                                <w:lang w:bidi="ar"/>
                              </w:rPr>
                              <m:t>q</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ctrlPr>
                          <w:rPr>
                            <w:rFonts w:ascii="Cambria Math" w:hAnsi="Cambria Math"/>
                            <w:lang w:bidi="ar"/>
                          </w:rPr>
                        </m:ctrlPr>
                      </m:e>
                    </m:d>
                    <m:r>
                      <m:rPr>
                        <m:sty m:val="p"/>
                      </m:rPr>
                      <w:rPr>
                        <w:rFonts w:ascii="Cambria Math" w:hAnsi="Cambria Math"/>
                        <w:lang w:bidi="ar"/>
                      </w:rPr>
                      <m:t>, 100 W/</m:t>
                    </m:r>
                    <m:sSup>
                      <m:sSupPr>
                        <m:ctrlPr>
                          <w:rPr>
                            <w:rFonts w:ascii="Cambria Math" w:hAnsi="Cambria Math"/>
                            <w:lang w:bidi="ar"/>
                          </w:rPr>
                        </m:ctrlPr>
                      </m:sSupPr>
                      <m:e>
                        <m:r>
                          <m:rPr>
                            <m:sty m:val="p"/>
                          </m:rPr>
                          <w:rPr>
                            <w:rFonts w:ascii="Cambria Math" w:hAnsi="Cambria Math"/>
                            <w:lang w:bidi="ar"/>
                          </w:rPr>
                          <m:t>m</m:t>
                        </m:r>
                        <m:ctrlPr>
                          <w:rPr>
                            <w:rFonts w:ascii="Cambria Math" w:hAnsi="Cambria Math"/>
                            <w:lang w:bidi="ar"/>
                          </w:rPr>
                        </m:ctrlPr>
                      </m:e>
                      <m:sup>
                        <m:r>
                          <m:rPr>
                            <m:sty m:val="p"/>
                          </m:rPr>
                          <w:rPr>
                            <w:rFonts w:ascii="Cambria Math" w:hAnsi="Cambria Math"/>
                            <w:lang w:bidi="ar"/>
                          </w:rPr>
                          <m:t>2</m:t>
                        </m:r>
                        <m:ctrlPr>
                          <w:rPr>
                            <w:rFonts w:ascii="Cambria Math" w:hAnsi="Cambria Math"/>
                            <w:lang w:bidi="ar"/>
                          </w:rPr>
                        </m:ctrlPr>
                      </m:sup>
                    </m:sSup>
                    <m:ctrlPr>
                      <w:rPr>
                        <w:rFonts w:ascii="Cambria Math" w:hAnsi="Cambria Math"/>
                        <w:lang w:bidi="ar"/>
                      </w:rPr>
                    </m:ctrlPr>
                  </m:e>
                </m:d>
              </m:oMath>
            </m:oMathPara>
          </w:p>
        </w:tc>
        <w:tc>
          <w:tcPr>
            <w:tcW w:w="968" w:type="pct"/>
            <w:tcBorders>
              <w:top w:val="nil"/>
              <w:left w:val="nil"/>
              <w:bottom w:val="nil"/>
              <w:right w:val="nil"/>
            </w:tcBorders>
            <w:vAlign w:val="center"/>
          </w:tcPr>
          <w:p w14:paraId="36AF4C20">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15</w:t>
            </w:r>
            <w:r>
              <w:rPr>
                <w:rFonts w:hint="eastAsia"/>
              </w:rPr>
              <w:fldChar w:fldCharType="end"/>
            </w:r>
            <w:r>
              <w:t>)</w:t>
            </w:r>
          </w:p>
        </w:tc>
      </w:tr>
    </w:tbl>
    <w:p w14:paraId="1C293666">
      <w:pPr>
        <w:ind w:firstLine="480" w:firstLineChars="200"/>
        <w:rPr>
          <w:lang w:bidi="ar"/>
        </w:rPr>
      </w:pPr>
      <w:r>
        <w:rPr>
          <w:lang w:bidi="ar"/>
        </w:rPr>
        <w:t>当</w:t>
      </w:r>
      <m:oMath>
        <m:sSub>
          <m:sSubPr>
            <m:ctrlPr>
              <w:rPr>
                <w:rFonts w:ascii="Cambria Math" w:hAnsi="Cambria Math"/>
                <w:lang w:bidi="ar"/>
              </w:rPr>
            </m:ctrlPr>
          </m:sSubPr>
          <m:e>
            <m:r>
              <m:rPr>
                <m:sty m:val="p"/>
              </m:rPr>
              <w:rPr>
                <w:rFonts w:ascii="Cambria Math" w:hAnsi="Cambria Math"/>
                <w:lang w:bidi="ar"/>
              </w:rPr>
              <m:t>q</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r>
          <m:rPr>
            <m:sty m:val="p"/>
          </m:rPr>
          <w:rPr>
            <w:rFonts w:ascii="Cambria Math" w:hAnsi="Cambria Math"/>
            <w:lang w:bidi="ar"/>
          </w:rPr>
          <m:t>+</m:t>
        </m:r>
        <m:sSub>
          <m:sSubPr>
            <m:ctrlPr>
              <w:rPr>
                <w:rFonts w:ascii="Cambria Math" w:hAnsi="Cambria Math"/>
                <w:lang w:bidi="ar"/>
              </w:rPr>
            </m:ctrlPr>
          </m:sSubPr>
          <m:e>
            <m:r>
              <m:rPr>
                <m:sty m:val="p"/>
              </m:rPr>
              <w:rPr>
                <w:rFonts w:ascii="Cambria Math" w:hAnsi="Cambria Math"/>
                <w:lang w:bidi="ar"/>
              </w:rPr>
              <m:t>δ</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oMath>
      <w:r>
        <w:rPr>
          <w:lang w:bidi="ar"/>
        </w:rPr>
        <w:t>不超过热流上界时，采用前向有限差分：</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2436BE20">
        <w:tblPrEx>
          <w:tblCellMar>
            <w:top w:w="0" w:type="dxa"/>
            <w:left w:w="108" w:type="dxa"/>
            <w:bottom w:w="0" w:type="dxa"/>
            <w:right w:w="108" w:type="dxa"/>
          </w:tblCellMar>
        </w:tblPrEx>
        <w:tc>
          <w:tcPr>
            <w:tcW w:w="4032" w:type="pct"/>
            <w:tcBorders>
              <w:top w:val="nil"/>
              <w:left w:val="nil"/>
              <w:bottom w:val="nil"/>
              <w:right w:val="nil"/>
            </w:tcBorders>
            <w:vAlign w:val="center"/>
          </w:tcPr>
          <w:p w14:paraId="7418A804">
            <w:pPr>
              <w:rPr>
                <w:i/>
                <w:lang w:bidi="ar"/>
              </w:rPr>
            </w:pPr>
            <m:oMathPara>
              <m:oMath>
                <m:sSub>
                  <m:sSubPr>
                    <m:ctrlPr>
                      <w:rPr>
                        <w:rFonts w:ascii="Cambria Math" w:hAnsi="Cambria Math"/>
                        <w:lang w:bidi="ar"/>
                      </w:rPr>
                    </m:ctrlPr>
                  </m:sSubPr>
                  <m:e>
                    <m:r>
                      <m:rPr>
                        <m:sty m:val="p"/>
                      </m:rPr>
                      <w:rPr>
                        <w:rFonts w:ascii="Cambria Math" w:hAnsi="Cambria Math"/>
                        <w:lang w:bidi="ar"/>
                      </w:rPr>
                      <m:t>g</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r>
                  <m:rPr>
                    <m:sty m:val="p"/>
                  </m:rPr>
                  <w:rPr>
                    <w:rFonts w:ascii="Cambria Math" w:hAnsi="Cambria Math"/>
                    <w:lang w:bidi="ar"/>
                  </w:rPr>
                  <m:t>≈</m:t>
                </m:r>
                <m:f>
                  <m:fPr>
                    <m:ctrlPr>
                      <w:rPr>
                        <w:rFonts w:ascii="Cambria Math" w:hAnsi="Cambria Math"/>
                        <w:lang w:bidi="ar"/>
                      </w:rPr>
                    </m:ctrlPr>
                  </m:fPr>
                  <m:num>
                    <m:r>
                      <m:rPr>
                        <m:sty m:val="p"/>
                      </m:rPr>
                      <w:rPr>
                        <w:rFonts w:ascii="Cambria Math" w:hAnsi="Cambria Math"/>
                        <w:lang w:bidi="ar"/>
                      </w:rPr>
                      <m:t>J</m:t>
                    </m:r>
                    <m:d>
                      <m:dPr>
                        <m:ctrlPr>
                          <w:rPr>
                            <w:rFonts w:ascii="Cambria Math" w:hAnsi="Cambria Math"/>
                            <w:lang w:bidi="ar"/>
                          </w:rPr>
                        </m:ctrlPr>
                      </m:dPr>
                      <m:e>
                        <m:r>
                          <m:rPr>
                            <m:sty m:val="p"/>
                          </m:rPr>
                          <w:rPr>
                            <w:rFonts w:ascii="Cambria Math" w:hAnsi="Cambria Math"/>
                            <w:lang w:bidi="ar"/>
                          </w:rPr>
                          <m:t>q+</m:t>
                        </m:r>
                        <m:sSub>
                          <m:sSubPr>
                            <m:ctrlPr>
                              <w:rPr>
                                <w:rFonts w:ascii="Cambria Math" w:hAnsi="Cambria Math"/>
                                <w:lang w:bidi="ar"/>
                              </w:rPr>
                            </m:ctrlPr>
                          </m:sSubPr>
                          <m:e>
                            <m:r>
                              <m:rPr>
                                <m:sty m:val="p"/>
                              </m:rPr>
                              <w:rPr>
                                <w:rFonts w:ascii="Cambria Math" w:hAnsi="Cambria Math"/>
                                <w:lang w:bidi="ar"/>
                              </w:rPr>
                              <m:t>δ</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sSub>
                          <m:sSubPr>
                            <m:ctrlPr>
                              <w:rPr>
                                <w:rFonts w:ascii="Cambria Math" w:hAnsi="Cambria Math"/>
                                <w:lang w:bidi="ar"/>
                              </w:rPr>
                            </m:ctrlPr>
                          </m:sSubPr>
                          <m:e>
                            <m:r>
                              <m:rPr>
                                <m:sty m:val="p"/>
                              </m:rPr>
                              <w:rPr>
                                <w:rFonts w:ascii="Cambria Math" w:hAnsi="Cambria Math"/>
                                <w:lang w:bidi="ar"/>
                              </w:rPr>
                              <m:t>e</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ctrlPr>
                          <w:rPr>
                            <w:rFonts w:ascii="Cambria Math" w:hAnsi="Cambria Math"/>
                            <w:lang w:bidi="ar"/>
                          </w:rPr>
                        </m:ctrlPr>
                      </m:e>
                    </m:d>
                    <m:r>
                      <m:rPr>
                        <m:sty m:val="p"/>
                      </m:rPr>
                      <w:rPr>
                        <w:rFonts w:ascii="Cambria Math" w:hAnsi="Cambria Math"/>
                        <w:lang w:bidi="ar"/>
                      </w:rPr>
                      <m:t>−J</m:t>
                    </m:r>
                    <m:d>
                      <m:dPr>
                        <m:ctrlPr>
                          <w:rPr>
                            <w:rFonts w:ascii="Cambria Math" w:hAnsi="Cambria Math"/>
                            <w:lang w:bidi="ar"/>
                          </w:rPr>
                        </m:ctrlPr>
                      </m:dPr>
                      <m:e>
                        <m:r>
                          <m:rPr>
                            <m:sty m:val="p"/>
                          </m:rPr>
                          <w:rPr>
                            <w:rFonts w:ascii="Cambria Math" w:hAnsi="Cambria Math"/>
                            <w:lang w:bidi="ar"/>
                          </w:rPr>
                          <m:t>q</m:t>
                        </m:r>
                        <m:ctrlPr>
                          <w:rPr>
                            <w:rFonts w:ascii="Cambria Math" w:hAnsi="Cambria Math"/>
                            <w:lang w:bidi="ar"/>
                          </w:rPr>
                        </m:ctrlPr>
                      </m:e>
                    </m:d>
                    <m:ctrlPr>
                      <w:rPr>
                        <w:rFonts w:ascii="Cambria Math" w:hAnsi="Cambria Math"/>
                        <w:lang w:bidi="ar"/>
                      </w:rPr>
                    </m:ctrlPr>
                  </m:num>
                  <m:den>
                    <m:sSub>
                      <m:sSubPr>
                        <m:ctrlPr>
                          <w:rPr>
                            <w:rFonts w:ascii="Cambria Math" w:hAnsi="Cambria Math"/>
                            <w:lang w:bidi="ar"/>
                          </w:rPr>
                        </m:ctrlPr>
                      </m:sSubPr>
                      <m:e>
                        <m:r>
                          <m:rPr>
                            <m:sty m:val="p"/>
                          </m:rPr>
                          <w:rPr>
                            <w:rFonts w:ascii="Cambria Math" w:hAnsi="Cambria Math"/>
                            <w:lang w:bidi="ar"/>
                          </w:rPr>
                          <m:t>δ</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ctrlPr>
                      <w:rPr>
                        <w:rFonts w:ascii="Cambria Math" w:hAnsi="Cambria Math"/>
                        <w:lang w:bidi="ar"/>
                      </w:rPr>
                    </m:ctrlPr>
                  </m:den>
                </m:f>
              </m:oMath>
            </m:oMathPara>
          </w:p>
        </w:tc>
        <w:tc>
          <w:tcPr>
            <w:tcW w:w="968" w:type="pct"/>
            <w:tcBorders>
              <w:top w:val="nil"/>
              <w:left w:val="nil"/>
              <w:bottom w:val="nil"/>
              <w:right w:val="nil"/>
            </w:tcBorders>
            <w:vAlign w:val="center"/>
          </w:tcPr>
          <w:p w14:paraId="70F28DCC">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16</w:t>
            </w:r>
            <w:r>
              <w:rPr>
                <w:rFonts w:hint="eastAsia"/>
              </w:rPr>
              <w:fldChar w:fldCharType="end"/>
            </w:r>
            <w:r>
              <w:t>)</w:t>
            </w:r>
          </w:p>
        </w:tc>
      </w:tr>
    </w:tbl>
    <w:p w14:paraId="6328A492">
      <w:pPr>
        <w:ind w:firstLine="480" w:firstLineChars="200"/>
        <w:rPr>
          <w:lang w:bidi="ar"/>
        </w:rPr>
      </w:pPr>
      <w:r>
        <w:rPr>
          <w:lang w:bidi="ar"/>
        </w:rPr>
        <w:t>当参数接近热流上界、无法进行完整的向上扰动时，改用后向有限差分</w:t>
      </w:r>
      <w:r>
        <w:rPr>
          <w:rFonts w:hint="eastAsia"/>
          <w:lang w:bidi="ar"/>
        </w:rPr>
        <w:t>：</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4395BA45">
        <w:tblPrEx>
          <w:tblCellMar>
            <w:top w:w="0" w:type="dxa"/>
            <w:left w:w="108" w:type="dxa"/>
            <w:bottom w:w="0" w:type="dxa"/>
            <w:right w:w="108" w:type="dxa"/>
          </w:tblCellMar>
        </w:tblPrEx>
        <w:tc>
          <w:tcPr>
            <w:tcW w:w="4032" w:type="pct"/>
            <w:tcBorders>
              <w:top w:val="nil"/>
              <w:left w:val="nil"/>
              <w:bottom w:val="nil"/>
              <w:right w:val="nil"/>
            </w:tcBorders>
            <w:vAlign w:val="center"/>
          </w:tcPr>
          <w:p w14:paraId="293E51CD">
            <w:pPr>
              <w:rPr>
                <w:i/>
                <w:lang w:bidi="ar"/>
              </w:rPr>
            </w:pPr>
            <m:oMathPara>
              <m:oMath>
                <m:sSub>
                  <m:sSubPr>
                    <m:ctrlPr>
                      <w:rPr>
                        <w:rFonts w:ascii="Cambria Math" w:hAnsi="Cambria Math"/>
                        <w:lang w:bidi="ar"/>
                      </w:rPr>
                    </m:ctrlPr>
                  </m:sSubPr>
                  <m:e>
                    <m:r>
                      <m:rPr>
                        <m:sty m:val="p"/>
                      </m:rPr>
                      <w:rPr>
                        <w:rFonts w:ascii="Cambria Math" w:hAnsi="Cambria Math"/>
                        <w:lang w:bidi="ar"/>
                      </w:rPr>
                      <m:t>g</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r>
                  <m:rPr>
                    <m:sty m:val="p"/>
                  </m:rPr>
                  <w:rPr>
                    <w:rFonts w:ascii="Cambria Math" w:hAnsi="Cambria Math"/>
                    <w:lang w:bidi="ar"/>
                  </w:rPr>
                  <m:t>≈</m:t>
                </m:r>
                <m:f>
                  <m:fPr>
                    <m:ctrlPr>
                      <w:rPr>
                        <w:rFonts w:ascii="Cambria Math" w:hAnsi="Cambria Math"/>
                        <w:lang w:bidi="ar"/>
                      </w:rPr>
                    </m:ctrlPr>
                  </m:fPr>
                  <m:num>
                    <m:r>
                      <m:rPr>
                        <m:sty m:val="p"/>
                      </m:rPr>
                      <w:rPr>
                        <w:rFonts w:ascii="Cambria Math" w:hAnsi="Cambria Math"/>
                        <w:lang w:bidi="ar"/>
                      </w:rPr>
                      <m:t>J</m:t>
                    </m:r>
                    <m:d>
                      <m:dPr>
                        <m:ctrlPr>
                          <w:rPr>
                            <w:rFonts w:ascii="Cambria Math" w:hAnsi="Cambria Math"/>
                            <w:lang w:bidi="ar"/>
                          </w:rPr>
                        </m:ctrlPr>
                      </m:dPr>
                      <m:e>
                        <m:r>
                          <m:rPr>
                            <m:sty m:val="p"/>
                          </m:rPr>
                          <w:rPr>
                            <w:rFonts w:ascii="Cambria Math" w:hAnsi="Cambria Math"/>
                            <w:lang w:bidi="ar"/>
                          </w:rPr>
                          <m:t>q</m:t>
                        </m:r>
                        <m:ctrlPr>
                          <w:rPr>
                            <w:rFonts w:ascii="Cambria Math" w:hAnsi="Cambria Math"/>
                            <w:lang w:bidi="ar"/>
                          </w:rPr>
                        </m:ctrlPr>
                      </m:e>
                    </m:d>
                    <m:r>
                      <m:rPr>
                        <m:sty m:val="p"/>
                      </m:rPr>
                      <w:rPr>
                        <w:rFonts w:ascii="Cambria Math" w:hAnsi="Cambria Math"/>
                        <w:lang w:bidi="ar"/>
                      </w:rPr>
                      <m:t>−J</m:t>
                    </m:r>
                    <m:d>
                      <m:dPr>
                        <m:ctrlPr>
                          <w:rPr>
                            <w:rFonts w:ascii="Cambria Math" w:hAnsi="Cambria Math"/>
                            <w:lang w:bidi="ar"/>
                          </w:rPr>
                        </m:ctrlPr>
                      </m:dPr>
                      <m:e>
                        <m:r>
                          <m:rPr>
                            <m:sty m:val="p"/>
                          </m:rPr>
                          <w:rPr>
                            <w:rFonts w:ascii="Cambria Math" w:hAnsi="Cambria Math"/>
                            <w:lang w:bidi="ar"/>
                          </w:rPr>
                          <m:t>q−</m:t>
                        </m:r>
                        <m:sSub>
                          <m:sSubPr>
                            <m:ctrlPr>
                              <w:rPr>
                                <w:rFonts w:ascii="Cambria Math" w:hAnsi="Cambria Math"/>
                                <w:lang w:bidi="ar"/>
                              </w:rPr>
                            </m:ctrlPr>
                          </m:sSubPr>
                          <m:e>
                            <m:r>
                              <m:rPr>
                                <m:sty m:val="p"/>
                              </m:rPr>
                              <w:rPr>
                                <w:rFonts w:ascii="Cambria Math" w:hAnsi="Cambria Math"/>
                                <w:lang w:bidi="ar"/>
                              </w:rPr>
                              <m:t>δ</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sSub>
                          <m:sSubPr>
                            <m:ctrlPr>
                              <w:rPr>
                                <w:rFonts w:ascii="Cambria Math" w:hAnsi="Cambria Math"/>
                                <w:lang w:bidi="ar"/>
                              </w:rPr>
                            </m:ctrlPr>
                          </m:sSubPr>
                          <m:e>
                            <m:r>
                              <m:rPr>
                                <m:sty m:val="p"/>
                              </m:rPr>
                              <w:rPr>
                                <w:rFonts w:ascii="Cambria Math" w:hAnsi="Cambria Math"/>
                                <w:lang w:bidi="ar"/>
                              </w:rPr>
                              <m:t>e</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ctrlPr>
                          <w:rPr>
                            <w:rFonts w:ascii="Cambria Math" w:hAnsi="Cambria Math"/>
                            <w:lang w:bidi="ar"/>
                          </w:rPr>
                        </m:ctrlPr>
                      </m:e>
                    </m:d>
                    <m:ctrlPr>
                      <w:rPr>
                        <w:rFonts w:ascii="Cambria Math" w:hAnsi="Cambria Math"/>
                        <w:lang w:bidi="ar"/>
                      </w:rPr>
                    </m:ctrlPr>
                  </m:num>
                  <m:den>
                    <m:sSub>
                      <m:sSubPr>
                        <m:ctrlPr>
                          <w:rPr>
                            <w:rFonts w:ascii="Cambria Math" w:hAnsi="Cambria Math"/>
                            <w:lang w:bidi="ar"/>
                          </w:rPr>
                        </m:ctrlPr>
                      </m:sSubPr>
                      <m:e>
                        <m:r>
                          <m:rPr>
                            <m:sty m:val="p"/>
                          </m:rPr>
                          <w:rPr>
                            <w:rFonts w:ascii="Cambria Math" w:hAnsi="Cambria Math"/>
                            <w:lang w:bidi="ar"/>
                          </w:rPr>
                          <m:t>δ</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ctrlPr>
                      <w:rPr>
                        <w:rFonts w:ascii="Cambria Math" w:hAnsi="Cambria Math"/>
                        <w:lang w:bidi="ar"/>
                      </w:rPr>
                    </m:ctrlPr>
                  </m:den>
                </m:f>
              </m:oMath>
            </m:oMathPara>
          </w:p>
        </w:tc>
        <w:tc>
          <w:tcPr>
            <w:tcW w:w="968" w:type="pct"/>
            <w:tcBorders>
              <w:top w:val="nil"/>
              <w:left w:val="nil"/>
              <w:bottom w:val="nil"/>
              <w:right w:val="nil"/>
            </w:tcBorders>
            <w:vAlign w:val="center"/>
          </w:tcPr>
          <w:p w14:paraId="56D4FA5E">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17</w:t>
            </w:r>
            <w:r>
              <w:rPr>
                <w:rFonts w:hint="eastAsia"/>
              </w:rPr>
              <w:fldChar w:fldCharType="end"/>
            </w:r>
            <w:r>
              <w:t>)</w:t>
            </w:r>
          </w:p>
        </w:tc>
      </w:tr>
    </w:tbl>
    <w:p w14:paraId="6217C5E7">
      <w:pPr>
        <w:ind w:firstLine="480" w:firstLineChars="200"/>
        <w:rPr>
          <w:lang w:bidi="ar"/>
        </w:rPr>
      </w:pPr>
      <w:r>
        <w:rPr>
          <w:lang w:bidi="ar"/>
        </w:rPr>
        <w:t>若完整扰动步长超出热流上下界，则采用当前参数到可行边界之间的实际距离作为扰动量。二维工况包含多个热流控制参数时，各参数对应的扰动正演优先采用进程池并行计算；若进程池不可用，则回退至线程池，线程池仍不可用时再采用串行计算。一维工况只有一个热流未知量，因此直接串行计算梯度。</w:t>
      </w:r>
    </w:p>
    <w:p w14:paraId="45100AC8">
      <w:pPr>
        <w:ind w:firstLine="480" w:firstLineChars="200"/>
        <w:rPr>
          <w:lang w:bidi="ar"/>
        </w:rPr>
      </w:pPr>
      <w:r>
        <w:rPr>
          <w:lang w:bidi="ar"/>
        </w:rPr>
        <w:t>第一轮有限差分迭代采用负梯度方向：</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5F476CDD">
        <w:tblPrEx>
          <w:tblCellMar>
            <w:top w:w="0" w:type="dxa"/>
            <w:left w:w="108" w:type="dxa"/>
            <w:bottom w:w="0" w:type="dxa"/>
            <w:right w:w="108" w:type="dxa"/>
          </w:tblCellMar>
        </w:tblPrEx>
        <w:tc>
          <w:tcPr>
            <w:tcW w:w="4032" w:type="pct"/>
            <w:tcBorders>
              <w:top w:val="nil"/>
              <w:left w:val="nil"/>
              <w:bottom w:val="nil"/>
              <w:right w:val="nil"/>
            </w:tcBorders>
            <w:vAlign w:val="center"/>
          </w:tcPr>
          <w:p w14:paraId="137A68A9">
            <w:pPr>
              <w:rPr>
                <w:i/>
                <w:lang w:bidi="ar"/>
              </w:rPr>
            </w:pPr>
            <m:oMathPara>
              <m:oMath>
                <m:sSub>
                  <m:sSubPr>
                    <m:ctrlPr>
                      <w:rPr>
                        <w:rFonts w:ascii="Cambria Math" w:hAnsi="Cambria Math"/>
                        <w:lang w:bidi="ar"/>
                      </w:rPr>
                    </m:ctrlPr>
                  </m:sSubPr>
                  <m:e>
                    <m:r>
                      <m:rPr>
                        <m:sty m:val="p"/>
                      </m:rPr>
                      <w:rPr>
                        <w:rFonts w:ascii="Cambria Math" w:hAnsi="Cambria Math"/>
                        <w:lang w:bidi="ar"/>
                      </w:rPr>
                      <m:t>d</m:t>
                    </m:r>
                    <m:ctrlPr>
                      <w:rPr>
                        <w:rFonts w:ascii="Cambria Math" w:hAnsi="Cambria Math"/>
                        <w:lang w:bidi="ar"/>
                      </w:rPr>
                    </m:ctrlPr>
                  </m:e>
                  <m:sub>
                    <m:r>
                      <m:rPr>
                        <m:sty m:val="p"/>
                      </m:rPr>
                      <w:rPr>
                        <w:rFonts w:ascii="Cambria Math" w:hAnsi="Cambria Math"/>
                        <w:lang w:bidi="ar"/>
                      </w:rPr>
                      <m:t>1</m:t>
                    </m:r>
                    <m:ctrlPr>
                      <w:rPr>
                        <w:rFonts w:ascii="Cambria Math" w:hAnsi="Cambria Math"/>
                        <w:lang w:bidi="ar"/>
                      </w:rPr>
                    </m:ctrlPr>
                  </m:sub>
                </m:sSub>
                <m:r>
                  <m:rPr>
                    <m:sty m:val="p"/>
                  </m:rPr>
                  <w:rPr>
                    <w:rFonts w:ascii="Cambria Math" w:hAnsi="Cambria Math"/>
                    <w:lang w:bidi="ar"/>
                  </w:rPr>
                  <m:t>=−</m:t>
                </m:r>
                <m:sSub>
                  <m:sSubPr>
                    <m:ctrlPr>
                      <w:rPr>
                        <w:rFonts w:ascii="Cambria Math" w:hAnsi="Cambria Math"/>
                        <w:lang w:bidi="ar"/>
                      </w:rPr>
                    </m:ctrlPr>
                  </m:sSubPr>
                  <m:e>
                    <m:r>
                      <m:rPr>
                        <m:sty m:val="p"/>
                      </m:rPr>
                      <w:rPr>
                        <w:rFonts w:ascii="Cambria Math" w:hAnsi="Cambria Math"/>
                        <w:lang w:bidi="ar"/>
                      </w:rPr>
                      <m:t>g</m:t>
                    </m:r>
                    <m:ctrlPr>
                      <w:rPr>
                        <w:rFonts w:ascii="Cambria Math" w:hAnsi="Cambria Math"/>
                        <w:lang w:bidi="ar"/>
                      </w:rPr>
                    </m:ctrlPr>
                  </m:e>
                  <m:sub>
                    <m:r>
                      <m:rPr>
                        <m:sty m:val="p"/>
                      </m:rPr>
                      <w:rPr>
                        <w:rFonts w:ascii="Cambria Math" w:hAnsi="Cambria Math"/>
                        <w:lang w:bidi="ar"/>
                      </w:rPr>
                      <m:t>1</m:t>
                    </m:r>
                    <m:ctrlPr>
                      <w:rPr>
                        <w:rFonts w:ascii="Cambria Math" w:hAnsi="Cambria Math"/>
                        <w:lang w:bidi="ar"/>
                      </w:rPr>
                    </m:ctrlPr>
                  </m:sub>
                </m:sSub>
              </m:oMath>
            </m:oMathPara>
          </w:p>
        </w:tc>
        <w:tc>
          <w:tcPr>
            <w:tcW w:w="968" w:type="pct"/>
            <w:tcBorders>
              <w:top w:val="nil"/>
              <w:left w:val="nil"/>
              <w:bottom w:val="nil"/>
              <w:right w:val="nil"/>
            </w:tcBorders>
            <w:vAlign w:val="center"/>
          </w:tcPr>
          <w:p w14:paraId="5A0DD23E">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18</w:t>
            </w:r>
            <w:r>
              <w:rPr>
                <w:rFonts w:hint="eastAsia"/>
              </w:rPr>
              <w:fldChar w:fldCharType="end"/>
            </w:r>
            <w:r>
              <w:t>)</w:t>
            </w:r>
          </w:p>
        </w:tc>
      </w:tr>
    </w:tbl>
    <w:p w14:paraId="52283A0B">
      <w:pPr>
        <w:ind w:firstLine="480" w:firstLineChars="200"/>
        <w:rPr>
          <w:lang w:bidi="ar"/>
        </w:rPr>
      </w:pPr>
      <w:r>
        <w:rPr>
          <w:lang w:bidi="ar"/>
        </w:rPr>
        <w:t>后续迭代采用Fletcher-Reeves形式的共轭方向：</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549C003E">
        <w:tblPrEx>
          <w:tblCellMar>
            <w:top w:w="0" w:type="dxa"/>
            <w:left w:w="108" w:type="dxa"/>
            <w:bottom w:w="0" w:type="dxa"/>
            <w:right w:w="108" w:type="dxa"/>
          </w:tblCellMar>
        </w:tblPrEx>
        <w:tc>
          <w:tcPr>
            <w:tcW w:w="4032" w:type="pct"/>
            <w:tcBorders>
              <w:top w:val="nil"/>
              <w:left w:val="nil"/>
              <w:bottom w:val="nil"/>
              <w:right w:val="nil"/>
            </w:tcBorders>
            <w:vAlign w:val="center"/>
          </w:tcPr>
          <w:p w14:paraId="6C479714">
            <w:pPr>
              <w:rPr>
                <w:lang w:bidi="ar"/>
              </w:rPr>
            </w:pPr>
            <m:oMathPara>
              <m:oMath>
                <m:sSub>
                  <m:sSubPr>
                    <m:ctrlPr>
                      <w:rPr>
                        <w:rFonts w:ascii="Cambria Math" w:hAnsi="Cambria Math"/>
                        <w:lang w:bidi="ar"/>
                      </w:rPr>
                    </m:ctrlPr>
                  </m:sSubPr>
                  <m:e>
                    <m:r>
                      <m:rPr>
                        <m:sty m:val="p"/>
                      </m:rPr>
                      <w:rPr>
                        <w:rFonts w:ascii="Cambria Math" w:hAnsi="Cambria Math"/>
                        <w:lang w:bidi="ar"/>
                      </w:rPr>
                      <m:t>d</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r>
                  <m:rPr>
                    <m:sty m:val="p"/>
                  </m:rPr>
                  <w:rPr>
                    <w:rFonts w:ascii="Cambria Math" w:hAnsi="Cambria Math"/>
                    <w:lang w:bidi="ar"/>
                  </w:rPr>
                  <m:t>=−</m:t>
                </m:r>
                <m:sSub>
                  <m:sSubPr>
                    <m:ctrlPr>
                      <w:rPr>
                        <w:rFonts w:ascii="Cambria Math" w:hAnsi="Cambria Math"/>
                        <w:lang w:bidi="ar"/>
                      </w:rPr>
                    </m:ctrlPr>
                  </m:sSubPr>
                  <m:e>
                    <m:r>
                      <m:rPr>
                        <m:sty m:val="p"/>
                      </m:rPr>
                      <w:rPr>
                        <w:rFonts w:ascii="Cambria Math" w:hAnsi="Cambria Math"/>
                        <w:lang w:bidi="ar"/>
                      </w:rPr>
                      <m:t>g</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r>
                  <m:rPr>
                    <m:sty m:val="p"/>
                  </m:rPr>
                  <w:rPr>
                    <w:rFonts w:ascii="Cambria Math" w:hAnsi="Cambria Math"/>
                    <w:lang w:bidi="ar"/>
                  </w:rPr>
                  <m:t>+</m:t>
                </m:r>
                <m:sSub>
                  <m:sSubPr>
                    <m:ctrlPr>
                      <w:rPr>
                        <w:rFonts w:ascii="Cambria Math" w:hAnsi="Cambria Math"/>
                        <w:lang w:bidi="ar"/>
                      </w:rPr>
                    </m:ctrlPr>
                  </m:sSubPr>
                  <m:e>
                    <m:r>
                      <m:rPr>
                        <m:sty m:val="p"/>
                      </m:rPr>
                      <w:rPr>
                        <w:rFonts w:ascii="Cambria Math" w:hAnsi="Cambria Math"/>
                        <w:lang w:bidi="ar"/>
                      </w:rPr>
                      <m:t>γ</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sSub>
                  <m:sSubPr>
                    <m:ctrlPr>
                      <w:rPr>
                        <w:rFonts w:ascii="Cambria Math" w:hAnsi="Cambria Math"/>
                        <w:lang w:bidi="ar"/>
                      </w:rPr>
                    </m:ctrlPr>
                  </m:sSubPr>
                  <m:e>
                    <m:r>
                      <m:rPr>
                        <m:sty m:val="p"/>
                      </m:rPr>
                      <w:rPr>
                        <w:rFonts w:ascii="Cambria Math" w:hAnsi="Cambria Math"/>
                        <w:lang w:bidi="ar"/>
                      </w:rPr>
                      <m:t>d</m:t>
                    </m:r>
                    <m:ctrlPr>
                      <w:rPr>
                        <w:rFonts w:ascii="Cambria Math" w:hAnsi="Cambria Math"/>
                        <w:lang w:bidi="ar"/>
                      </w:rPr>
                    </m:ctrlPr>
                  </m:e>
                  <m:sub>
                    <m:r>
                      <m:rPr>
                        <m:sty m:val="p"/>
                      </m:rPr>
                      <w:rPr>
                        <w:rFonts w:ascii="Cambria Math" w:hAnsi="Cambria Math"/>
                        <w:lang w:bidi="ar"/>
                      </w:rPr>
                      <m:t>k−1</m:t>
                    </m:r>
                    <m:ctrlPr>
                      <w:rPr>
                        <w:rFonts w:ascii="Cambria Math" w:hAnsi="Cambria Math"/>
                        <w:lang w:bidi="ar"/>
                      </w:rPr>
                    </m:ctrlPr>
                  </m:sub>
                </m:sSub>
              </m:oMath>
            </m:oMathPara>
          </w:p>
        </w:tc>
        <w:tc>
          <w:tcPr>
            <w:tcW w:w="968" w:type="pct"/>
            <w:tcBorders>
              <w:top w:val="nil"/>
              <w:left w:val="nil"/>
              <w:bottom w:val="nil"/>
              <w:right w:val="nil"/>
            </w:tcBorders>
            <w:vAlign w:val="center"/>
          </w:tcPr>
          <w:p w14:paraId="117BC75D">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19</w:t>
            </w:r>
            <w:r>
              <w:rPr>
                <w:rFonts w:hint="eastAsia"/>
              </w:rPr>
              <w:fldChar w:fldCharType="end"/>
            </w:r>
            <w:r>
              <w:t>)</w:t>
            </w:r>
          </w:p>
        </w:tc>
      </w:tr>
      <w:tr w14:paraId="6C216BA5">
        <w:tblPrEx>
          <w:tblCellMar>
            <w:top w:w="0" w:type="dxa"/>
            <w:left w:w="108" w:type="dxa"/>
            <w:bottom w:w="0" w:type="dxa"/>
            <w:right w:w="108" w:type="dxa"/>
          </w:tblCellMar>
        </w:tblPrEx>
        <w:tc>
          <w:tcPr>
            <w:tcW w:w="4032" w:type="pct"/>
            <w:tcBorders>
              <w:top w:val="nil"/>
              <w:left w:val="nil"/>
              <w:bottom w:val="nil"/>
              <w:right w:val="nil"/>
            </w:tcBorders>
          </w:tcPr>
          <w:p w14:paraId="7FC232F8">
            <w:pPr>
              <w:rPr>
                <w:lang w:bidi="ar"/>
              </w:rPr>
            </w:pPr>
            <m:oMathPara>
              <m:oMath>
                <m:sSub>
                  <m:sSubPr>
                    <m:ctrlPr>
                      <w:rPr>
                        <w:rFonts w:ascii="Cambria Math" w:hAnsi="Cambria Math"/>
                        <w:lang w:bidi="ar"/>
                      </w:rPr>
                    </m:ctrlPr>
                  </m:sSubPr>
                  <m:e>
                    <m:r>
                      <m:rPr>
                        <m:sty m:val="p"/>
                      </m:rPr>
                      <w:rPr>
                        <w:rFonts w:ascii="Cambria Math" w:hAnsi="Cambria Math"/>
                        <w:lang w:bidi="ar"/>
                      </w:rPr>
                      <m:t>γ</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r>
                  <m:rPr>
                    <m:sty m:val="p"/>
                  </m:rPr>
                  <w:rPr>
                    <w:rFonts w:ascii="Cambria Math" w:hAnsi="Cambria Math"/>
                    <w:lang w:bidi="ar"/>
                  </w:rPr>
                  <m:t>=</m:t>
                </m:r>
                <m:f>
                  <m:fPr>
                    <m:ctrlPr>
                      <w:rPr>
                        <w:rFonts w:ascii="Cambria Math" w:hAnsi="Cambria Math"/>
                        <w:lang w:bidi="ar"/>
                      </w:rPr>
                    </m:ctrlPr>
                  </m:fPr>
                  <m:num>
                    <m:sSubSup>
                      <m:sSubSupPr>
                        <m:ctrlPr>
                          <w:rPr>
                            <w:rFonts w:ascii="Cambria Math" w:hAnsi="Cambria Math"/>
                            <w:lang w:bidi="ar"/>
                          </w:rPr>
                        </m:ctrlPr>
                      </m:sSubSupPr>
                      <m:e>
                        <m:r>
                          <m:rPr>
                            <m:sty m:val="p"/>
                          </m:rPr>
                          <w:rPr>
                            <w:rFonts w:ascii="Cambria Math" w:hAnsi="Cambria Math"/>
                            <w:lang w:bidi="ar"/>
                          </w:rPr>
                          <m:t>g</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up>
                        <m:r>
                          <m:rPr>
                            <m:sty m:val="p"/>
                          </m:rPr>
                          <w:rPr>
                            <w:rFonts w:ascii="Cambria Math" w:hAnsi="Cambria Math"/>
                            <w:lang w:bidi="ar"/>
                          </w:rPr>
                          <m:t>T</m:t>
                        </m:r>
                        <m:ctrlPr>
                          <w:rPr>
                            <w:rFonts w:ascii="Cambria Math" w:hAnsi="Cambria Math"/>
                            <w:lang w:bidi="ar"/>
                          </w:rPr>
                        </m:ctrlPr>
                      </m:sup>
                    </m:sSubSup>
                    <m:sSub>
                      <m:sSubPr>
                        <m:ctrlPr>
                          <w:rPr>
                            <w:rFonts w:ascii="Cambria Math" w:hAnsi="Cambria Math"/>
                            <w:lang w:bidi="ar"/>
                          </w:rPr>
                        </m:ctrlPr>
                      </m:sSubPr>
                      <m:e>
                        <m:r>
                          <m:rPr>
                            <m:sty m:val="p"/>
                          </m:rPr>
                          <w:rPr>
                            <w:rFonts w:ascii="Cambria Math" w:hAnsi="Cambria Math"/>
                            <w:lang w:bidi="ar"/>
                          </w:rPr>
                          <m:t>g</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ctrlPr>
                      <w:rPr>
                        <w:rFonts w:ascii="Cambria Math" w:hAnsi="Cambria Math"/>
                        <w:lang w:bidi="ar"/>
                      </w:rPr>
                    </m:ctrlPr>
                  </m:num>
                  <m:den>
                    <m:r>
                      <m:rPr>
                        <m:sty m:val="p"/>
                      </m:rPr>
                      <w:rPr>
                        <w:rFonts w:ascii="Cambria Math" w:hAnsi="Cambria Math"/>
                        <w:lang w:bidi="ar"/>
                      </w:rPr>
                      <m:t>max</m:t>
                    </m:r>
                    <m:d>
                      <m:dPr>
                        <m:ctrlPr>
                          <w:rPr>
                            <w:rFonts w:ascii="Cambria Math" w:hAnsi="Cambria Math"/>
                            <w:lang w:bidi="ar"/>
                          </w:rPr>
                        </m:ctrlPr>
                      </m:dPr>
                      <m:e>
                        <m:sSubSup>
                          <m:sSubSupPr>
                            <m:ctrlPr>
                              <w:rPr>
                                <w:rFonts w:ascii="Cambria Math" w:hAnsi="Cambria Math"/>
                                <w:lang w:bidi="ar"/>
                              </w:rPr>
                            </m:ctrlPr>
                          </m:sSubSupPr>
                          <m:e>
                            <m:r>
                              <m:rPr>
                                <m:sty m:val="p"/>
                              </m:rPr>
                              <w:rPr>
                                <w:rFonts w:ascii="Cambria Math" w:hAnsi="Cambria Math"/>
                                <w:lang w:bidi="ar"/>
                              </w:rPr>
                              <m:t>g</m:t>
                            </m:r>
                            <m:ctrlPr>
                              <w:rPr>
                                <w:rFonts w:ascii="Cambria Math" w:hAnsi="Cambria Math"/>
                                <w:lang w:bidi="ar"/>
                              </w:rPr>
                            </m:ctrlPr>
                          </m:e>
                          <m:sub>
                            <m:r>
                              <m:rPr>
                                <m:sty m:val="p"/>
                              </m:rPr>
                              <w:rPr>
                                <w:rFonts w:ascii="Cambria Math" w:hAnsi="Cambria Math"/>
                                <w:lang w:bidi="ar"/>
                              </w:rPr>
                              <m:t>k−1</m:t>
                            </m:r>
                            <m:ctrlPr>
                              <w:rPr>
                                <w:rFonts w:ascii="Cambria Math" w:hAnsi="Cambria Math"/>
                                <w:lang w:bidi="ar"/>
                              </w:rPr>
                            </m:ctrlPr>
                          </m:sub>
                          <m:sup>
                            <m:r>
                              <m:rPr>
                                <m:sty m:val="p"/>
                              </m:rPr>
                              <w:rPr>
                                <w:rFonts w:ascii="Cambria Math" w:hAnsi="Cambria Math"/>
                                <w:lang w:bidi="ar"/>
                              </w:rPr>
                              <m:t>T</m:t>
                            </m:r>
                            <m:ctrlPr>
                              <w:rPr>
                                <w:rFonts w:ascii="Cambria Math" w:hAnsi="Cambria Math"/>
                                <w:lang w:bidi="ar"/>
                              </w:rPr>
                            </m:ctrlPr>
                          </m:sup>
                        </m:sSubSup>
                        <m:sSub>
                          <m:sSubPr>
                            <m:ctrlPr>
                              <w:rPr>
                                <w:rFonts w:ascii="Cambria Math" w:hAnsi="Cambria Math"/>
                                <w:lang w:bidi="ar"/>
                              </w:rPr>
                            </m:ctrlPr>
                          </m:sSubPr>
                          <m:e>
                            <m:r>
                              <m:rPr>
                                <m:sty m:val="p"/>
                              </m:rPr>
                              <w:rPr>
                                <w:rFonts w:ascii="Cambria Math" w:hAnsi="Cambria Math"/>
                                <w:lang w:bidi="ar"/>
                              </w:rPr>
                              <m:t>g</m:t>
                            </m:r>
                            <m:ctrlPr>
                              <w:rPr>
                                <w:rFonts w:ascii="Cambria Math" w:hAnsi="Cambria Math"/>
                                <w:lang w:bidi="ar"/>
                              </w:rPr>
                            </m:ctrlPr>
                          </m:e>
                          <m:sub>
                            <m:r>
                              <m:rPr>
                                <m:sty m:val="p"/>
                              </m:rPr>
                              <w:rPr>
                                <w:rFonts w:ascii="Cambria Math" w:hAnsi="Cambria Math"/>
                                <w:lang w:bidi="ar"/>
                              </w:rPr>
                              <m:t>k−1</m:t>
                            </m:r>
                            <m:ctrlPr>
                              <w:rPr>
                                <w:rFonts w:ascii="Cambria Math" w:hAnsi="Cambria Math"/>
                                <w:lang w:bidi="ar"/>
                              </w:rPr>
                            </m:ctrlPr>
                          </m:sub>
                        </m:sSub>
                        <m:r>
                          <m:rPr>
                            <m:sty m:val="p"/>
                          </m:rPr>
                          <w:rPr>
                            <w:rFonts w:ascii="Cambria Math" w:hAnsi="Cambria Math"/>
                            <w:lang w:bidi="ar"/>
                          </w:rPr>
                          <m:t>,</m:t>
                        </m:r>
                        <m:sSup>
                          <m:sSupPr>
                            <m:ctrlPr>
                              <w:rPr>
                                <w:rFonts w:ascii="Cambria Math" w:hAnsi="Cambria Math"/>
                                <w:lang w:bidi="ar"/>
                              </w:rPr>
                            </m:ctrlPr>
                          </m:sSupPr>
                          <m:e>
                            <m:r>
                              <m:rPr>
                                <m:sty m:val="p"/>
                              </m:rPr>
                              <w:rPr>
                                <w:rFonts w:ascii="Cambria Math" w:hAnsi="Cambria Math"/>
                                <w:lang w:bidi="ar"/>
                              </w:rPr>
                              <m:t>10</m:t>
                            </m:r>
                            <m:ctrlPr>
                              <w:rPr>
                                <w:rFonts w:ascii="Cambria Math" w:hAnsi="Cambria Math"/>
                                <w:lang w:bidi="ar"/>
                              </w:rPr>
                            </m:ctrlPr>
                          </m:e>
                          <m:sup>
                            <m:r>
                              <m:rPr>
                                <m:sty m:val="p"/>
                              </m:rPr>
                              <w:rPr>
                                <w:rFonts w:ascii="Cambria Math" w:hAnsi="Cambria Math"/>
                                <w:lang w:bidi="ar"/>
                              </w:rPr>
                              <m:t>−30</m:t>
                            </m:r>
                            <m:ctrlPr>
                              <w:rPr>
                                <w:rFonts w:ascii="Cambria Math" w:hAnsi="Cambria Math"/>
                                <w:lang w:bidi="ar"/>
                              </w:rPr>
                            </m:ctrlPr>
                          </m:sup>
                        </m:sSup>
                        <m:ctrlPr>
                          <w:rPr>
                            <w:rFonts w:ascii="Cambria Math" w:hAnsi="Cambria Math"/>
                            <w:lang w:bidi="ar"/>
                          </w:rPr>
                        </m:ctrlPr>
                      </m:e>
                    </m:d>
                    <m:ctrlPr>
                      <w:rPr>
                        <w:rFonts w:ascii="Cambria Math" w:hAnsi="Cambria Math"/>
                        <w:lang w:bidi="ar"/>
                      </w:rPr>
                    </m:ctrlPr>
                  </m:den>
                </m:f>
              </m:oMath>
            </m:oMathPara>
          </w:p>
        </w:tc>
        <w:tc>
          <w:tcPr>
            <w:tcW w:w="968" w:type="pct"/>
            <w:tcBorders>
              <w:top w:val="nil"/>
              <w:left w:val="nil"/>
              <w:bottom w:val="nil"/>
              <w:right w:val="nil"/>
            </w:tcBorders>
            <w:vAlign w:val="center"/>
          </w:tcPr>
          <w:p w14:paraId="582A5C3D">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20</w:t>
            </w:r>
            <w:r>
              <w:rPr>
                <w:rFonts w:hint="eastAsia"/>
              </w:rPr>
              <w:fldChar w:fldCharType="end"/>
            </w:r>
            <w:r>
              <w:t>)</w:t>
            </w:r>
          </w:p>
        </w:tc>
      </w:tr>
    </w:tbl>
    <w:p w14:paraId="592B90D3">
      <w:pPr>
        <w:ind w:firstLine="480" w:firstLineChars="200"/>
        <w:rPr>
          <w:lang w:bidi="ar"/>
        </w:rPr>
      </w:pPr>
      <w:r>
        <w:rPr>
          <w:lang w:bidi="ar"/>
        </w:rPr>
        <w:t>若计算得到的共轭方向不是有效下降方向，或者方向导数为非有限值，则将搜索方向重置为负梯度方向，以保证后续线搜索沿下降方向进行。</w:t>
      </w:r>
    </w:p>
    <w:p w14:paraId="775FE077">
      <w:pPr>
        <w:ind w:firstLine="480" w:firstLineChars="200"/>
        <w:rPr>
          <w:lang w:bidi="ar"/>
        </w:rPr>
      </w:pPr>
      <w:r>
        <w:rPr>
          <w:lang w:bidi="ar"/>
        </w:rPr>
        <w:t>每轮最多进行8次线搜索。若投影后的试探步长过小、投影方向不是下降方向，或全部试探点均不能满足Armijo条件，则本轮不更新热流参数。</w:t>
      </w:r>
    </w:p>
    <w:p w14:paraId="34333210">
      <w:pPr>
        <w:pStyle w:val="46"/>
        <w:numPr>
          <w:ilvl w:val="0"/>
          <w:numId w:val="3"/>
        </w:numPr>
      </w:pPr>
      <w:r>
        <w:t>PSO+CG反演方法流程</w:t>
      </w:r>
    </w:p>
    <w:p w14:paraId="2B145AF8">
      <w:pPr>
        <w:pStyle w:val="33"/>
      </w:pPr>
      <w:r>
        <w:drawing>
          <wp:inline distT="0" distB="0" distL="0" distR="0">
            <wp:extent cx="5237480" cy="2948305"/>
            <wp:effectExtent l="0" t="0" r="0" b="0"/>
            <wp:docPr id="592643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43345" name="Picture 3"/>
                    <pic:cNvPicPr>
                      <a:picLocks noChangeAspect="1"/>
                    </pic:cNvPicPr>
                  </pic:nvPicPr>
                  <pic:blipFill>
                    <a:blip r:embed="rId40"/>
                    <a:stretch>
                      <a:fillRect/>
                    </a:stretch>
                  </pic:blipFill>
                  <pic:spPr>
                    <a:xfrm>
                      <a:off x="0" y="0"/>
                      <a:ext cx="5237480" cy="2948305"/>
                    </a:xfrm>
                    <a:prstGeom prst="rect">
                      <a:avLst/>
                    </a:prstGeom>
                  </pic:spPr>
                </pic:pic>
              </a:graphicData>
            </a:graphic>
          </wp:inline>
        </w:drawing>
      </w:r>
    </w:p>
    <w:p w14:paraId="46F296B0">
      <w:pPr>
        <w:pStyle w:val="33"/>
      </w:pPr>
      <w:r>
        <w:t xml:space="preserve">图 </w:t>
      </w:r>
      <w:r>
        <w:fldChar w:fldCharType="begin"/>
      </w:r>
      <w:r>
        <w:instrText xml:space="preserve"> STYLEREF 1 \s </w:instrText>
      </w:r>
      <w:r>
        <w:fldChar w:fldCharType="separate"/>
      </w:r>
      <w:r>
        <w:t>3</w:t>
      </w:r>
      <w:r>
        <w:fldChar w:fldCharType="end"/>
      </w:r>
      <w:r>
        <w:t>.</w:t>
      </w:r>
      <w:r>
        <w:fldChar w:fldCharType="begin"/>
      </w:r>
      <w:r>
        <w:instrText xml:space="preserve"> SEQ 图 \* ARABIC \s 1 </w:instrText>
      </w:r>
      <w:r>
        <w:fldChar w:fldCharType="separate"/>
      </w:r>
      <w:r>
        <w:t>28</w:t>
      </w:r>
      <w:r>
        <w:fldChar w:fldCharType="end"/>
      </w:r>
      <w:r>
        <w:rPr>
          <w:rFonts w:hint="eastAsia"/>
        </w:rPr>
        <w:t xml:space="preserve"> </w:t>
      </w:r>
      <w:r>
        <w:t>PSO+CG反演方案流程图</w:t>
      </w:r>
    </w:p>
    <w:p w14:paraId="638BB96C">
      <w:pPr>
        <w:ind w:firstLine="480" w:firstLineChars="200"/>
        <w:rPr>
          <w:lang w:bidi="ar"/>
        </w:rPr>
      </w:pPr>
      <w:r>
        <w:rPr>
          <w:lang w:bidi="ar"/>
        </w:rPr>
        <w:t>在PSO阶段，粒子群中每个粒子的位置表示一组待反演的热流控制量。第i个粒子的速度和位置更新可概括为：</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050F2EF4">
        <w:tblPrEx>
          <w:tblCellMar>
            <w:top w:w="0" w:type="dxa"/>
            <w:left w:w="108" w:type="dxa"/>
            <w:bottom w:w="0" w:type="dxa"/>
            <w:right w:w="108" w:type="dxa"/>
          </w:tblCellMar>
        </w:tblPrEx>
        <w:tc>
          <w:tcPr>
            <w:tcW w:w="4032" w:type="pct"/>
            <w:tcBorders>
              <w:top w:val="nil"/>
              <w:left w:val="nil"/>
              <w:bottom w:val="nil"/>
              <w:right w:val="nil"/>
            </w:tcBorders>
          </w:tcPr>
          <w:p w14:paraId="02555C20">
            <w:pPr>
              <w:rPr>
                <w:lang w:bidi="ar"/>
              </w:rPr>
            </w:pPr>
            <m:oMathPara>
              <m:oMath>
                <m:sSubSup>
                  <m:sSubSupPr>
                    <m:ctrlPr>
                      <w:rPr>
                        <w:rFonts w:ascii="Cambria Math" w:hAnsi="Cambria Math"/>
                        <w:lang w:bidi="ar"/>
                      </w:rPr>
                    </m:ctrlPr>
                  </m:sSubSupPr>
                  <m:e>
                    <m:r>
                      <m:rPr>
                        <m:sty m:val="p"/>
                      </m:rPr>
                      <w:rPr>
                        <w:rFonts w:ascii="Cambria Math" w:hAnsi="Cambria Math"/>
                        <w:lang w:bidi="ar"/>
                      </w:rPr>
                      <m:t>v</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up>
                    <m:r>
                      <m:rPr>
                        <m:sty m:val="p"/>
                      </m:rPr>
                      <w:rPr>
                        <w:rFonts w:ascii="Cambria Math" w:hAnsi="Cambria Math"/>
                        <w:lang w:bidi="ar"/>
                      </w:rPr>
                      <m:t>k+1</m:t>
                    </m:r>
                    <m:ctrlPr>
                      <w:rPr>
                        <w:rFonts w:ascii="Cambria Math" w:hAnsi="Cambria Math"/>
                        <w:lang w:bidi="ar"/>
                      </w:rPr>
                    </m:ctrlPr>
                  </m:sup>
                </m:sSubSup>
                <m:r>
                  <m:rPr>
                    <m:sty m:val="p"/>
                  </m:rPr>
                  <w:rPr>
                    <w:rFonts w:ascii="Cambria Math" w:hAnsi="Cambria Math"/>
                    <w:lang w:bidi="ar"/>
                  </w:rPr>
                  <m:t>=ω</m:t>
                </m:r>
                <m:sSubSup>
                  <m:sSubSupPr>
                    <m:ctrlPr>
                      <w:rPr>
                        <w:rFonts w:ascii="Cambria Math" w:hAnsi="Cambria Math"/>
                        <w:lang w:bidi="ar"/>
                      </w:rPr>
                    </m:ctrlPr>
                  </m:sSubSupPr>
                  <m:e>
                    <m:r>
                      <m:rPr>
                        <m:sty m:val="p"/>
                      </m:rPr>
                      <w:rPr>
                        <w:rFonts w:ascii="Cambria Math" w:hAnsi="Cambria Math"/>
                        <w:lang w:bidi="ar"/>
                      </w:rPr>
                      <m:t>v</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up>
                    <m:r>
                      <m:rPr>
                        <m:sty m:val="p"/>
                      </m:rPr>
                      <w:rPr>
                        <w:rFonts w:ascii="Cambria Math" w:hAnsi="Cambria Math"/>
                        <w:lang w:bidi="ar"/>
                      </w:rPr>
                      <m:t>k</m:t>
                    </m:r>
                    <m:ctrlPr>
                      <w:rPr>
                        <w:rFonts w:ascii="Cambria Math" w:hAnsi="Cambria Math"/>
                        <w:lang w:bidi="ar"/>
                      </w:rPr>
                    </m:ctrlPr>
                  </m:sup>
                </m:sSubSup>
                <m:r>
                  <m:rPr>
                    <m:sty m:val="p"/>
                  </m:rPr>
                  <w:rPr>
                    <w:rFonts w:ascii="Cambria Math" w:hAnsi="Cambria Math"/>
                    <w:lang w:bidi="ar"/>
                  </w:rPr>
                  <m:t>+</m:t>
                </m:r>
                <m:sSub>
                  <m:sSubPr>
                    <m:ctrlPr>
                      <w:rPr>
                        <w:rFonts w:ascii="Cambria Math" w:hAnsi="Cambria Math"/>
                        <w:lang w:bidi="ar"/>
                      </w:rPr>
                    </m:ctrlPr>
                  </m:sSubPr>
                  <m:e>
                    <m:r>
                      <m:rPr>
                        <m:sty m:val="p"/>
                      </m:rPr>
                      <w:rPr>
                        <w:rFonts w:ascii="Cambria Math" w:hAnsi="Cambria Math"/>
                        <w:lang w:bidi="ar"/>
                      </w:rPr>
                      <m:t>c</m:t>
                    </m:r>
                    <m:ctrlPr>
                      <w:rPr>
                        <w:rFonts w:ascii="Cambria Math" w:hAnsi="Cambria Math"/>
                        <w:lang w:bidi="ar"/>
                      </w:rPr>
                    </m:ctrlPr>
                  </m:e>
                  <m:sub>
                    <m:r>
                      <m:rPr>
                        <m:sty m:val="p"/>
                      </m:rPr>
                      <w:rPr>
                        <w:rFonts w:ascii="Cambria Math" w:hAnsi="Cambria Math"/>
                        <w:lang w:bidi="ar"/>
                      </w:rPr>
                      <m:t>1</m:t>
                    </m:r>
                    <m:ctrlPr>
                      <w:rPr>
                        <w:rFonts w:ascii="Cambria Math" w:hAnsi="Cambria Math"/>
                        <w:lang w:bidi="ar"/>
                      </w:rPr>
                    </m:ctrlPr>
                  </m:sub>
                </m:sSub>
                <m:sSub>
                  <m:sSubPr>
                    <m:ctrlPr>
                      <w:rPr>
                        <w:rFonts w:ascii="Cambria Math" w:hAnsi="Cambria Math"/>
                        <w:lang w:bidi="ar"/>
                      </w:rPr>
                    </m:ctrlPr>
                  </m:sSubPr>
                  <m:e>
                    <m:r>
                      <m:rPr>
                        <m:sty m:val="p"/>
                      </m:rPr>
                      <w:rPr>
                        <w:rFonts w:ascii="Cambria Math" w:hAnsi="Cambria Math"/>
                        <w:lang w:bidi="ar"/>
                      </w:rPr>
                      <m:t>r</m:t>
                    </m:r>
                    <m:ctrlPr>
                      <w:rPr>
                        <w:rFonts w:ascii="Cambria Math" w:hAnsi="Cambria Math"/>
                        <w:lang w:bidi="ar"/>
                      </w:rPr>
                    </m:ctrlPr>
                  </m:e>
                  <m:sub>
                    <m:r>
                      <m:rPr>
                        <m:sty m:val="p"/>
                      </m:rPr>
                      <w:rPr>
                        <w:rFonts w:ascii="Cambria Math" w:hAnsi="Cambria Math"/>
                        <w:lang w:bidi="ar"/>
                      </w:rPr>
                      <m:t>1</m:t>
                    </m:r>
                    <m:ctrlPr>
                      <w:rPr>
                        <w:rFonts w:ascii="Cambria Math" w:hAnsi="Cambria Math"/>
                        <w:lang w:bidi="ar"/>
                      </w:rPr>
                    </m:ctrlPr>
                  </m:sub>
                </m:sSub>
                <m:d>
                  <m:dPr>
                    <m:ctrlPr>
                      <w:rPr>
                        <w:rFonts w:ascii="Cambria Math" w:hAnsi="Cambria Math"/>
                        <w:lang w:bidi="ar"/>
                      </w:rPr>
                    </m:ctrlPr>
                  </m:dPr>
                  <m:e>
                    <m:sSub>
                      <m:sSubPr>
                        <m:ctrlPr>
                          <w:rPr>
                            <w:rFonts w:ascii="Cambria Math" w:hAnsi="Cambria Math"/>
                            <w:lang w:bidi="ar"/>
                          </w:rPr>
                        </m:ctrlPr>
                      </m:sSubPr>
                      <m:e>
                        <m:r>
                          <m:rPr>
                            <m:sty m:val="p"/>
                          </m:rPr>
                          <w:rPr>
                            <w:rFonts w:ascii="Cambria Math" w:hAnsi="Cambria Math"/>
                            <w:lang w:bidi="ar"/>
                          </w:rPr>
                          <m:t>pbest</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r>
                      <m:rPr>
                        <m:sty m:val="p"/>
                      </m:rPr>
                      <w:rPr>
                        <w:rFonts w:ascii="Cambria Math" w:hAnsi="Cambria Math"/>
                        <w:lang w:bidi="ar"/>
                      </w:rPr>
                      <m:t>−</m:t>
                    </m:r>
                    <m:sSubSup>
                      <m:sSubSupPr>
                        <m:ctrlPr>
                          <w:rPr>
                            <w:rFonts w:ascii="Cambria Math" w:hAnsi="Cambria Math"/>
                            <w:lang w:bidi="ar"/>
                          </w:rPr>
                        </m:ctrlPr>
                      </m:sSubSupPr>
                      <m:e>
                        <m:r>
                          <m:rPr>
                            <m:sty m:val="p"/>
                          </m:rPr>
                          <w:rPr>
                            <w:rFonts w:ascii="Cambria Math" w:hAnsi="Cambria Math"/>
                            <w:lang w:bidi="ar"/>
                          </w:rPr>
                          <m:t>x</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up>
                        <m:r>
                          <m:rPr>
                            <m:sty m:val="p"/>
                          </m:rPr>
                          <w:rPr>
                            <w:rFonts w:ascii="Cambria Math" w:hAnsi="Cambria Math"/>
                            <w:lang w:bidi="ar"/>
                          </w:rPr>
                          <m:t>k</m:t>
                        </m:r>
                        <m:ctrlPr>
                          <w:rPr>
                            <w:rFonts w:ascii="Cambria Math" w:hAnsi="Cambria Math"/>
                            <w:lang w:bidi="ar"/>
                          </w:rPr>
                        </m:ctrlPr>
                      </m:sup>
                    </m:sSubSup>
                    <m:ctrlPr>
                      <w:rPr>
                        <w:rFonts w:ascii="Cambria Math" w:hAnsi="Cambria Math"/>
                        <w:lang w:bidi="ar"/>
                      </w:rPr>
                    </m:ctrlPr>
                  </m:e>
                </m:d>
                <m:r>
                  <m:rPr>
                    <m:sty m:val="p"/>
                  </m:rPr>
                  <w:rPr>
                    <w:rFonts w:ascii="Cambria Math" w:hAnsi="Cambria Math"/>
                    <w:lang w:bidi="ar"/>
                  </w:rPr>
                  <m:t>+</m:t>
                </m:r>
                <m:sSub>
                  <m:sSubPr>
                    <m:ctrlPr>
                      <w:rPr>
                        <w:rFonts w:ascii="Cambria Math" w:hAnsi="Cambria Math"/>
                        <w:lang w:bidi="ar"/>
                      </w:rPr>
                    </m:ctrlPr>
                  </m:sSubPr>
                  <m:e>
                    <m:r>
                      <m:rPr>
                        <m:sty m:val="p"/>
                      </m:rPr>
                      <w:rPr>
                        <w:rFonts w:ascii="Cambria Math" w:hAnsi="Cambria Math"/>
                        <w:lang w:bidi="ar"/>
                      </w:rPr>
                      <m:t>c</m:t>
                    </m:r>
                    <m:ctrlPr>
                      <w:rPr>
                        <w:rFonts w:ascii="Cambria Math" w:hAnsi="Cambria Math"/>
                        <w:lang w:bidi="ar"/>
                      </w:rPr>
                    </m:ctrlPr>
                  </m:e>
                  <m:sub>
                    <m:r>
                      <m:rPr>
                        <m:sty m:val="p"/>
                      </m:rPr>
                      <w:rPr>
                        <w:rFonts w:ascii="Cambria Math" w:hAnsi="Cambria Math"/>
                        <w:lang w:bidi="ar"/>
                      </w:rPr>
                      <m:t>2</m:t>
                    </m:r>
                    <m:ctrlPr>
                      <w:rPr>
                        <w:rFonts w:ascii="Cambria Math" w:hAnsi="Cambria Math"/>
                        <w:lang w:bidi="ar"/>
                      </w:rPr>
                    </m:ctrlPr>
                  </m:sub>
                </m:sSub>
                <m:sSub>
                  <m:sSubPr>
                    <m:ctrlPr>
                      <w:rPr>
                        <w:rFonts w:ascii="Cambria Math" w:hAnsi="Cambria Math"/>
                        <w:lang w:bidi="ar"/>
                      </w:rPr>
                    </m:ctrlPr>
                  </m:sSubPr>
                  <m:e>
                    <m:r>
                      <m:rPr>
                        <m:sty m:val="p"/>
                      </m:rPr>
                      <w:rPr>
                        <w:rFonts w:ascii="Cambria Math" w:hAnsi="Cambria Math"/>
                        <w:lang w:bidi="ar"/>
                      </w:rPr>
                      <m:t>r</m:t>
                    </m:r>
                    <m:ctrlPr>
                      <w:rPr>
                        <w:rFonts w:ascii="Cambria Math" w:hAnsi="Cambria Math"/>
                        <w:lang w:bidi="ar"/>
                      </w:rPr>
                    </m:ctrlPr>
                  </m:e>
                  <m:sub>
                    <m:r>
                      <m:rPr>
                        <m:sty m:val="p"/>
                      </m:rPr>
                      <w:rPr>
                        <w:rFonts w:ascii="Cambria Math" w:hAnsi="Cambria Math"/>
                        <w:lang w:bidi="ar"/>
                      </w:rPr>
                      <m:t>2</m:t>
                    </m:r>
                    <m:ctrlPr>
                      <w:rPr>
                        <w:rFonts w:ascii="Cambria Math" w:hAnsi="Cambria Math"/>
                        <w:lang w:bidi="ar"/>
                      </w:rPr>
                    </m:ctrlPr>
                  </m:sub>
                </m:sSub>
                <m:d>
                  <m:dPr>
                    <m:ctrlPr>
                      <w:rPr>
                        <w:rFonts w:ascii="Cambria Math" w:hAnsi="Cambria Math"/>
                        <w:lang w:bidi="ar"/>
                      </w:rPr>
                    </m:ctrlPr>
                  </m:dPr>
                  <m:e>
                    <m:sSub>
                      <m:sSubPr>
                        <m:ctrlPr>
                          <w:rPr>
                            <w:rFonts w:ascii="Cambria Math" w:hAnsi="Cambria Math"/>
                            <w:lang w:bidi="ar"/>
                          </w:rPr>
                        </m:ctrlPr>
                      </m:sSubPr>
                      <m:e>
                        <m:r>
                          <m:rPr>
                            <m:sty m:val="p"/>
                          </m:rPr>
                          <w:rPr>
                            <w:rFonts w:ascii="Cambria Math" w:hAnsi="Cambria Math"/>
                            <w:lang w:bidi="ar"/>
                          </w:rPr>
                          <m:t>lbest</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r>
                      <m:rPr>
                        <m:sty m:val="p"/>
                      </m:rPr>
                      <w:rPr>
                        <w:rFonts w:ascii="Cambria Math" w:hAnsi="Cambria Math"/>
                        <w:lang w:bidi="ar"/>
                      </w:rPr>
                      <m:t>−</m:t>
                    </m:r>
                    <m:sSubSup>
                      <m:sSubSupPr>
                        <m:ctrlPr>
                          <w:rPr>
                            <w:rFonts w:ascii="Cambria Math" w:hAnsi="Cambria Math"/>
                            <w:lang w:bidi="ar"/>
                          </w:rPr>
                        </m:ctrlPr>
                      </m:sSubSupPr>
                      <m:e>
                        <m:r>
                          <m:rPr>
                            <m:sty m:val="p"/>
                          </m:rPr>
                          <w:rPr>
                            <w:rFonts w:ascii="Cambria Math" w:hAnsi="Cambria Math"/>
                            <w:lang w:bidi="ar"/>
                          </w:rPr>
                          <m:t>x</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up>
                        <m:r>
                          <m:rPr>
                            <m:sty m:val="p"/>
                          </m:rPr>
                          <w:rPr>
                            <w:rFonts w:ascii="Cambria Math" w:hAnsi="Cambria Math"/>
                            <w:lang w:bidi="ar"/>
                          </w:rPr>
                          <m:t>k</m:t>
                        </m:r>
                        <m:ctrlPr>
                          <w:rPr>
                            <w:rFonts w:ascii="Cambria Math" w:hAnsi="Cambria Math"/>
                            <w:lang w:bidi="ar"/>
                          </w:rPr>
                        </m:ctrlPr>
                      </m:sup>
                    </m:sSubSup>
                    <m:ctrlPr>
                      <w:rPr>
                        <w:rFonts w:ascii="Cambria Math" w:hAnsi="Cambria Math"/>
                        <w:lang w:bidi="ar"/>
                      </w:rPr>
                    </m:ctrlPr>
                  </m:e>
                </m:d>
                <m:r>
                  <m:rPr>
                    <m:sty m:val="p"/>
                  </m:rPr>
                  <w:rPr>
                    <w:rFonts w:ascii="Cambria Math" w:hAnsi="Cambria Math"/>
                    <w:lang w:bidi="ar"/>
                  </w:rPr>
                  <m:t>+</m:t>
                </m:r>
                <m:sSub>
                  <m:sSubPr>
                    <m:ctrlPr>
                      <w:rPr>
                        <w:rFonts w:ascii="Cambria Math" w:hAnsi="Cambria Math"/>
                        <w:lang w:bidi="ar"/>
                      </w:rPr>
                    </m:ctrlPr>
                  </m:sSubPr>
                  <m:e>
                    <m:r>
                      <m:rPr>
                        <m:sty m:val="p"/>
                      </m:rPr>
                      <w:rPr>
                        <w:rFonts w:ascii="Cambria Math" w:hAnsi="Cambria Math"/>
                        <w:lang w:bidi="ar"/>
                      </w:rPr>
                      <m:t>c</m:t>
                    </m:r>
                    <m:ctrlPr>
                      <w:rPr>
                        <w:rFonts w:ascii="Cambria Math" w:hAnsi="Cambria Math"/>
                        <w:lang w:bidi="ar"/>
                      </w:rPr>
                    </m:ctrlPr>
                  </m:e>
                  <m:sub>
                    <m:r>
                      <m:rPr>
                        <m:sty m:val="p"/>
                      </m:rPr>
                      <w:rPr>
                        <w:rFonts w:ascii="Cambria Math" w:hAnsi="Cambria Math"/>
                        <w:lang w:bidi="ar"/>
                      </w:rPr>
                      <m:t>3</m:t>
                    </m:r>
                    <m:ctrlPr>
                      <w:rPr>
                        <w:rFonts w:ascii="Cambria Math" w:hAnsi="Cambria Math"/>
                        <w:lang w:bidi="ar"/>
                      </w:rPr>
                    </m:ctrlPr>
                  </m:sub>
                </m:sSub>
                <m:sSub>
                  <m:sSubPr>
                    <m:ctrlPr>
                      <w:rPr>
                        <w:rFonts w:ascii="Cambria Math" w:hAnsi="Cambria Math"/>
                        <w:lang w:bidi="ar"/>
                      </w:rPr>
                    </m:ctrlPr>
                  </m:sSubPr>
                  <m:e>
                    <m:r>
                      <m:rPr>
                        <m:sty m:val="p"/>
                      </m:rPr>
                      <w:rPr>
                        <w:rFonts w:ascii="Cambria Math" w:hAnsi="Cambria Math"/>
                        <w:lang w:bidi="ar"/>
                      </w:rPr>
                      <m:t>r</m:t>
                    </m:r>
                    <m:ctrlPr>
                      <w:rPr>
                        <w:rFonts w:ascii="Cambria Math" w:hAnsi="Cambria Math"/>
                        <w:lang w:bidi="ar"/>
                      </w:rPr>
                    </m:ctrlPr>
                  </m:e>
                  <m:sub>
                    <m:r>
                      <m:rPr>
                        <m:sty m:val="p"/>
                      </m:rPr>
                      <w:rPr>
                        <w:rFonts w:ascii="Cambria Math" w:hAnsi="Cambria Math"/>
                        <w:lang w:bidi="ar"/>
                      </w:rPr>
                      <m:t>3</m:t>
                    </m:r>
                    <m:ctrlPr>
                      <w:rPr>
                        <w:rFonts w:ascii="Cambria Math" w:hAnsi="Cambria Math"/>
                        <w:lang w:bidi="ar"/>
                      </w:rPr>
                    </m:ctrlPr>
                  </m:sub>
                </m:sSub>
                <m:d>
                  <m:dPr>
                    <m:ctrlPr>
                      <w:rPr>
                        <w:rFonts w:ascii="Cambria Math" w:hAnsi="Cambria Math"/>
                        <w:lang w:bidi="ar"/>
                      </w:rPr>
                    </m:ctrlPr>
                  </m:dPr>
                  <m:e>
                    <m:sSub>
                      <m:sSubPr>
                        <m:ctrlPr>
                          <w:rPr>
                            <w:rFonts w:ascii="Cambria Math" w:hAnsi="Cambria Math"/>
                            <w:lang w:bidi="ar"/>
                          </w:rPr>
                        </m:ctrlPr>
                      </m:sSubPr>
                      <m:e>
                        <m:r>
                          <m:rPr>
                            <m:sty m:val="p"/>
                          </m:rPr>
                          <w:rPr>
                            <w:rFonts w:ascii="Cambria Math" w:hAnsi="Cambria Math"/>
                            <w:lang w:bidi="ar"/>
                          </w:rPr>
                          <m:t>lbest</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r>
                      <m:rPr>
                        <m:sty m:val="p"/>
                      </m:rPr>
                      <w:rPr>
                        <w:rFonts w:ascii="Cambria Math" w:hAnsi="Cambria Math"/>
                        <w:lang w:bidi="ar"/>
                      </w:rPr>
                      <m:t>−</m:t>
                    </m:r>
                    <m:sSubSup>
                      <m:sSubSupPr>
                        <m:ctrlPr>
                          <w:rPr>
                            <w:rFonts w:ascii="Cambria Math" w:hAnsi="Cambria Math"/>
                            <w:lang w:bidi="ar"/>
                          </w:rPr>
                        </m:ctrlPr>
                      </m:sSubSupPr>
                      <m:e>
                        <m:r>
                          <m:rPr>
                            <m:sty m:val="p"/>
                          </m:rPr>
                          <w:rPr>
                            <w:rFonts w:ascii="Cambria Math" w:hAnsi="Cambria Math"/>
                            <w:lang w:bidi="ar"/>
                          </w:rPr>
                          <m:t>x</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up>
                        <m:r>
                          <m:rPr>
                            <m:sty m:val="p"/>
                          </m:rPr>
                          <w:rPr>
                            <w:rFonts w:ascii="Cambria Math" w:hAnsi="Cambria Math"/>
                            <w:lang w:bidi="ar"/>
                          </w:rPr>
                          <m:t>k</m:t>
                        </m:r>
                        <m:ctrlPr>
                          <w:rPr>
                            <w:rFonts w:ascii="Cambria Math" w:hAnsi="Cambria Math"/>
                            <w:lang w:bidi="ar"/>
                          </w:rPr>
                        </m:ctrlPr>
                      </m:sup>
                    </m:sSubSup>
                    <m:ctrlPr>
                      <w:rPr>
                        <w:rFonts w:ascii="Cambria Math" w:hAnsi="Cambria Math"/>
                        <w:lang w:bidi="ar"/>
                      </w:rPr>
                    </m:ctrlPr>
                  </m:e>
                </m:d>
                <m:r>
                  <m:rPr>
                    <m:sty m:val="p"/>
                  </m:rPr>
                  <w:rPr>
                    <w:rFonts w:ascii="Cambria Math" w:hAnsi="Cambria Math"/>
                    <w:lang w:bidi="ar"/>
                  </w:rPr>
                  <m:t>+</m:t>
                </m:r>
                <m:sSub>
                  <m:sSubPr>
                    <m:ctrlPr>
                      <w:rPr>
                        <w:rFonts w:ascii="Cambria Math" w:hAnsi="Cambria Math"/>
                        <w:lang w:bidi="ar"/>
                      </w:rPr>
                    </m:ctrlPr>
                  </m:sSubPr>
                  <m:e>
                    <m:r>
                      <m:rPr>
                        <m:sty m:val="p"/>
                      </m:rPr>
                      <w:rPr>
                        <w:rFonts w:ascii="Cambria Math" w:hAnsi="Cambria Math"/>
                        <w:lang w:bidi="ar"/>
                      </w:rPr>
                      <m:t>c</m:t>
                    </m:r>
                    <m:ctrlPr>
                      <w:rPr>
                        <w:rFonts w:ascii="Cambria Math" w:hAnsi="Cambria Math"/>
                        <w:lang w:bidi="ar"/>
                      </w:rPr>
                    </m:ctrlPr>
                  </m:e>
                  <m:sub>
                    <m:r>
                      <m:rPr>
                        <m:sty m:val="p"/>
                      </m:rPr>
                      <w:rPr>
                        <w:rFonts w:ascii="Cambria Math" w:hAnsi="Cambria Math"/>
                        <w:lang w:bidi="ar"/>
                      </w:rPr>
                      <m:t>4</m:t>
                    </m:r>
                    <m:ctrlPr>
                      <w:rPr>
                        <w:rFonts w:ascii="Cambria Math" w:hAnsi="Cambria Math"/>
                        <w:lang w:bidi="ar"/>
                      </w:rPr>
                    </m:ctrlPr>
                  </m:sub>
                </m:sSub>
                <m:sSub>
                  <m:sSubPr>
                    <m:ctrlPr>
                      <w:rPr>
                        <w:rFonts w:ascii="Cambria Math" w:hAnsi="Cambria Math"/>
                        <w:lang w:bidi="ar"/>
                      </w:rPr>
                    </m:ctrlPr>
                  </m:sSubPr>
                  <m:e>
                    <m:r>
                      <m:rPr>
                        <m:sty m:val="p"/>
                      </m:rPr>
                      <w:rPr>
                        <w:rFonts w:ascii="Cambria Math" w:hAnsi="Cambria Math"/>
                        <w:lang w:bidi="ar"/>
                      </w:rPr>
                      <m:t>r</m:t>
                    </m:r>
                    <m:ctrlPr>
                      <w:rPr>
                        <w:rFonts w:ascii="Cambria Math" w:hAnsi="Cambria Math"/>
                        <w:lang w:bidi="ar"/>
                      </w:rPr>
                    </m:ctrlPr>
                  </m:e>
                  <m:sub>
                    <m:r>
                      <m:rPr>
                        <m:sty m:val="p"/>
                      </m:rPr>
                      <w:rPr>
                        <w:rFonts w:ascii="Cambria Math" w:hAnsi="Cambria Math"/>
                        <w:lang w:bidi="ar"/>
                      </w:rPr>
                      <m:t>4</m:t>
                    </m:r>
                    <m:ctrlPr>
                      <w:rPr>
                        <w:rFonts w:ascii="Cambria Math" w:hAnsi="Cambria Math"/>
                        <w:lang w:bidi="ar"/>
                      </w:rPr>
                    </m:ctrlPr>
                  </m:sub>
                </m:sSub>
                <m:d>
                  <m:dPr>
                    <m:ctrlPr>
                      <w:rPr>
                        <w:rFonts w:ascii="Cambria Math" w:hAnsi="Cambria Math"/>
                        <w:lang w:bidi="ar"/>
                      </w:rPr>
                    </m:ctrlPr>
                  </m:dPr>
                  <m:e>
                    <m:r>
                      <m:rPr>
                        <m:sty m:val="p"/>
                      </m:rPr>
                      <w:rPr>
                        <w:rFonts w:ascii="Cambria Math" w:hAnsi="Cambria Math"/>
                        <w:lang w:bidi="ar"/>
                      </w:rPr>
                      <m:t>gbest−</m:t>
                    </m:r>
                    <m:sSubSup>
                      <m:sSubSupPr>
                        <m:ctrlPr>
                          <w:rPr>
                            <w:rFonts w:ascii="Cambria Math" w:hAnsi="Cambria Math"/>
                            <w:lang w:bidi="ar"/>
                          </w:rPr>
                        </m:ctrlPr>
                      </m:sSubSupPr>
                      <m:e>
                        <m:r>
                          <m:rPr>
                            <m:sty m:val="p"/>
                          </m:rPr>
                          <w:rPr>
                            <w:rFonts w:ascii="Cambria Math" w:hAnsi="Cambria Math"/>
                            <w:lang w:bidi="ar"/>
                          </w:rPr>
                          <m:t>x</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up>
                        <m:r>
                          <m:rPr>
                            <m:sty m:val="p"/>
                          </m:rPr>
                          <w:rPr>
                            <w:rFonts w:ascii="Cambria Math" w:hAnsi="Cambria Math"/>
                            <w:lang w:bidi="ar"/>
                          </w:rPr>
                          <m:t>k</m:t>
                        </m:r>
                        <m:ctrlPr>
                          <w:rPr>
                            <w:rFonts w:ascii="Cambria Math" w:hAnsi="Cambria Math"/>
                            <w:lang w:bidi="ar"/>
                          </w:rPr>
                        </m:ctrlPr>
                      </m:sup>
                    </m:sSubSup>
                    <m:ctrlPr>
                      <w:rPr>
                        <w:rFonts w:ascii="Cambria Math" w:hAnsi="Cambria Math"/>
                        <w:lang w:bidi="ar"/>
                      </w:rPr>
                    </m:ctrlPr>
                  </m:e>
                </m:d>
              </m:oMath>
            </m:oMathPara>
          </w:p>
        </w:tc>
        <w:tc>
          <w:tcPr>
            <w:tcW w:w="968" w:type="pct"/>
            <w:tcBorders>
              <w:top w:val="nil"/>
              <w:left w:val="nil"/>
              <w:bottom w:val="nil"/>
              <w:right w:val="nil"/>
            </w:tcBorders>
            <w:vAlign w:val="center"/>
          </w:tcPr>
          <w:p w14:paraId="1FBBDCB8">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21</w:t>
            </w:r>
            <w:r>
              <w:rPr>
                <w:rFonts w:hint="eastAsia"/>
              </w:rPr>
              <w:fldChar w:fldCharType="end"/>
            </w:r>
            <w:r>
              <w:t>)</w:t>
            </w:r>
          </w:p>
        </w:tc>
      </w:tr>
    </w:tbl>
    <w:p w14:paraId="32890249">
      <w:pPr>
        <w:ind w:firstLine="480" w:firstLineChars="200"/>
        <w:rPr>
          <w:lang w:bidi="ar"/>
        </w:rPr>
      </w:pPr>
      <w:r>
        <w:rPr>
          <w:lang w:bidi="ar"/>
        </w:rPr>
        <w:t>在代码实现中，惯性权重和学习因子会随迭代进度动态调整，速度更新后会被限制在给定范围内。位置更新时，代码先对</w:t>
      </w:r>
      <m:oMath>
        <m:sSubSup>
          <m:sSubSupPr>
            <m:ctrlPr>
              <w:rPr>
                <w:rFonts w:ascii="Cambria Math" w:hAnsi="Cambria Math"/>
                <w:lang w:bidi="ar"/>
              </w:rPr>
            </m:ctrlPr>
          </m:sSubSupPr>
          <m:e>
            <m:r>
              <m:rPr>
                <m:sty m:val="p"/>
              </m:rPr>
              <w:rPr>
                <w:rFonts w:ascii="Cambria Math" w:hAnsi="Cambria Math"/>
                <w:lang w:bidi="ar"/>
              </w:rPr>
              <m:t>x</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up>
            <m:r>
              <m:rPr>
                <m:sty m:val="p"/>
              </m:rPr>
              <w:rPr>
                <w:rFonts w:ascii="Cambria Math" w:hAnsi="Cambria Math"/>
                <w:lang w:bidi="ar"/>
              </w:rPr>
              <m:t>k</m:t>
            </m:r>
            <m:ctrlPr>
              <w:rPr>
                <w:rFonts w:ascii="Cambria Math" w:hAnsi="Cambria Math"/>
                <w:lang w:bidi="ar"/>
              </w:rPr>
            </m:ctrlPr>
          </m:sup>
        </m:sSubSup>
        <m:r>
          <m:rPr>
            <m:sty m:val="p"/>
          </m:rPr>
          <w:rPr>
            <w:rFonts w:ascii="Cambria Math" w:hAnsi="Cambria Math"/>
            <w:lang w:bidi="ar"/>
          </w:rPr>
          <m:t>+</m:t>
        </m:r>
        <m:sSubSup>
          <m:sSubSupPr>
            <m:ctrlPr>
              <w:rPr>
                <w:rFonts w:ascii="Cambria Math" w:hAnsi="Cambria Math"/>
                <w:lang w:bidi="ar"/>
              </w:rPr>
            </m:ctrlPr>
          </m:sSubSupPr>
          <m:e>
            <m:r>
              <m:rPr>
                <m:sty m:val="p"/>
              </m:rPr>
              <w:rPr>
                <w:rFonts w:ascii="Cambria Math" w:hAnsi="Cambria Math"/>
                <w:lang w:bidi="ar"/>
              </w:rPr>
              <m:t>v</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up>
            <m:r>
              <m:rPr>
                <m:sty m:val="p"/>
              </m:rPr>
              <w:rPr>
                <w:rFonts w:ascii="Cambria Math" w:hAnsi="Cambria Math"/>
                <w:lang w:bidi="ar"/>
              </w:rPr>
              <m:t>k+1</m:t>
            </m:r>
            <m:ctrlPr>
              <w:rPr>
                <w:rFonts w:ascii="Cambria Math" w:hAnsi="Cambria Math"/>
                <w:lang w:bidi="ar"/>
              </w:rPr>
            </m:ctrlPr>
          </m:sup>
        </m:sSubSup>
      </m:oMath>
      <w:r>
        <w:rPr>
          <w:lang w:bidi="ar"/>
        </w:rPr>
        <w:t xml:space="preserve"> 进行上下界裁剪，然后对热流控制量进行轻微平滑，最后再次裁剪到允许的热流上下界范围内，可写为：</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4C79B44A">
        <w:tblPrEx>
          <w:tblCellMar>
            <w:top w:w="0" w:type="dxa"/>
            <w:left w:w="108" w:type="dxa"/>
            <w:bottom w:w="0" w:type="dxa"/>
            <w:right w:w="108" w:type="dxa"/>
          </w:tblCellMar>
        </w:tblPrEx>
        <w:tc>
          <w:tcPr>
            <w:tcW w:w="4032" w:type="pct"/>
            <w:tcBorders>
              <w:top w:val="nil"/>
              <w:left w:val="nil"/>
              <w:bottom w:val="nil"/>
              <w:right w:val="nil"/>
            </w:tcBorders>
          </w:tcPr>
          <w:p w14:paraId="4D297479">
            <w:pPr>
              <w:rPr>
                <w:lang w:bidi="ar"/>
              </w:rPr>
            </w:pPr>
            <m:oMathPara>
              <m:oMath>
                <m:sSubSup>
                  <m:sSubSupPr>
                    <m:ctrlPr>
                      <w:rPr>
                        <w:rFonts w:ascii="Cambria Math" w:hAnsi="Cambria Math"/>
                        <w:lang w:bidi="ar"/>
                      </w:rPr>
                    </m:ctrlPr>
                  </m:sSubSupPr>
                  <m:e>
                    <m:r>
                      <m:rPr>
                        <m:sty m:val="p"/>
                      </m:rPr>
                      <w:rPr>
                        <w:rFonts w:ascii="Cambria Math" w:hAnsi="Cambria Math"/>
                        <w:lang w:bidi="ar"/>
                      </w:rPr>
                      <m:t>x</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up>
                    <m:r>
                      <m:rPr>
                        <m:sty m:val="p"/>
                      </m:rPr>
                      <w:rPr>
                        <w:rFonts w:ascii="Cambria Math" w:hAnsi="Cambria Math"/>
                        <w:lang w:bidi="ar"/>
                      </w:rPr>
                      <m:t>k+1</m:t>
                    </m:r>
                    <m:ctrlPr>
                      <w:rPr>
                        <w:rFonts w:ascii="Cambria Math" w:hAnsi="Cambria Math"/>
                        <w:lang w:bidi="ar"/>
                      </w:rPr>
                    </m:ctrlPr>
                  </m:sup>
                </m:sSubSup>
                <m:r>
                  <m:rPr>
                    <m:sty m:val="p"/>
                  </m:rPr>
                  <w:rPr>
                    <w:rFonts w:ascii="Cambria Math" w:hAnsi="Cambria Math"/>
                    <w:lang w:bidi="ar"/>
                  </w:rPr>
                  <m:t>=Proj</m:t>
                </m:r>
                <m:d>
                  <m:dPr>
                    <m:begChr m:val="["/>
                    <m:endChr m:val="]"/>
                    <m:ctrlPr>
                      <w:rPr>
                        <w:rFonts w:ascii="Cambria Math" w:hAnsi="Cambria Math"/>
                        <w:lang w:bidi="ar"/>
                      </w:rPr>
                    </m:ctrlPr>
                  </m:dPr>
                  <m:e>
                    <m:r>
                      <m:rPr>
                        <m:sty m:val="p"/>
                      </m:rPr>
                      <w:rPr>
                        <w:rFonts w:ascii="Cambria Math" w:hAnsi="Cambria Math"/>
                        <w:lang w:bidi="ar"/>
                      </w:rPr>
                      <m:t>Smooth</m:t>
                    </m:r>
                    <m:d>
                      <m:dPr>
                        <m:ctrlPr>
                          <w:rPr>
                            <w:rFonts w:ascii="Cambria Math" w:hAnsi="Cambria Math"/>
                            <w:lang w:bidi="ar"/>
                          </w:rPr>
                        </m:ctrlPr>
                      </m:dPr>
                      <m:e>
                        <m:r>
                          <m:rPr>
                            <m:sty m:val="p"/>
                          </m:rPr>
                          <w:rPr>
                            <w:rFonts w:ascii="Cambria Math" w:hAnsi="Cambria Math"/>
                            <w:lang w:bidi="ar"/>
                          </w:rPr>
                          <m:t>Proj</m:t>
                        </m:r>
                        <m:d>
                          <m:dPr>
                            <m:ctrlPr>
                              <w:rPr>
                                <w:rFonts w:ascii="Cambria Math" w:hAnsi="Cambria Math"/>
                                <w:lang w:bidi="ar"/>
                              </w:rPr>
                            </m:ctrlPr>
                          </m:dPr>
                          <m:e>
                            <m:sSubSup>
                              <m:sSubSupPr>
                                <m:ctrlPr>
                                  <w:rPr>
                                    <w:rFonts w:ascii="Cambria Math" w:hAnsi="Cambria Math"/>
                                    <w:lang w:bidi="ar"/>
                                  </w:rPr>
                                </m:ctrlPr>
                              </m:sSubSupPr>
                              <m:e>
                                <m:r>
                                  <m:rPr>
                                    <m:sty m:val="p"/>
                                  </m:rPr>
                                  <w:rPr>
                                    <w:rFonts w:ascii="Cambria Math" w:hAnsi="Cambria Math"/>
                                    <w:lang w:bidi="ar"/>
                                  </w:rPr>
                                  <m:t>x</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up>
                                <m:r>
                                  <m:rPr>
                                    <m:sty m:val="p"/>
                                  </m:rPr>
                                  <w:rPr>
                                    <w:rFonts w:ascii="Cambria Math" w:hAnsi="Cambria Math"/>
                                    <w:lang w:bidi="ar"/>
                                  </w:rPr>
                                  <m:t>k</m:t>
                                </m:r>
                                <m:ctrlPr>
                                  <w:rPr>
                                    <w:rFonts w:ascii="Cambria Math" w:hAnsi="Cambria Math"/>
                                    <w:lang w:bidi="ar"/>
                                  </w:rPr>
                                </m:ctrlPr>
                              </m:sup>
                            </m:sSubSup>
                            <m:r>
                              <m:rPr>
                                <m:sty m:val="p"/>
                              </m:rPr>
                              <w:rPr>
                                <w:rFonts w:ascii="Cambria Math" w:hAnsi="Cambria Math"/>
                                <w:lang w:bidi="ar"/>
                              </w:rPr>
                              <m:t>+</m:t>
                            </m:r>
                            <m:sSubSup>
                              <m:sSubSupPr>
                                <m:ctrlPr>
                                  <w:rPr>
                                    <w:rFonts w:ascii="Cambria Math" w:hAnsi="Cambria Math"/>
                                    <w:lang w:bidi="ar"/>
                                  </w:rPr>
                                </m:ctrlPr>
                              </m:sSubSupPr>
                              <m:e>
                                <m:r>
                                  <m:rPr>
                                    <m:sty m:val="p"/>
                                  </m:rPr>
                                  <w:rPr>
                                    <w:rFonts w:ascii="Cambria Math" w:hAnsi="Cambria Math"/>
                                    <w:lang w:bidi="ar"/>
                                  </w:rPr>
                                  <m:t>v</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up>
                                <m:r>
                                  <m:rPr>
                                    <m:sty m:val="p"/>
                                  </m:rPr>
                                  <w:rPr>
                                    <w:rFonts w:ascii="Cambria Math" w:hAnsi="Cambria Math"/>
                                    <w:lang w:bidi="ar"/>
                                  </w:rPr>
                                  <m:t>k+1</m:t>
                                </m:r>
                                <m:ctrlPr>
                                  <w:rPr>
                                    <w:rFonts w:ascii="Cambria Math" w:hAnsi="Cambria Math"/>
                                    <w:lang w:bidi="ar"/>
                                  </w:rPr>
                                </m:ctrlPr>
                              </m:sup>
                            </m:sSubSup>
                            <m:ctrlPr>
                              <w:rPr>
                                <w:rFonts w:ascii="Cambria Math" w:hAnsi="Cambria Math"/>
                                <w:lang w:bidi="ar"/>
                              </w:rPr>
                            </m:ctrlPr>
                          </m:e>
                        </m:d>
                        <m:ctrlPr>
                          <w:rPr>
                            <w:rFonts w:ascii="Cambria Math" w:hAnsi="Cambria Math"/>
                            <w:lang w:bidi="ar"/>
                          </w:rPr>
                        </m:ctrlPr>
                      </m:e>
                    </m:d>
                    <m:ctrlPr>
                      <w:rPr>
                        <w:rFonts w:ascii="Cambria Math" w:hAnsi="Cambria Math"/>
                        <w:lang w:bidi="ar"/>
                      </w:rPr>
                    </m:ctrlPr>
                  </m:e>
                </m:d>
              </m:oMath>
            </m:oMathPara>
          </w:p>
        </w:tc>
        <w:tc>
          <w:tcPr>
            <w:tcW w:w="968" w:type="pct"/>
            <w:tcBorders>
              <w:top w:val="nil"/>
              <w:left w:val="nil"/>
              <w:bottom w:val="nil"/>
              <w:right w:val="nil"/>
            </w:tcBorders>
            <w:vAlign w:val="center"/>
          </w:tcPr>
          <w:p w14:paraId="4A662A83">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22</w:t>
            </w:r>
            <w:r>
              <w:rPr>
                <w:rFonts w:hint="eastAsia"/>
              </w:rPr>
              <w:fldChar w:fldCharType="end"/>
            </w:r>
            <w:r>
              <w:t>)</w:t>
            </w:r>
          </w:p>
        </w:tc>
      </w:tr>
    </w:tbl>
    <w:p w14:paraId="74064668">
      <w:pPr>
        <w:ind w:firstLine="480" w:firstLineChars="200"/>
        <w:rPr>
          <w:lang w:bidi="ar"/>
        </w:rPr>
      </w:pPr>
      <w:r>
        <w:rPr>
          <w:lang w:bidi="ar"/>
        </w:rPr>
        <w:t>其中</w:t>
      </w:r>
      <m:oMath>
        <m:sSub>
          <m:sSubPr>
            <m:ctrlPr>
              <w:rPr>
                <w:rFonts w:ascii="Cambria Math" w:hAnsi="Cambria Math"/>
                <w:lang w:bidi="ar"/>
              </w:rPr>
            </m:ctrlPr>
          </m:sSubPr>
          <m:e>
            <m:r>
              <m:rPr>
                <m:sty m:val="p"/>
              </m:rPr>
              <w:rPr>
                <w:rFonts w:ascii="Cambria Math" w:hAnsi="Cambria Math"/>
                <w:lang w:bidi="ar"/>
              </w:rPr>
              <m:t>pbest</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oMath>
      <w:r>
        <w:rPr>
          <w:lang w:bidi="ar"/>
        </w:rPr>
        <w:t>为粒子自身历史最优，</w:t>
      </w:r>
      <m:oMath>
        <m:sSub>
          <m:sSubPr>
            <m:ctrlPr>
              <w:rPr>
                <w:rFonts w:ascii="Cambria Math" w:hAnsi="Cambria Math"/>
                <w:lang w:bidi="ar"/>
              </w:rPr>
            </m:ctrlPr>
          </m:sSubPr>
          <m:e>
            <m:r>
              <m:rPr>
                <m:sty m:val="p"/>
              </m:rPr>
              <w:rPr>
                <w:rFonts w:ascii="Cambria Math" w:hAnsi="Cambria Math"/>
                <w:lang w:bidi="ar"/>
              </w:rPr>
              <m:t>lbest</m:t>
            </m:r>
            <m:ctrlPr>
              <w:rPr>
                <w:rFonts w:ascii="Cambria Math" w:hAnsi="Cambria Math"/>
                <w:lang w:bidi="ar"/>
              </w:rPr>
            </m:ctrlPr>
          </m:e>
          <m:sub>
            <m:r>
              <m:rPr>
                <m:sty m:val="p"/>
              </m:rPr>
              <w:rPr>
                <w:rFonts w:ascii="Cambria Math" w:hAnsi="Cambria Math"/>
                <w:lang w:bidi="ar"/>
              </w:rPr>
              <m:t>i</m:t>
            </m:r>
            <m:ctrlPr>
              <w:rPr>
                <w:rFonts w:ascii="Cambria Math" w:hAnsi="Cambria Math"/>
                <w:lang w:bidi="ar"/>
              </w:rPr>
            </m:ctrlPr>
          </m:sub>
        </m:sSub>
      </m:oMath>
      <w:r>
        <w:rPr>
          <w:lang w:bidi="ar"/>
        </w:rPr>
        <w:t>为邻域最优，</w:t>
      </w:r>
      <m:oMath>
        <m:r>
          <m:rPr>
            <m:sty m:val="p"/>
          </m:rPr>
          <w:rPr>
            <w:rFonts w:ascii="Cambria Math" w:hAnsi="Cambria Math"/>
            <w:lang w:bidi="ar"/>
          </w:rPr>
          <m:t>gbest</m:t>
        </m:r>
      </m:oMath>
      <w:r>
        <w:rPr>
          <w:lang w:bidi="ar"/>
        </w:rPr>
        <w:t>为全局最优。</w:t>
      </w:r>
      <m:oMath>
        <m:r>
          <m:rPr>
            <m:sty m:val="p"/>
          </m:rPr>
          <w:rPr>
            <w:rFonts w:ascii="Cambria Math" w:hAnsi="Cambria Math"/>
            <w:lang w:bidi="ar"/>
          </w:rPr>
          <m:t>TOF</m:t>
        </m:r>
      </m:oMath>
      <w:r>
        <w:rPr>
          <w:lang w:bidi="ar"/>
        </w:rPr>
        <w:t>误差项采用预测</w:t>
      </w:r>
      <m:oMath>
        <m:r>
          <m:rPr>
            <m:sty m:val="p"/>
          </m:rPr>
          <w:rPr>
            <w:rFonts w:ascii="Cambria Math" w:hAnsi="Cambria Math"/>
            <w:lang w:bidi="ar"/>
          </w:rPr>
          <m:t>TOF</m:t>
        </m:r>
      </m:oMath>
      <w:r>
        <w:rPr>
          <w:lang w:bidi="ar"/>
        </w:rPr>
        <w:t>与实测</w:t>
      </w:r>
      <m:oMath>
        <m:r>
          <m:rPr>
            <m:sty m:val="p"/>
          </m:rPr>
          <w:rPr>
            <w:rFonts w:ascii="Cambria Math" w:hAnsi="Cambria Math"/>
            <w:lang w:bidi="ar"/>
          </w:rPr>
          <m:t>TOF</m:t>
        </m:r>
      </m:oMath>
      <w:r>
        <w:rPr>
          <w:lang w:bidi="ar"/>
        </w:rPr>
        <w:t>的相对残差平方均值。</w:t>
      </w:r>
    </w:p>
    <w:p w14:paraId="2FC80795">
      <w:pPr>
        <w:ind w:firstLine="480" w:firstLineChars="200"/>
        <w:rPr>
          <w:lang w:bidi="ar"/>
        </w:rPr>
      </w:pPr>
      <w:r>
        <w:rPr>
          <w:lang w:bidi="ar"/>
        </w:rPr>
        <w:t>在PSO阶段，代码还会计算额外的</w:t>
      </w:r>
      <m:oMath>
        <m:r>
          <m:rPr>
            <m:sty m:val="p"/>
          </m:rPr>
          <w:rPr>
            <w:rFonts w:ascii="Cambria Math" w:hAnsi="Cambria Math"/>
            <w:lang w:bidi="ar"/>
          </w:rPr>
          <m:t>score</m:t>
        </m:r>
      </m:oMath>
      <w:r>
        <w:rPr>
          <w:lang w:bidi="ar"/>
        </w:rPr>
        <w:t>：</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2D7BA326">
        <w:tblPrEx>
          <w:tblCellMar>
            <w:top w:w="0" w:type="dxa"/>
            <w:left w:w="108" w:type="dxa"/>
            <w:bottom w:w="0" w:type="dxa"/>
            <w:right w:w="108" w:type="dxa"/>
          </w:tblCellMar>
        </w:tblPrEx>
        <w:tc>
          <w:tcPr>
            <w:tcW w:w="4032" w:type="pct"/>
            <w:tcBorders>
              <w:top w:val="nil"/>
              <w:left w:val="nil"/>
              <w:bottom w:val="nil"/>
              <w:right w:val="nil"/>
            </w:tcBorders>
          </w:tcPr>
          <w:p w14:paraId="27D7A616">
            <w:pPr>
              <w:rPr>
                <w:lang w:bidi="ar"/>
              </w:rPr>
            </w:pPr>
            <m:oMathPara>
              <m:oMath>
                <m:r>
                  <m:rPr>
                    <m:sty m:val="p"/>
                  </m:rPr>
                  <w:rPr>
                    <w:rFonts w:ascii="Cambria Math" w:hAnsi="Cambria Math"/>
                    <w:lang w:bidi="ar"/>
                  </w:rPr>
                  <m:t>score=objective+</m:t>
                </m:r>
                <m:sSub>
                  <m:sSubPr>
                    <m:ctrlPr>
                      <w:rPr>
                        <w:rFonts w:ascii="Cambria Math" w:hAnsi="Cambria Math"/>
                        <w:lang w:bidi="ar"/>
                      </w:rPr>
                    </m:ctrlPr>
                  </m:sSubPr>
                  <m:e>
                    <m:r>
                      <m:rPr>
                        <m:sty m:val="p"/>
                      </m:rPr>
                      <w:rPr>
                        <w:rFonts w:ascii="Cambria Math" w:hAnsi="Cambria Math"/>
                        <w:lang w:bidi="ar"/>
                      </w:rPr>
                      <m:t>λ</m:t>
                    </m:r>
                    <m:ctrlPr>
                      <w:rPr>
                        <w:rFonts w:ascii="Cambria Math" w:hAnsi="Cambria Math"/>
                        <w:lang w:bidi="ar"/>
                      </w:rPr>
                    </m:ctrlPr>
                  </m:e>
                  <m:sub>
                    <m:r>
                      <m:rPr>
                        <m:sty m:val="p"/>
                      </m:rPr>
                      <w:rPr>
                        <w:rFonts w:ascii="Cambria Math" w:hAnsi="Cambria Math"/>
                        <w:lang w:bidi="ar"/>
                      </w:rPr>
                      <m:t>r</m:t>
                    </m:r>
                    <m:ctrlPr>
                      <w:rPr>
                        <w:rFonts w:ascii="Cambria Math" w:hAnsi="Cambria Math"/>
                        <w:lang w:bidi="ar"/>
                      </w:rPr>
                    </m:ctrlPr>
                  </m:sub>
                </m:sSub>
                <m:sSub>
                  <m:sSubPr>
                    <m:ctrlPr>
                      <w:rPr>
                        <w:rFonts w:ascii="Cambria Math" w:hAnsi="Cambria Math"/>
                        <w:lang w:bidi="ar"/>
                      </w:rPr>
                    </m:ctrlPr>
                  </m:sSubPr>
                  <m:e>
                    <m:r>
                      <m:rPr>
                        <m:sty m:val="p"/>
                      </m:rPr>
                      <w:rPr>
                        <w:rFonts w:ascii="Cambria Math" w:hAnsi="Cambria Math"/>
                        <w:lang w:bidi="ar"/>
                      </w:rPr>
                      <m:t>R</m:t>
                    </m:r>
                    <m:ctrlPr>
                      <w:rPr>
                        <w:rFonts w:ascii="Cambria Math" w:hAnsi="Cambria Math"/>
                        <w:lang w:bidi="ar"/>
                      </w:rPr>
                    </m:ctrlPr>
                  </m:e>
                  <m:sub>
                    <m:r>
                      <m:rPr>
                        <m:sty m:val="p"/>
                      </m:rPr>
                      <w:rPr>
                        <w:rFonts w:ascii="Cambria Math" w:hAnsi="Cambria Math"/>
                        <w:lang w:bidi="ar"/>
                      </w:rPr>
                      <m:t>rough</m:t>
                    </m:r>
                    <m:ctrlPr>
                      <w:rPr>
                        <w:rFonts w:ascii="Cambria Math" w:hAnsi="Cambria Math"/>
                        <w:lang w:bidi="ar"/>
                      </w:rPr>
                    </m:ctrlPr>
                  </m:sub>
                </m:sSub>
                <m:d>
                  <m:dPr>
                    <m:ctrlPr>
                      <w:rPr>
                        <w:rFonts w:ascii="Cambria Math" w:hAnsi="Cambria Math"/>
                        <w:lang w:bidi="ar"/>
                      </w:rPr>
                    </m:ctrlPr>
                  </m:dPr>
                  <m:e>
                    <m:r>
                      <m:rPr>
                        <m:sty m:val="p"/>
                      </m:rPr>
                      <w:rPr>
                        <w:rFonts w:ascii="Cambria Math" w:hAnsi="Cambria Math"/>
                        <w:lang w:bidi="ar"/>
                      </w:rPr>
                      <m:t>q</m:t>
                    </m:r>
                    <m:ctrlPr>
                      <w:rPr>
                        <w:rFonts w:ascii="Cambria Math" w:hAnsi="Cambria Math"/>
                        <w:lang w:bidi="ar"/>
                      </w:rPr>
                    </m:ctrlPr>
                  </m:e>
                </m:d>
              </m:oMath>
            </m:oMathPara>
          </w:p>
        </w:tc>
        <w:tc>
          <w:tcPr>
            <w:tcW w:w="968" w:type="pct"/>
            <w:tcBorders>
              <w:top w:val="nil"/>
              <w:left w:val="nil"/>
              <w:bottom w:val="nil"/>
              <w:right w:val="nil"/>
            </w:tcBorders>
            <w:vAlign w:val="center"/>
          </w:tcPr>
          <w:p w14:paraId="170B745C">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23</w:t>
            </w:r>
            <w:r>
              <w:rPr>
                <w:rFonts w:hint="eastAsia"/>
              </w:rPr>
              <w:fldChar w:fldCharType="end"/>
            </w:r>
            <w:r>
              <w:t>)</w:t>
            </w:r>
          </w:p>
        </w:tc>
      </w:tr>
    </w:tbl>
    <w:p w14:paraId="7B2EA558">
      <w:pPr>
        <w:ind w:firstLine="480" w:firstLineChars="200"/>
        <w:rPr>
          <w:lang w:bidi="ar"/>
        </w:rPr>
      </w:pPr>
      <w:r>
        <w:rPr>
          <w:lang w:bidi="ar"/>
        </w:rPr>
        <w:t>其中</w:t>
      </w:r>
      <m:oMath>
        <m:sSub>
          <m:sSubPr>
            <m:ctrlPr>
              <w:rPr>
                <w:rFonts w:ascii="Cambria Math" w:hAnsi="Cambria Math"/>
                <w:lang w:bidi="ar"/>
              </w:rPr>
            </m:ctrlPr>
          </m:sSubPr>
          <m:e>
            <m:r>
              <m:rPr>
                <m:sty m:val="p"/>
              </m:rPr>
              <w:rPr>
                <w:rFonts w:ascii="Cambria Math" w:hAnsi="Cambria Math"/>
                <w:lang w:bidi="ar"/>
              </w:rPr>
              <m:t>R</m:t>
            </m:r>
            <m:ctrlPr>
              <w:rPr>
                <w:rFonts w:ascii="Cambria Math" w:hAnsi="Cambria Math"/>
                <w:lang w:bidi="ar"/>
              </w:rPr>
            </m:ctrlPr>
          </m:e>
          <m:sub>
            <m:r>
              <m:rPr>
                <m:sty m:val="p"/>
              </m:rPr>
              <w:rPr>
                <w:rFonts w:ascii="Cambria Math" w:hAnsi="Cambria Math"/>
                <w:lang w:bidi="ar"/>
              </w:rPr>
              <m:t>rough</m:t>
            </m:r>
            <m:ctrlPr>
              <w:rPr>
                <w:rFonts w:ascii="Cambria Math" w:hAnsi="Cambria Math"/>
                <w:lang w:bidi="ar"/>
              </w:rPr>
            </m:ctrlPr>
          </m:sub>
        </m:sSub>
        <m:d>
          <m:dPr>
            <m:ctrlPr>
              <w:rPr>
                <w:rFonts w:ascii="Cambria Math" w:hAnsi="Cambria Math"/>
                <w:lang w:bidi="ar"/>
              </w:rPr>
            </m:ctrlPr>
          </m:dPr>
          <m:e>
            <m:r>
              <m:rPr>
                <m:sty m:val="p"/>
              </m:rPr>
              <w:rPr>
                <w:rFonts w:ascii="Cambria Math" w:hAnsi="Cambria Math"/>
                <w:lang w:bidi="ar"/>
              </w:rPr>
              <m:t>q</m:t>
            </m:r>
            <m:ctrlPr>
              <w:rPr>
                <w:rFonts w:ascii="Cambria Math" w:hAnsi="Cambria Math"/>
                <w:lang w:bidi="ar"/>
              </w:rPr>
            </m:ctrlPr>
          </m:e>
        </m:d>
      </m:oMath>
      <w:r>
        <w:rPr>
          <w:lang w:bidi="ar"/>
        </w:rPr>
        <w:t>用于衡量热流控制量相对于局部平滑结果的粗糙程度。</w:t>
      </w:r>
      <m:oMath>
        <m:r>
          <m:rPr>
            <m:sty m:val="p"/>
          </m:rPr>
          <w:rPr>
            <w:rFonts w:ascii="Cambria Math" w:hAnsi="Cambria Math"/>
            <w:lang w:bidi="ar"/>
          </w:rPr>
          <m:t>score</m:t>
        </m:r>
      </m:oMath>
      <w:r>
        <w:rPr>
          <w:lang w:bidi="ar"/>
        </w:rPr>
        <w:t>不只是用于记录，还会在</w:t>
      </w:r>
      <m:oMath>
        <m:r>
          <m:rPr>
            <m:sty m:val="p"/>
          </m:rPr>
          <w:rPr>
            <w:rFonts w:ascii="Cambria Math" w:hAnsi="Cambria Math"/>
            <w:lang w:bidi="ar"/>
          </w:rPr>
          <m:t>objective</m:t>
        </m:r>
      </m:oMath>
      <w:r>
        <w:rPr>
          <w:lang w:bidi="ar"/>
        </w:rPr>
        <w:t>接近时参与pbest和</w:t>
      </w:r>
      <m:oMath>
        <m:r>
          <m:rPr>
            <m:sty m:val="p"/>
          </m:rPr>
          <w:rPr>
            <w:rFonts w:ascii="Cambria Math" w:hAnsi="Cambria Math"/>
            <w:lang w:bidi="ar"/>
          </w:rPr>
          <m:t>gbest</m:t>
        </m:r>
      </m:oMath>
      <w:r>
        <w:rPr>
          <w:lang w:bidi="ar"/>
        </w:rPr>
        <w:t>的择优，使算法优先选择较平滑的热流控制量。</w:t>
      </w:r>
    </w:p>
    <w:p w14:paraId="478A182E">
      <w:pPr>
        <w:ind w:firstLine="480" w:firstLineChars="200"/>
        <w:rPr>
          <w:lang w:bidi="ar"/>
        </w:rPr>
      </w:pPr>
      <w:r>
        <w:rPr>
          <w:lang w:bidi="ar"/>
        </w:rPr>
        <w:t>PSO结束后，代码不会直接把原始</w:t>
      </w:r>
      <m:oMath>
        <m:r>
          <m:rPr>
            <m:sty m:val="p"/>
          </m:rPr>
          <w:rPr>
            <w:rFonts w:ascii="Cambria Math" w:hAnsi="Cambria Math"/>
            <w:lang w:bidi="ar"/>
          </w:rPr>
          <m:t>gbest</m:t>
        </m:r>
      </m:oMath>
      <w:r>
        <w:rPr>
          <w:lang w:bidi="ar"/>
        </w:rPr>
        <w:t>交给CG，而是先进行一次PSO-CG handoff平滑测试。</w:t>
      </w:r>
    </w:p>
    <w:p w14:paraId="17CE7641">
      <w:pPr>
        <w:ind w:firstLine="480" w:firstLineChars="200"/>
        <w:rPr>
          <w:lang w:bidi="ar"/>
        </w:rPr>
      </w:pPr>
      <w:r>
        <w:rPr>
          <w:lang w:bidi="ar"/>
        </w:rPr>
        <w:t>CG阶段采用前向有限差分计算</w:t>
      </w:r>
      <m:oMath>
        <m:r>
          <m:rPr>
            <m:sty m:val="p"/>
          </m:rPr>
          <w:rPr>
            <w:rFonts w:ascii="Cambria Math" w:hAnsi="Cambria Math"/>
            <w:lang w:bidi="ar"/>
          </w:rPr>
          <m:t>objective</m:t>
        </m:r>
      </m:oMath>
      <w:r>
        <w:rPr>
          <w:lang w:bidi="ar"/>
        </w:rPr>
        <w:t>对热流控制量的梯度，并构造共轭方向：</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5ED9738B">
        <w:tblPrEx>
          <w:tblCellMar>
            <w:top w:w="0" w:type="dxa"/>
            <w:left w:w="108" w:type="dxa"/>
            <w:bottom w:w="0" w:type="dxa"/>
            <w:right w:w="108" w:type="dxa"/>
          </w:tblCellMar>
        </w:tblPrEx>
        <w:tc>
          <w:tcPr>
            <w:tcW w:w="4032" w:type="pct"/>
            <w:tcBorders>
              <w:top w:val="nil"/>
              <w:left w:val="nil"/>
              <w:bottom w:val="nil"/>
              <w:right w:val="nil"/>
            </w:tcBorders>
          </w:tcPr>
          <w:p w14:paraId="669B5169">
            <w:pPr>
              <w:rPr>
                <w:lang w:bidi="ar"/>
              </w:rPr>
            </w:pPr>
            <m:oMathPara>
              <m:oMath>
                <m:sSub>
                  <m:sSubPr>
                    <m:ctrlPr>
                      <w:rPr>
                        <w:rFonts w:ascii="Cambria Math" w:hAnsi="Cambria Math"/>
                        <w:lang w:bidi="ar"/>
                      </w:rPr>
                    </m:ctrlPr>
                  </m:sSubPr>
                  <m:e>
                    <m:r>
                      <m:rPr>
                        <m:sty m:val="p"/>
                      </m:rPr>
                      <w:rPr>
                        <w:rFonts w:ascii="Cambria Math" w:hAnsi="Cambria Math"/>
                        <w:lang w:bidi="ar"/>
                      </w:rPr>
                      <m:t>P</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r>
                  <m:rPr>
                    <m:sty m:val="p"/>
                  </m:rPr>
                  <w:rPr>
                    <w:rFonts w:ascii="Cambria Math" w:hAnsi="Cambria Math"/>
                    <w:lang w:bidi="ar"/>
                  </w:rPr>
                  <m:t>=</m:t>
                </m:r>
                <m:sSub>
                  <m:sSubPr>
                    <m:ctrlPr>
                      <w:rPr>
                        <w:rFonts w:ascii="Cambria Math" w:hAnsi="Cambria Math"/>
                        <w:lang w:bidi="ar"/>
                      </w:rPr>
                    </m:ctrlPr>
                  </m:sSubPr>
                  <m:e>
                    <m:r>
                      <m:rPr>
                        <m:sty m:val="p"/>
                      </m:rPr>
                      <w:rPr>
                        <w:rFonts w:ascii="Cambria Math" w:hAnsi="Cambria Math"/>
                        <w:lang w:bidi="ar"/>
                      </w:rPr>
                      <m:t>g</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r>
                  <m:rPr>
                    <m:sty m:val="p"/>
                  </m:rPr>
                  <w:rPr>
                    <w:rFonts w:ascii="Cambria Math" w:hAnsi="Cambria Math"/>
                    <w:lang w:bidi="ar"/>
                  </w:rPr>
                  <m:t>+</m:t>
                </m:r>
                <m:sSub>
                  <m:sSubPr>
                    <m:ctrlPr>
                      <w:rPr>
                        <w:rFonts w:ascii="Cambria Math" w:hAnsi="Cambria Math"/>
                        <w:lang w:bidi="ar"/>
                      </w:rPr>
                    </m:ctrlPr>
                  </m:sSubPr>
                  <m:e>
                    <m:r>
                      <m:rPr>
                        <m:sty m:val="p"/>
                      </m:rPr>
                      <w:rPr>
                        <w:rFonts w:ascii="Cambria Math" w:hAnsi="Cambria Math"/>
                        <w:lang w:bidi="ar"/>
                      </w:rPr>
                      <m:t>γ</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sSub>
                  <m:sSubPr>
                    <m:ctrlPr>
                      <w:rPr>
                        <w:rFonts w:ascii="Cambria Math" w:hAnsi="Cambria Math"/>
                        <w:lang w:bidi="ar"/>
                      </w:rPr>
                    </m:ctrlPr>
                  </m:sSubPr>
                  <m:e>
                    <m:r>
                      <m:rPr>
                        <m:sty m:val="p"/>
                      </m:rPr>
                      <w:rPr>
                        <w:rFonts w:ascii="Cambria Math" w:hAnsi="Cambria Math"/>
                        <w:lang w:bidi="ar"/>
                      </w:rPr>
                      <m:t>P</m:t>
                    </m:r>
                    <m:ctrlPr>
                      <w:rPr>
                        <w:rFonts w:ascii="Cambria Math" w:hAnsi="Cambria Math"/>
                        <w:lang w:bidi="ar"/>
                      </w:rPr>
                    </m:ctrlPr>
                  </m:e>
                  <m:sub>
                    <m:r>
                      <m:rPr>
                        <m:sty m:val="p"/>
                      </m:rPr>
                      <w:rPr>
                        <w:rFonts w:ascii="Cambria Math" w:hAnsi="Cambria Math"/>
                        <w:lang w:bidi="ar"/>
                      </w:rPr>
                      <m:t>k−1</m:t>
                    </m:r>
                    <m:ctrlPr>
                      <w:rPr>
                        <w:rFonts w:ascii="Cambria Math" w:hAnsi="Cambria Math"/>
                        <w:lang w:bidi="ar"/>
                      </w:rPr>
                    </m:ctrlPr>
                  </m:sub>
                </m:sSub>
              </m:oMath>
            </m:oMathPara>
          </w:p>
        </w:tc>
        <w:tc>
          <w:tcPr>
            <w:tcW w:w="968" w:type="pct"/>
            <w:tcBorders>
              <w:top w:val="nil"/>
              <w:left w:val="nil"/>
              <w:bottom w:val="nil"/>
              <w:right w:val="nil"/>
            </w:tcBorders>
            <w:vAlign w:val="center"/>
          </w:tcPr>
          <w:p w14:paraId="6F8F1304">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24</w:t>
            </w:r>
            <w:r>
              <w:rPr>
                <w:rFonts w:hint="eastAsia"/>
              </w:rPr>
              <w:fldChar w:fldCharType="end"/>
            </w:r>
            <w:r>
              <w:t>)</w:t>
            </w:r>
          </w:p>
        </w:tc>
      </w:tr>
    </w:tbl>
    <w:p w14:paraId="57327556">
      <w:pPr>
        <w:ind w:firstLine="480" w:firstLineChars="200"/>
        <w:rPr>
          <w:lang w:bidi="ar"/>
        </w:rPr>
      </w:pPr>
      <w:r>
        <w:rPr>
          <w:lang w:bidi="ar"/>
        </w:rPr>
        <w:t>其中：</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33B6B648">
        <w:tblPrEx>
          <w:tblCellMar>
            <w:top w:w="0" w:type="dxa"/>
            <w:left w:w="108" w:type="dxa"/>
            <w:bottom w:w="0" w:type="dxa"/>
            <w:right w:w="108" w:type="dxa"/>
          </w:tblCellMar>
        </w:tblPrEx>
        <w:tc>
          <w:tcPr>
            <w:tcW w:w="4032" w:type="pct"/>
            <w:tcBorders>
              <w:top w:val="nil"/>
              <w:left w:val="nil"/>
              <w:bottom w:val="nil"/>
              <w:right w:val="nil"/>
            </w:tcBorders>
          </w:tcPr>
          <w:p w14:paraId="45CC35EA">
            <w:pPr>
              <w:rPr>
                <w:i/>
                <w:lang w:bidi="ar"/>
              </w:rPr>
            </w:pPr>
            <m:oMathPara>
              <m:oMath>
                <m:sSub>
                  <m:sSubPr>
                    <m:ctrlPr>
                      <w:rPr>
                        <w:rFonts w:ascii="Cambria Math" w:hAnsi="Cambria Math"/>
                        <w:lang w:bidi="ar"/>
                      </w:rPr>
                    </m:ctrlPr>
                  </m:sSubPr>
                  <m:e>
                    <m:r>
                      <m:rPr>
                        <m:sty m:val="p"/>
                      </m:rPr>
                      <w:rPr>
                        <w:rFonts w:ascii="Cambria Math" w:hAnsi="Cambria Math"/>
                        <w:lang w:bidi="ar"/>
                      </w:rPr>
                      <m:t>γ</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r>
                  <m:rPr>
                    <m:sty m:val="p"/>
                  </m:rPr>
                  <w:rPr>
                    <w:rFonts w:ascii="Cambria Math" w:hAnsi="Cambria Math"/>
                    <w:lang w:bidi="ar"/>
                  </w:rPr>
                  <m:t>=</m:t>
                </m:r>
                <m:f>
                  <m:fPr>
                    <m:ctrlPr>
                      <w:rPr>
                        <w:rFonts w:ascii="Cambria Math" w:hAnsi="Cambria Math"/>
                        <w:lang w:bidi="ar"/>
                      </w:rPr>
                    </m:ctrlPr>
                  </m:fPr>
                  <m:num>
                    <m:r>
                      <m:rPr>
                        <m:sty m:val="p"/>
                      </m:rPr>
                      <w:rPr>
                        <w:rFonts w:ascii="Cambria Math" w:hAnsi="Cambria Math"/>
                        <w:lang w:bidi="ar"/>
                      </w:rPr>
                      <m:t>∥</m:t>
                    </m:r>
                    <m:sSub>
                      <m:sSubPr>
                        <m:ctrlPr>
                          <w:rPr>
                            <w:rFonts w:ascii="Cambria Math" w:hAnsi="Cambria Math"/>
                            <w:lang w:bidi="ar"/>
                          </w:rPr>
                        </m:ctrlPr>
                      </m:sSubPr>
                      <m:e>
                        <m:r>
                          <m:rPr>
                            <m:sty m:val="p"/>
                          </m:rPr>
                          <w:rPr>
                            <w:rFonts w:ascii="Cambria Math" w:hAnsi="Cambria Math"/>
                            <w:lang w:bidi="ar"/>
                          </w:rPr>
                          <m:t>g</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sSup>
                      <m:sSupPr>
                        <m:ctrlPr>
                          <w:rPr>
                            <w:rFonts w:ascii="Cambria Math" w:hAnsi="Cambria Math"/>
                            <w:lang w:bidi="ar"/>
                          </w:rPr>
                        </m:ctrlPr>
                      </m:sSupPr>
                      <m:e>
                        <m:r>
                          <m:rPr>
                            <m:sty m:val="p"/>
                          </m:rPr>
                          <w:rPr>
                            <w:rFonts w:ascii="Cambria Math" w:hAnsi="Cambria Math"/>
                            <w:lang w:bidi="ar"/>
                          </w:rPr>
                          <m:t>∥</m:t>
                        </m:r>
                        <m:ctrlPr>
                          <w:rPr>
                            <w:rFonts w:ascii="Cambria Math" w:hAnsi="Cambria Math"/>
                            <w:lang w:bidi="ar"/>
                          </w:rPr>
                        </m:ctrlPr>
                      </m:e>
                      <m:sup>
                        <m:r>
                          <m:rPr>
                            <m:sty m:val="p"/>
                          </m:rPr>
                          <w:rPr>
                            <w:rFonts w:ascii="Cambria Math" w:hAnsi="Cambria Math"/>
                            <w:lang w:bidi="ar"/>
                          </w:rPr>
                          <m:t>2</m:t>
                        </m:r>
                        <m:ctrlPr>
                          <w:rPr>
                            <w:rFonts w:ascii="Cambria Math" w:hAnsi="Cambria Math"/>
                            <w:lang w:bidi="ar"/>
                          </w:rPr>
                        </m:ctrlPr>
                      </m:sup>
                    </m:sSup>
                    <m:ctrlPr>
                      <w:rPr>
                        <w:rFonts w:ascii="Cambria Math" w:hAnsi="Cambria Math"/>
                        <w:lang w:bidi="ar"/>
                      </w:rPr>
                    </m:ctrlPr>
                  </m:num>
                  <m:den>
                    <m:r>
                      <m:rPr>
                        <m:sty m:val="p"/>
                      </m:rPr>
                      <w:rPr>
                        <w:rFonts w:ascii="Cambria Math" w:hAnsi="Cambria Math"/>
                        <w:lang w:bidi="ar"/>
                      </w:rPr>
                      <m:t>max</m:t>
                    </m:r>
                    <m:d>
                      <m:dPr>
                        <m:ctrlPr>
                          <w:rPr>
                            <w:rFonts w:ascii="Cambria Math" w:hAnsi="Cambria Math"/>
                            <w:lang w:bidi="ar"/>
                          </w:rPr>
                        </m:ctrlPr>
                      </m:dPr>
                      <m:e>
                        <m:r>
                          <m:rPr>
                            <m:sty m:val="p"/>
                          </m:rPr>
                          <w:rPr>
                            <w:rFonts w:ascii="Cambria Math" w:hAnsi="Cambria Math"/>
                            <w:lang w:bidi="ar"/>
                          </w:rPr>
                          <m:t>∥</m:t>
                        </m:r>
                        <m:sSub>
                          <m:sSubPr>
                            <m:ctrlPr>
                              <w:rPr>
                                <w:rFonts w:ascii="Cambria Math" w:hAnsi="Cambria Math"/>
                                <w:lang w:bidi="ar"/>
                              </w:rPr>
                            </m:ctrlPr>
                          </m:sSubPr>
                          <m:e>
                            <m:r>
                              <m:rPr>
                                <m:sty m:val="p"/>
                              </m:rPr>
                              <w:rPr>
                                <w:rFonts w:ascii="Cambria Math" w:hAnsi="Cambria Math"/>
                                <w:lang w:bidi="ar"/>
                              </w:rPr>
                              <m:t>g</m:t>
                            </m:r>
                            <m:ctrlPr>
                              <w:rPr>
                                <w:rFonts w:ascii="Cambria Math" w:hAnsi="Cambria Math"/>
                                <w:lang w:bidi="ar"/>
                              </w:rPr>
                            </m:ctrlPr>
                          </m:e>
                          <m:sub>
                            <m:r>
                              <m:rPr>
                                <m:sty m:val="p"/>
                              </m:rPr>
                              <w:rPr>
                                <w:rFonts w:ascii="Cambria Math" w:hAnsi="Cambria Math"/>
                                <w:lang w:bidi="ar"/>
                              </w:rPr>
                              <m:t>k−1</m:t>
                            </m:r>
                            <m:ctrlPr>
                              <w:rPr>
                                <w:rFonts w:ascii="Cambria Math" w:hAnsi="Cambria Math"/>
                                <w:lang w:bidi="ar"/>
                              </w:rPr>
                            </m:ctrlPr>
                          </m:sub>
                        </m:sSub>
                        <m:sSup>
                          <m:sSupPr>
                            <m:ctrlPr>
                              <w:rPr>
                                <w:rFonts w:ascii="Cambria Math" w:hAnsi="Cambria Math"/>
                                <w:lang w:bidi="ar"/>
                              </w:rPr>
                            </m:ctrlPr>
                          </m:sSupPr>
                          <m:e>
                            <m:r>
                              <m:rPr>
                                <m:sty m:val="p"/>
                              </m:rPr>
                              <w:rPr>
                                <w:rFonts w:ascii="Cambria Math" w:hAnsi="Cambria Math"/>
                                <w:lang w:bidi="ar"/>
                              </w:rPr>
                              <m:t>∥</m:t>
                            </m:r>
                            <m:ctrlPr>
                              <w:rPr>
                                <w:rFonts w:ascii="Cambria Math" w:hAnsi="Cambria Math"/>
                                <w:lang w:bidi="ar"/>
                              </w:rPr>
                            </m:ctrlPr>
                          </m:e>
                          <m:sup>
                            <m:r>
                              <m:rPr>
                                <m:sty m:val="p"/>
                              </m:rPr>
                              <w:rPr>
                                <w:rFonts w:ascii="Cambria Math" w:hAnsi="Cambria Math"/>
                                <w:lang w:bidi="ar"/>
                              </w:rPr>
                              <m:t>2</m:t>
                            </m:r>
                            <m:ctrlPr>
                              <w:rPr>
                                <w:rFonts w:ascii="Cambria Math" w:hAnsi="Cambria Math"/>
                                <w:lang w:bidi="ar"/>
                              </w:rPr>
                            </m:ctrlPr>
                          </m:sup>
                        </m:sSup>
                        <m:r>
                          <m:rPr>
                            <m:sty m:val="p"/>
                          </m:rPr>
                          <w:rPr>
                            <w:rFonts w:ascii="Cambria Math" w:hAnsi="Cambria Math"/>
                            <w:lang w:bidi="ar"/>
                          </w:rPr>
                          <m:t>,ε</m:t>
                        </m:r>
                        <m:ctrlPr>
                          <w:rPr>
                            <w:rFonts w:ascii="Cambria Math" w:hAnsi="Cambria Math"/>
                            <w:lang w:bidi="ar"/>
                          </w:rPr>
                        </m:ctrlPr>
                      </m:e>
                    </m:d>
                    <m:ctrlPr>
                      <w:rPr>
                        <w:rFonts w:ascii="Cambria Math" w:hAnsi="Cambria Math"/>
                        <w:lang w:bidi="ar"/>
                      </w:rPr>
                    </m:ctrlPr>
                  </m:den>
                </m:f>
              </m:oMath>
            </m:oMathPara>
          </w:p>
        </w:tc>
        <w:tc>
          <w:tcPr>
            <w:tcW w:w="968" w:type="pct"/>
            <w:tcBorders>
              <w:top w:val="nil"/>
              <w:left w:val="nil"/>
              <w:bottom w:val="nil"/>
              <w:right w:val="nil"/>
            </w:tcBorders>
            <w:vAlign w:val="center"/>
          </w:tcPr>
          <w:p w14:paraId="463D2B66">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25</w:t>
            </w:r>
            <w:r>
              <w:rPr>
                <w:rFonts w:hint="eastAsia"/>
              </w:rPr>
              <w:fldChar w:fldCharType="end"/>
            </w:r>
            <w:r>
              <w:t>)</w:t>
            </w:r>
          </w:p>
        </w:tc>
      </w:tr>
    </w:tbl>
    <w:p w14:paraId="037BB3EA">
      <w:pPr>
        <w:ind w:firstLine="480" w:firstLineChars="200"/>
        <w:rPr>
          <w:lang w:bidi="ar"/>
        </w:rPr>
      </w:pPr>
      <w:r>
        <w:rPr>
          <w:lang w:bidi="ar"/>
        </w:rPr>
        <w:t>第一轮CG直接取</w:t>
      </w:r>
      <m:oMath>
        <m:sSub>
          <m:sSubPr>
            <m:ctrlPr>
              <w:rPr>
                <w:rFonts w:ascii="Cambria Math" w:hAnsi="Cambria Math"/>
                <w:lang w:bidi="ar"/>
              </w:rPr>
            </m:ctrlPr>
          </m:sSubPr>
          <m:e>
            <m:r>
              <m:rPr>
                <m:sty m:val="p"/>
              </m:rPr>
              <w:rPr>
                <w:rFonts w:ascii="Cambria Math" w:hAnsi="Cambria Math"/>
                <w:lang w:bidi="ar"/>
              </w:rPr>
              <m:t>P</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r>
          <m:rPr>
            <m:sty m:val="p"/>
          </m:rPr>
          <w:rPr>
            <w:rFonts w:ascii="Cambria Math" w:hAnsi="Cambria Math"/>
            <w:lang w:bidi="ar"/>
          </w:rPr>
          <m:t>=</m:t>
        </m:r>
        <m:sSub>
          <m:sSubPr>
            <m:ctrlPr>
              <w:rPr>
                <w:rFonts w:ascii="Cambria Math" w:hAnsi="Cambria Math"/>
                <w:lang w:bidi="ar"/>
              </w:rPr>
            </m:ctrlPr>
          </m:sSubPr>
          <m:e>
            <m:r>
              <m:rPr>
                <m:sty m:val="p"/>
              </m:rPr>
              <w:rPr>
                <w:rFonts w:ascii="Cambria Math" w:hAnsi="Cambria Math"/>
                <w:lang w:bidi="ar"/>
              </w:rPr>
              <m:t>g</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oMath>
      <w:r>
        <w:rPr>
          <w:rFonts w:hint="eastAsia"/>
          <w:lang w:bidi="ar"/>
        </w:rPr>
        <w:t>，</w:t>
      </w:r>
      <w:r>
        <w:rPr>
          <w:lang w:bidi="ar"/>
        </w:rPr>
        <w:t>随后代码沿</w:t>
      </w:r>
      <m:oMath>
        <m:r>
          <m:rPr>
            <m:sty m:val="p"/>
          </m:rPr>
          <w:rPr>
            <w:rFonts w:ascii="Cambria Math" w:hAnsi="Cambria Math"/>
            <w:lang w:bidi="ar"/>
          </w:rPr>
          <m:t>−</m:t>
        </m:r>
        <m:sSub>
          <m:sSubPr>
            <m:ctrlPr>
              <w:rPr>
                <w:rFonts w:ascii="Cambria Math" w:hAnsi="Cambria Math"/>
                <w:lang w:bidi="ar"/>
              </w:rPr>
            </m:ctrlPr>
          </m:sSubPr>
          <m:e>
            <m:r>
              <m:rPr>
                <m:sty m:val="p"/>
              </m:rPr>
              <w:rPr>
                <w:rFonts w:ascii="Cambria Math" w:hAnsi="Cambria Math"/>
                <w:lang w:bidi="ar"/>
              </w:rPr>
              <m:t>P</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oMath>
      <w:r>
        <w:rPr>
          <w:lang w:bidi="ar"/>
        </w:rPr>
        <w:t>方向做一次灵敏度试探。设基础</w:t>
      </w:r>
      <m:oMath>
        <m:r>
          <m:rPr>
            <m:sty m:val="p"/>
          </m:rPr>
          <w:rPr>
            <w:rFonts w:ascii="Cambria Math" w:hAnsi="Cambria Math"/>
            <w:lang w:bidi="ar"/>
          </w:rPr>
          <m:t>TOF</m:t>
        </m:r>
      </m:oMath>
      <w:r>
        <w:rPr>
          <w:lang w:bidi="ar"/>
        </w:rPr>
        <w:t>相对残差为 r，沿</w:t>
      </w:r>
      <m:oMath>
        <m:r>
          <m:rPr>
            <m:sty m:val="p"/>
          </m:rPr>
          <w:rPr>
            <w:rFonts w:ascii="Cambria Math" w:hAnsi="Cambria Math"/>
            <w:lang w:bidi="ar"/>
          </w:rPr>
          <m:t>−</m:t>
        </m:r>
        <m:sSub>
          <m:sSubPr>
            <m:ctrlPr>
              <w:rPr>
                <w:rFonts w:ascii="Cambria Math" w:hAnsi="Cambria Math"/>
                <w:lang w:bidi="ar"/>
              </w:rPr>
            </m:ctrlPr>
          </m:sSubPr>
          <m:e>
            <m:r>
              <m:rPr>
                <m:sty m:val="p"/>
              </m:rPr>
              <w:rPr>
                <w:rFonts w:ascii="Cambria Math" w:hAnsi="Cambria Math"/>
                <w:lang w:bidi="ar"/>
              </w:rPr>
              <m:t>P</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oMath>
      <w:r>
        <w:rPr>
          <w:lang w:bidi="ar"/>
        </w:rPr>
        <w:t>方向扰动后的残差变化为</w:t>
      </w:r>
      <m:oMath>
        <m:r>
          <m:rPr>
            <m:sty m:val="p"/>
          </m:rPr>
          <w:rPr>
            <w:rFonts w:ascii="Cambria Math" w:hAnsi="Cambria Math"/>
            <w:lang w:bidi="ar"/>
          </w:rPr>
          <m:t>Δr</m:t>
        </m:r>
      </m:oMath>
      <w:r>
        <w:rPr>
          <w:lang w:bidi="ar"/>
        </w:rPr>
        <w:t>，则步长系数为：</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04495777">
        <w:tblPrEx>
          <w:tblCellMar>
            <w:top w:w="0" w:type="dxa"/>
            <w:left w:w="108" w:type="dxa"/>
            <w:bottom w:w="0" w:type="dxa"/>
            <w:right w:w="108" w:type="dxa"/>
          </w:tblCellMar>
        </w:tblPrEx>
        <w:tc>
          <w:tcPr>
            <w:tcW w:w="4032" w:type="pct"/>
            <w:tcBorders>
              <w:top w:val="nil"/>
              <w:left w:val="nil"/>
              <w:bottom w:val="nil"/>
              <w:right w:val="nil"/>
            </w:tcBorders>
          </w:tcPr>
          <w:p w14:paraId="3BB1BD9F">
            <w:pPr>
              <w:rPr>
                <w:lang w:bidi="ar"/>
              </w:rPr>
            </w:pPr>
            <m:oMathPara>
              <m:oMath>
                <m:r>
                  <m:rPr>
                    <m:sty m:val="p"/>
                  </m:rPr>
                  <w:rPr>
                    <w:rFonts w:ascii="Cambria Math" w:hAnsi="Cambria Math"/>
                    <w:lang w:bidi="ar"/>
                  </w:rPr>
                  <m:t>β=s⋅</m:t>
                </m:r>
                <m:d>
                  <m:dPr>
                    <m:begChr m:val="["/>
                    <m:endChr m:val="]"/>
                    <m:ctrlPr>
                      <w:rPr>
                        <w:rFonts w:ascii="Cambria Math" w:hAnsi="Cambria Math"/>
                        <w:lang w:bidi="ar"/>
                      </w:rPr>
                    </m:ctrlPr>
                  </m:dPr>
                  <m:e>
                    <m:r>
                      <m:rPr>
                        <m:sty m:val="p"/>
                      </m:rPr>
                      <w:rPr>
                        <w:rFonts w:ascii="Cambria Math" w:hAnsi="Cambria Math"/>
                        <w:lang w:bidi="ar"/>
                      </w:rPr>
                      <m:t>−</m:t>
                    </m:r>
                    <m:f>
                      <m:fPr>
                        <m:ctrlPr>
                          <w:rPr>
                            <w:rFonts w:ascii="Cambria Math" w:hAnsi="Cambria Math"/>
                            <w:lang w:bidi="ar"/>
                          </w:rPr>
                        </m:ctrlPr>
                      </m:fPr>
                      <m:num>
                        <m:sSup>
                          <m:sSupPr>
                            <m:ctrlPr>
                              <w:rPr>
                                <w:rFonts w:ascii="Cambria Math" w:hAnsi="Cambria Math"/>
                                <w:lang w:bidi="ar"/>
                              </w:rPr>
                            </m:ctrlPr>
                          </m:sSupPr>
                          <m:e>
                            <m:r>
                              <m:rPr>
                                <m:sty m:val="p"/>
                              </m:rPr>
                              <w:rPr>
                                <w:rFonts w:ascii="Cambria Math" w:hAnsi="Cambria Math"/>
                                <w:lang w:bidi="ar"/>
                              </w:rPr>
                              <m:t>r</m:t>
                            </m:r>
                            <m:ctrlPr>
                              <w:rPr>
                                <w:rFonts w:ascii="Cambria Math" w:hAnsi="Cambria Math"/>
                                <w:lang w:bidi="ar"/>
                              </w:rPr>
                            </m:ctrlPr>
                          </m:e>
                          <m:sup>
                            <m:r>
                              <m:rPr>
                                <m:sty m:val="p"/>
                              </m:rPr>
                              <w:rPr>
                                <w:rFonts w:ascii="Cambria Math" w:hAnsi="Cambria Math"/>
                                <w:lang w:bidi="ar"/>
                              </w:rPr>
                              <m:t>T</m:t>
                            </m:r>
                            <m:ctrlPr>
                              <w:rPr>
                                <w:rFonts w:ascii="Cambria Math" w:hAnsi="Cambria Math"/>
                                <w:lang w:bidi="ar"/>
                              </w:rPr>
                            </m:ctrlPr>
                          </m:sup>
                        </m:sSup>
                        <m:r>
                          <m:rPr>
                            <m:sty m:val="p"/>
                          </m:rPr>
                          <w:rPr>
                            <w:rFonts w:ascii="Cambria Math" w:hAnsi="Cambria Math"/>
                            <w:lang w:bidi="ar"/>
                          </w:rPr>
                          <m:t>Δr</m:t>
                        </m:r>
                        <m:ctrlPr>
                          <w:rPr>
                            <w:rFonts w:ascii="Cambria Math" w:hAnsi="Cambria Math"/>
                            <w:lang w:bidi="ar"/>
                          </w:rPr>
                        </m:ctrlPr>
                      </m:num>
                      <m:den>
                        <m:r>
                          <m:rPr>
                            <m:sty m:val="p"/>
                          </m:rPr>
                          <w:rPr>
                            <w:rFonts w:ascii="Cambria Math" w:hAnsi="Cambria Math"/>
                            <w:lang w:bidi="ar"/>
                          </w:rPr>
                          <m:t>Δ</m:t>
                        </m:r>
                        <m:sSup>
                          <m:sSupPr>
                            <m:ctrlPr>
                              <w:rPr>
                                <w:rFonts w:ascii="Cambria Math" w:hAnsi="Cambria Math"/>
                                <w:lang w:bidi="ar"/>
                              </w:rPr>
                            </m:ctrlPr>
                          </m:sSupPr>
                          <m:e>
                            <m:r>
                              <m:rPr>
                                <m:sty m:val="p"/>
                              </m:rPr>
                              <w:rPr>
                                <w:rFonts w:ascii="Cambria Math" w:hAnsi="Cambria Math"/>
                                <w:lang w:bidi="ar"/>
                              </w:rPr>
                              <m:t>r</m:t>
                            </m:r>
                            <m:ctrlPr>
                              <w:rPr>
                                <w:rFonts w:ascii="Cambria Math" w:hAnsi="Cambria Math"/>
                                <w:lang w:bidi="ar"/>
                              </w:rPr>
                            </m:ctrlPr>
                          </m:e>
                          <m:sup>
                            <m:r>
                              <m:rPr>
                                <m:sty m:val="p"/>
                              </m:rPr>
                              <w:rPr>
                                <w:rFonts w:ascii="Cambria Math" w:hAnsi="Cambria Math"/>
                                <w:lang w:bidi="ar"/>
                              </w:rPr>
                              <m:t>T</m:t>
                            </m:r>
                            <m:ctrlPr>
                              <w:rPr>
                                <w:rFonts w:ascii="Cambria Math" w:hAnsi="Cambria Math"/>
                                <w:lang w:bidi="ar"/>
                              </w:rPr>
                            </m:ctrlPr>
                          </m:sup>
                        </m:sSup>
                        <m:r>
                          <m:rPr>
                            <m:sty m:val="p"/>
                          </m:rPr>
                          <w:rPr>
                            <w:rFonts w:ascii="Cambria Math" w:hAnsi="Cambria Math"/>
                            <w:lang w:bidi="ar"/>
                          </w:rPr>
                          <m:t>Δr</m:t>
                        </m:r>
                        <m:ctrlPr>
                          <w:rPr>
                            <w:rFonts w:ascii="Cambria Math" w:hAnsi="Cambria Math"/>
                            <w:lang w:bidi="ar"/>
                          </w:rPr>
                        </m:ctrlPr>
                      </m:den>
                    </m:f>
                    <m:ctrlPr>
                      <w:rPr>
                        <w:rFonts w:ascii="Cambria Math" w:hAnsi="Cambria Math"/>
                        <w:lang w:bidi="ar"/>
                      </w:rPr>
                    </m:ctrlPr>
                  </m:e>
                </m:d>
              </m:oMath>
            </m:oMathPara>
          </w:p>
        </w:tc>
        <w:tc>
          <w:tcPr>
            <w:tcW w:w="968" w:type="pct"/>
            <w:tcBorders>
              <w:top w:val="nil"/>
              <w:left w:val="nil"/>
              <w:bottom w:val="nil"/>
              <w:right w:val="nil"/>
            </w:tcBorders>
            <w:vAlign w:val="center"/>
          </w:tcPr>
          <w:p w14:paraId="2CC45DA5">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26</w:t>
            </w:r>
            <w:r>
              <w:rPr>
                <w:rFonts w:hint="eastAsia"/>
              </w:rPr>
              <w:fldChar w:fldCharType="end"/>
            </w:r>
            <w:r>
              <w:t>)</w:t>
            </w:r>
          </w:p>
        </w:tc>
      </w:tr>
    </w:tbl>
    <w:p w14:paraId="0CAD1F84">
      <w:pPr>
        <w:ind w:firstLine="480" w:firstLineChars="200"/>
        <w:rPr>
          <w:lang w:bidi="ar"/>
        </w:rPr>
      </w:pPr>
      <w:r>
        <w:rPr>
          <w:lang w:bidi="ar"/>
        </w:rPr>
        <w:t>其中s为试探步长尺度。若</w:t>
      </w:r>
      <m:oMath>
        <m:r>
          <m:rPr>
            <m:sty m:val="p"/>
          </m:rPr>
          <w:rPr>
            <w:rFonts w:ascii="Cambria Math" w:hAnsi="Cambria Math"/>
            <w:lang w:bidi="ar"/>
          </w:rPr>
          <m:t>β</m:t>
        </m:r>
      </m:oMath>
      <w:r>
        <w:rPr>
          <w:lang w:bidi="ar"/>
        </w:rPr>
        <w:t>不为正，或采用</w:t>
      </w:r>
      <m:oMath>
        <m:sSub>
          <m:sSubPr>
            <m:ctrlPr>
              <w:rPr>
                <w:rFonts w:ascii="Cambria Math" w:hAnsi="Cambria Math"/>
                <w:lang w:bidi="ar"/>
              </w:rPr>
            </m:ctrlPr>
          </m:sSubPr>
          <m:e>
            <m:r>
              <m:rPr>
                <m:sty m:val="p"/>
              </m:rPr>
              <w:rPr>
                <w:rFonts w:ascii="Cambria Math" w:hAnsi="Cambria Math"/>
                <w:lang w:bidi="ar"/>
              </w:rPr>
              <m:t>q</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r>
          <m:rPr>
            <m:sty m:val="p"/>
          </m:rPr>
          <w:rPr>
            <w:rFonts w:ascii="Cambria Math" w:hAnsi="Cambria Math"/>
            <w:lang w:bidi="ar"/>
          </w:rPr>
          <m:t>−β</m:t>
        </m:r>
        <m:sSub>
          <m:sSubPr>
            <m:ctrlPr>
              <w:rPr>
                <w:rFonts w:ascii="Cambria Math" w:hAnsi="Cambria Math"/>
                <w:lang w:bidi="ar"/>
              </w:rPr>
            </m:ctrlPr>
          </m:sSubPr>
          <m:e>
            <m:r>
              <m:rPr>
                <m:sty m:val="p"/>
              </m:rPr>
              <w:rPr>
                <w:rFonts w:ascii="Cambria Math" w:hAnsi="Cambria Math"/>
                <w:lang w:bidi="ar"/>
              </w:rPr>
              <m:t>P</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oMath>
      <w:r>
        <w:rPr>
          <w:lang w:bidi="ar"/>
        </w:rPr>
        <w:t>后新的</w:t>
      </w:r>
      <m:oMath>
        <m:r>
          <m:rPr>
            <m:sty m:val="p"/>
          </m:rPr>
          <w:rPr>
            <w:rFonts w:ascii="Cambria Math" w:hAnsi="Cambria Math"/>
            <w:lang w:bidi="ar"/>
          </w:rPr>
          <m:t>objective</m:t>
        </m:r>
      </m:oMath>
      <w:r>
        <w:rPr>
          <w:lang w:bidi="ar"/>
        </w:rPr>
        <w:t>大于原</w:t>
      </w:r>
      <m:oMath>
        <m:r>
          <m:rPr>
            <m:sty m:val="p"/>
          </m:rPr>
          <w:rPr>
            <w:rFonts w:ascii="Cambria Math" w:hAnsi="Cambria Math"/>
            <w:lang w:bidi="ar"/>
          </w:rPr>
          <m:t>objective</m:t>
        </m:r>
      </m:oMath>
      <w:r>
        <w:rPr>
          <w:lang w:bidi="ar"/>
        </w:rPr>
        <w:t>，则拒绝该步更新；若新的</w:t>
      </w:r>
      <m:oMath>
        <m:r>
          <m:rPr>
            <m:sty m:val="p"/>
          </m:rPr>
          <w:rPr>
            <w:rFonts w:ascii="Cambria Math" w:hAnsi="Cambria Math"/>
            <w:lang w:bidi="ar"/>
          </w:rPr>
          <m:t>objective</m:t>
        </m:r>
      </m:oMath>
      <w:r>
        <w:rPr>
          <w:lang w:bidi="ar"/>
        </w:rPr>
        <w:t>小于或等于原</w:t>
      </w:r>
      <m:oMath>
        <m:r>
          <m:rPr>
            <m:sty m:val="p"/>
          </m:rPr>
          <w:rPr>
            <w:rFonts w:ascii="Cambria Math" w:hAnsi="Cambria Math"/>
            <w:lang w:bidi="ar"/>
          </w:rPr>
          <m:t>objective</m:t>
        </m:r>
      </m:oMath>
      <w:r>
        <w:rPr>
          <w:lang w:bidi="ar"/>
        </w:rPr>
        <w:t>，则接受：</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0AF1CAC9">
        <w:tblPrEx>
          <w:tblCellMar>
            <w:top w:w="0" w:type="dxa"/>
            <w:left w:w="108" w:type="dxa"/>
            <w:bottom w:w="0" w:type="dxa"/>
            <w:right w:w="108" w:type="dxa"/>
          </w:tblCellMar>
        </w:tblPrEx>
        <w:tc>
          <w:tcPr>
            <w:tcW w:w="4032" w:type="pct"/>
            <w:tcBorders>
              <w:top w:val="nil"/>
              <w:left w:val="nil"/>
              <w:bottom w:val="nil"/>
              <w:right w:val="nil"/>
            </w:tcBorders>
          </w:tcPr>
          <w:p w14:paraId="689EAFAA">
            <w:pPr>
              <w:rPr>
                <w:lang w:bidi="ar"/>
              </w:rPr>
            </w:pPr>
            <m:oMathPara>
              <m:oMath>
                <m:sSub>
                  <m:sSubPr>
                    <m:ctrlPr>
                      <w:rPr>
                        <w:rFonts w:ascii="Cambria Math" w:hAnsi="Cambria Math"/>
                        <w:lang w:bidi="ar"/>
                      </w:rPr>
                    </m:ctrlPr>
                  </m:sSubPr>
                  <m:e>
                    <m:r>
                      <m:rPr>
                        <m:sty m:val="p"/>
                      </m:rPr>
                      <w:rPr>
                        <w:rFonts w:ascii="Cambria Math" w:hAnsi="Cambria Math"/>
                        <w:lang w:bidi="ar"/>
                      </w:rPr>
                      <m:t>q</m:t>
                    </m:r>
                    <m:ctrlPr>
                      <w:rPr>
                        <w:rFonts w:ascii="Cambria Math" w:hAnsi="Cambria Math"/>
                        <w:lang w:bidi="ar"/>
                      </w:rPr>
                    </m:ctrlPr>
                  </m:e>
                  <m:sub>
                    <m:r>
                      <m:rPr>
                        <m:sty m:val="p"/>
                      </m:rPr>
                      <w:rPr>
                        <w:rFonts w:ascii="Cambria Math" w:hAnsi="Cambria Math"/>
                        <w:lang w:bidi="ar"/>
                      </w:rPr>
                      <m:t>k+1</m:t>
                    </m:r>
                    <m:ctrlPr>
                      <w:rPr>
                        <w:rFonts w:ascii="Cambria Math" w:hAnsi="Cambria Math"/>
                        <w:lang w:bidi="ar"/>
                      </w:rPr>
                    </m:ctrlPr>
                  </m:sub>
                </m:sSub>
                <m:r>
                  <m:rPr>
                    <m:sty m:val="p"/>
                  </m:rPr>
                  <w:rPr>
                    <w:rFonts w:ascii="Cambria Math" w:hAnsi="Cambria Math"/>
                    <w:lang w:bidi="ar"/>
                  </w:rPr>
                  <m:t>=Proj</m:t>
                </m:r>
                <m:d>
                  <m:dPr>
                    <m:ctrlPr>
                      <w:rPr>
                        <w:rFonts w:ascii="Cambria Math" w:hAnsi="Cambria Math"/>
                        <w:lang w:bidi="ar"/>
                      </w:rPr>
                    </m:ctrlPr>
                  </m:dPr>
                  <m:e>
                    <m:sSub>
                      <m:sSubPr>
                        <m:ctrlPr>
                          <w:rPr>
                            <w:rFonts w:ascii="Cambria Math" w:hAnsi="Cambria Math"/>
                            <w:lang w:bidi="ar"/>
                          </w:rPr>
                        </m:ctrlPr>
                      </m:sSubPr>
                      <m:e>
                        <m:r>
                          <m:rPr>
                            <m:sty m:val="p"/>
                          </m:rPr>
                          <w:rPr>
                            <w:rFonts w:ascii="Cambria Math" w:hAnsi="Cambria Math"/>
                            <w:lang w:bidi="ar"/>
                          </w:rPr>
                          <m:t>q</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r>
                      <m:rPr>
                        <m:sty m:val="p"/>
                      </m:rPr>
                      <w:rPr>
                        <w:rFonts w:ascii="Cambria Math" w:hAnsi="Cambria Math"/>
                        <w:lang w:bidi="ar"/>
                      </w:rPr>
                      <m:t>−β</m:t>
                    </m:r>
                    <m:sSub>
                      <m:sSubPr>
                        <m:ctrlPr>
                          <w:rPr>
                            <w:rFonts w:ascii="Cambria Math" w:hAnsi="Cambria Math"/>
                            <w:lang w:bidi="ar"/>
                          </w:rPr>
                        </m:ctrlPr>
                      </m:sSubPr>
                      <m:e>
                        <m:r>
                          <m:rPr>
                            <m:sty m:val="p"/>
                          </m:rPr>
                          <w:rPr>
                            <w:rFonts w:ascii="Cambria Math" w:hAnsi="Cambria Math"/>
                            <w:lang w:bidi="ar"/>
                          </w:rPr>
                          <m:t>P</m:t>
                        </m:r>
                        <m:ctrlPr>
                          <w:rPr>
                            <w:rFonts w:ascii="Cambria Math" w:hAnsi="Cambria Math"/>
                            <w:lang w:bidi="ar"/>
                          </w:rPr>
                        </m:ctrlPr>
                      </m:e>
                      <m:sub>
                        <m:r>
                          <m:rPr>
                            <m:sty m:val="p"/>
                          </m:rPr>
                          <w:rPr>
                            <w:rFonts w:ascii="Cambria Math" w:hAnsi="Cambria Math"/>
                            <w:lang w:bidi="ar"/>
                          </w:rPr>
                          <m:t>k</m:t>
                        </m:r>
                        <m:ctrlPr>
                          <w:rPr>
                            <w:rFonts w:ascii="Cambria Math" w:hAnsi="Cambria Math"/>
                            <w:lang w:bidi="ar"/>
                          </w:rPr>
                        </m:ctrlPr>
                      </m:sub>
                    </m:sSub>
                    <m:ctrlPr>
                      <w:rPr>
                        <w:rFonts w:ascii="Cambria Math" w:hAnsi="Cambria Math"/>
                        <w:lang w:bidi="ar"/>
                      </w:rPr>
                    </m:ctrlPr>
                  </m:e>
                </m:d>
              </m:oMath>
            </m:oMathPara>
          </w:p>
        </w:tc>
        <w:tc>
          <w:tcPr>
            <w:tcW w:w="968" w:type="pct"/>
            <w:tcBorders>
              <w:top w:val="nil"/>
              <w:left w:val="nil"/>
              <w:bottom w:val="nil"/>
              <w:right w:val="nil"/>
            </w:tcBorders>
            <w:vAlign w:val="center"/>
          </w:tcPr>
          <w:p w14:paraId="2AC60D1D">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27</w:t>
            </w:r>
            <w:r>
              <w:rPr>
                <w:rFonts w:hint="eastAsia"/>
              </w:rPr>
              <w:fldChar w:fldCharType="end"/>
            </w:r>
            <w:r>
              <w:t>)</w:t>
            </w:r>
          </w:p>
        </w:tc>
      </w:tr>
    </w:tbl>
    <w:p w14:paraId="78FD2BCD">
      <w:pPr>
        <w:ind w:firstLine="480" w:firstLineChars="200"/>
      </w:pPr>
      <w:r>
        <w:rPr>
          <w:lang w:bidi="ar"/>
        </w:rPr>
        <w:t>CG结束后，代码还会进行最终平滑测试，依次尝试若干平滑权重。</w:t>
      </w:r>
    </w:p>
    <w:p w14:paraId="23864CD0">
      <w:pPr>
        <w:pStyle w:val="6"/>
      </w:pPr>
      <w:r>
        <w:t>温度场与厚度联合反演</w:t>
      </w:r>
    </w:p>
    <w:p w14:paraId="723D8C6B">
      <w:pPr>
        <w:ind w:firstLine="480" w:firstLineChars="200"/>
      </w:pPr>
      <w:r>
        <w:t>在厚度参与的温度场反演中，代码首先利用</w:t>
      </w:r>
      <w:r>
        <w:rPr>
          <w:rFonts w:hint="eastAsia"/>
        </w:rPr>
        <w:t>室温</w:t>
      </w:r>
      <w:r>
        <w:t>均匀温度场下的纵波</w:t>
      </w:r>
      <m:oMath>
        <m:r>
          <m:rPr>
            <m:sty m:val="p"/>
          </m:rPr>
          <w:rPr>
            <w:rFonts w:ascii="Cambria Math" w:hAnsi="Cambria Math"/>
          </w:rPr>
          <m:t>TOF</m:t>
        </m:r>
      </m:oMath>
      <w:r>
        <w:t>对材料厚度进行标定。具体做法是读取tof_</w:t>
      </w:r>
      <m:oMath>
        <m:r>
          <m:rPr>
            <m:sty m:val="p"/>
          </m:rPr>
          <w:rPr>
            <w:rFonts w:ascii="Cambria Math" w:hAnsi="Cambria Math"/>
          </w:rPr>
          <m:t>amplitude_ratio</m:t>
        </m:r>
      </m:oMath>
      <w:r>
        <w:t>_results_</w:t>
      </w:r>
      <w:r>
        <w:rPr>
          <w:rFonts w:hint="eastAsia"/>
        </w:rPr>
        <w:t>shiwen</w:t>
      </w:r>
      <w:r>
        <w:t>.csv文件中的纵波</w:t>
      </w:r>
      <m:oMath>
        <m:r>
          <m:rPr>
            <m:sty m:val="p"/>
          </m:rPr>
          <w:rPr>
            <w:rFonts w:ascii="Cambria Math" w:hAnsi="Cambria Math"/>
          </w:rPr>
          <m:t>TOF</m:t>
        </m:r>
      </m:oMath>
      <w:r>
        <w:t>数据，并根据</w:t>
      </w:r>
      <w:r>
        <w:rPr>
          <w:rFonts w:hint="eastAsia"/>
        </w:rPr>
        <w:t>室温</w:t>
      </w:r>
      <w:r>
        <w:t>下的材料参数计算纵波声速：</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77ECE193">
        <w:tblPrEx>
          <w:tblCellMar>
            <w:top w:w="0" w:type="dxa"/>
            <w:left w:w="108" w:type="dxa"/>
            <w:bottom w:w="0" w:type="dxa"/>
            <w:right w:w="108" w:type="dxa"/>
          </w:tblCellMar>
        </w:tblPrEx>
        <w:tc>
          <w:tcPr>
            <w:tcW w:w="4032" w:type="pct"/>
            <w:tcBorders>
              <w:top w:val="nil"/>
              <w:left w:val="nil"/>
              <w:bottom w:val="nil"/>
              <w:right w:val="nil"/>
            </w:tcBorders>
          </w:tcPr>
          <w:p w14:paraId="3E40E24D">
            <m:oMathPara>
              <m:oMathParaPr>
                <m:jc m:val="center"/>
              </m:oMathPara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d>
                  <m:dPr>
                    <m:ctrlPr>
                      <w:rPr>
                        <w:rFonts w:ascii="Cambria Math" w:hAnsi="Cambria Math"/>
                      </w:rPr>
                    </m:ctrlPr>
                  </m:dPr>
                  <m:e>
                    <m:r>
                      <m:rPr>
                        <m:sty m:val="p"/>
                      </m:rPr>
                      <w:rPr>
                        <w:rFonts w:ascii="Cambria Math" w:hAnsi="Cambria Math"/>
                      </w:rPr>
                      <m:t>ET</m:t>
                    </m:r>
                    <m:ctrlPr>
                      <w:rPr>
                        <w:rFonts w:ascii="Cambria Math" w:hAnsi="Cambria Math"/>
                      </w:rPr>
                    </m:ctrlPr>
                  </m:e>
                </m:d>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rPr>
                          <m:t>E</m:t>
                        </m:r>
                        <m:d>
                          <m:dPr>
                            <m:ctrlPr>
                              <w:rPr>
                                <w:rFonts w:ascii="Cambria Math" w:hAnsi="Cambria Math"/>
                              </w:rPr>
                            </m:ctrlPr>
                          </m:dPr>
                          <m:e>
                            <m:r>
                              <m:rPr>
                                <m:sty m:val="p"/>
                              </m:rPr>
                              <w:rPr>
                                <w:rFonts w:ascii="Cambria Math" w:hAnsi="Cambria Math"/>
                              </w:rPr>
                              <m:t>ET</m:t>
                            </m:r>
                            <m:ctrlPr>
                              <w:rPr>
                                <w:rFonts w:ascii="Cambria Math" w:hAnsi="Cambria Math"/>
                              </w:rPr>
                            </m:ctrlPr>
                          </m:e>
                        </m:d>
                        <m:ctrlPr>
                          <w:rPr>
                            <w:rFonts w:ascii="Cambria Math" w:hAnsi="Cambria Math"/>
                          </w:rPr>
                        </m:ctrlPr>
                      </m:num>
                      <m:den>
                        <m:r>
                          <m:rPr/>
                          <w:rPr>
                            <w:rFonts w:ascii="Cambria Math" w:hAnsi="Cambria Math"/>
                          </w:rPr>
                          <m:t>ρ</m:t>
                        </m:r>
                        <m:d>
                          <m:dPr>
                            <m:ctrlPr>
                              <w:rPr>
                                <w:rFonts w:ascii="Cambria Math" w:hAnsi="Cambria Math"/>
                              </w:rPr>
                            </m:ctrlPr>
                          </m:dPr>
                          <m:e>
                            <m:r>
                              <m:rPr>
                                <m:sty m:val="p"/>
                              </m:rPr>
                              <w:rPr>
                                <w:rFonts w:ascii="Cambria Math" w:hAnsi="Cambria Math"/>
                              </w:rPr>
                              <m:t>ET</m:t>
                            </m:r>
                            <m:ctrlPr>
                              <w:rPr>
                                <w:rFonts w:ascii="Cambria Math" w:hAnsi="Cambria Math"/>
                              </w:rPr>
                            </m:ctrlPr>
                          </m:e>
                        </m:d>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w:rPr>
                                    <w:rFonts w:ascii="Cambria Math" w:hAnsi="Cambria Math"/>
                                  </w:rPr>
                                  <m:t>ν</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d>
                        <m:ctrlPr>
                          <w:rPr>
                            <w:rFonts w:ascii="Cambria Math" w:hAnsi="Cambria Math"/>
                          </w:rPr>
                        </m:ctrlPr>
                      </m:den>
                    </m:f>
                    <m:ctrlPr>
                      <w:rPr>
                        <w:rFonts w:ascii="Cambria Math" w:hAnsi="Cambria Math"/>
                      </w:rPr>
                    </m:ctrlPr>
                  </m:e>
                </m:rad>
              </m:oMath>
            </m:oMathPara>
          </w:p>
        </w:tc>
        <w:tc>
          <w:tcPr>
            <w:tcW w:w="968" w:type="pct"/>
            <w:tcBorders>
              <w:top w:val="nil"/>
              <w:left w:val="nil"/>
              <w:bottom w:val="nil"/>
              <w:right w:val="nil"/>
            </w:tcBorders>
            <w:vAlign w:val="center"/>
          </w:tcPr>
          <w:p w14:paraId="5A368082">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28</w:t>
            </w:r>
            <w:r>
              <w:rPr>
                <w:rFonts w:hint="eastAsia"/>
              </w:rPr>
              <w:fldChar w:fldCharType="end"/>
            </w:r>
            <w:r>
              <w:t>)</w:t>
            </w:r>
          </w:p>
        </w:tc>
      </w:tr>
    </w:tbl>
    <w:p w14:paraId="5596C940">
      <w:pPr>
        <w:ind w:firstLine="480" w:firstLineChars="200"/>
      </w:pPr>
      <w:r>
        <w:t>由于该</w:t>
      </w:r>
      <m:oMath>
        <m:r>
          <m:rPr>
            <m:sty m:val="p"/>
          </m:rPr>
          <w:rPr>
            <w:rFonts w:ascii="Cambria Math" w:hAnsi="Cambria Math"/>
          </w:rPr>
          <m:t>TOF</m:t>
        </m:r>
      </m:oMath>
      <w:r>
        <w:t>为超声波从上表面传播到底面并返回的往返时间，因此单个</w:t>
      </w:r>
      <m:oMath>
        <m:r>
          <m:rPr>
            <m:sty m:val="p"/>
          </m:rPr>
          <w:rPr>
            <w:rFonts w:ascii="Cambria Math" w:hAnsi="Cambria Math"/>
          </w:rPr>
          <m:t>TOF</m:t>
        </m:r>
      </m:oMath>
      <w:r>
        <w:t>对应的厚度可写为：</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563B0117">
        <w:tblPrEx>
          <w:tblCellMar>
            <w:top w:w="0" w:type="dxa"/>
            <w:left w:w="108" w:type="dxa"/>
            <w:bottom w:w="0" w:type="dxa"/>
            <w:right w:w="108" w:type="dxa"/>
          </w:tblCellMar>
        </w:tblPrEx>
        <w:tc>
          <w:tcPr>
            <w:tcW w:w="4032" w:type="pct"/>
            <w:tcBorders>
              <w:top w:val="nil"/>
              <w:left w:val="nil"/>
              <w:bottom w:val="nil"/>
              <w:right w:val="nil"/>
            </w:tcBorders>
          </w:tcPr>
          <w:p w14:paraId="14B3780A">
            <m:oMathPara>
              <m:oMathParaPr>
                <m:jc m:val="center"/>
              </m:oMathParaP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=0.5 </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d>
                  <m:dPr>
                    <m:ctrlPr>
                      <w:rPr>
                        <w:rFonts w:ascii="Cambria Math" w:hAnsi="Cambria Math"/>
                      </w:rPr>
                    </m:ctrlPr>
                  </m:dPr>
                  <m:e>
                    <m:r>
                      <m:rPr>
                        <m:sty m:val="p"/>
                      </m:rPr>
                      <w:rPr>
                        <w:rFonts w:ascii="Cambria Math" w:hAnsi="Cambria Math"/>
                      </w:rPr>
                      <m:t>ET</m:t>
                    </m:r>
                    <m:ctrlPr>
                      <w:rPr>
                        <w:rFonts w:ascii="Cambria Math" w:hAnsi="Cambria Math"/>
                      </w:rPr>
                    </m:ctrlPr>
                  </m:e>
                </m:d>
                <m:r>
                  <m:rPr>
                    <m:sty m:val="p"/>
                  </m:rPr>
                  <w:rPr>
                    <w:rFonts w:ascii="Cambria Math" w:hAnsi="Cambria Math"/>
                  </w:rPr>
                  <m:t> </m:t>
                </m:r>
                <m:sSub>
                  <m:sSubPr>
                    <m:ctrlPr>
                      <w:rPr>
                        <w:rFonts w:ascii="Cambria Math" w:hAnsi="Cambria Math"/>
                      </w:rPr>
                    </m:ctrlPr>
                  </m:sSubPr>
                  <m:e>
                    <m:r>
                      <m:rPr>
                        <m:sty m:val="p"/>
                      </m:rPr>
                      <w:rPr>
                        <w:rFonts w:ascii="Cambria Math" w:hAnsi="Cambria Math"/>
                      </w:rPr>
                      <m:t>TOF</m:t>
                    </m:r>
                    <m:ctrlPr>
                      <w:rPr>
                        <w:rFonts w:ascii="Cambria Math" w:hAnsi="Cambria Math"/>
                      </w:rPr>
                    </m:ctrlPr>
                  </m:e>
                  <m:sub>
                    <m:r>
                      <m:rPr/>
                      <w:rPr>
                        <w:rFonts w:ascii="Cambria Math" w:hAnsi="Cambria Math"/>
                      </w:rPr>
                      <m:t>j</m:t>
                    </m:r>
                    <m:ctrlPr>
                      <w:rPr>
                        <w:rFonts w:ascii="Cambria Math" w:hAnsi="Cambria Math"/>
                      </w:rPr>
                    </m:ctrlPr>
                  </m:sub>
                </m:sSub>
              </m:oMath>
            </m:oMathPara>
          </w:p>
        </w:tc>
        <w:tc>
          <w:tcPr>
            <w:tcW w:w="968" w:type="pct"/>
            <w:tcBorders>
              <w:top w:val="nil"/>
              <w:left w:val="nil"/>
              <w:bottom w:val="nil"/>
              <w:right w:val="nil"/>
            </w:tcBorders>
            <w:vAlign w:val="center"/>
          </w:tcPr>
          <w:p w14:paraId="4410DEAA">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29</w:t>
            </w:r>
            <w:r>
              <w:rPr>
                <w:rFonts w:hint="eastAsia"/>
              </w:rPr>
              <w:fldChar w:fldCharType="end"/>
            </w:r>
            <w:r>
              <w:t>)</w:t>
            </w:r>
          </w:p>
        </w:tc>
      </w:tr>
    </w:tbl>
    <w:p w14:paraId="30A5A753">
      <w:pPr>
        <w:ind w:firstLine="480" w:firstLineChars="200"/>
      </w:pPr>
      <w:r>
        <w:t>同时，代码会检查计算得到的厚度是否为有限正值，并判断其是否位于设定的厚度上下界范围内。若厚度超出允许范围，则认为厚度标定结果无效并终止计算。得到h_fixed后，代码将计算域厚度Ly和探头所在的y坐标probe_y同步更新为该厚度，即：</w:t>
      </w:r>
    </w:p>
    <w:p w14:paraId="5E10D811">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fixed</m:t>
              </m:r>
              <m:ctrlPr>
                <w:rPr>
                  <w:rFonts w:ascii="Cambria Math" w:hAnsi="Cambria Math"/>
                </w:rPr>
              </m:ctrlPr>
            </m:sub>
          </m:sSub>
        </m:oMath>
      </m:oMathPara>
    </w:p>
    <w:p w14:paraId="473DF7DD">
      <m:oMathPara>
        <m:oMathParaPr>
          <m:jc m:val="center"/>
        </m:oMathParaPr>
        <m:oMath>
          <m:sSub>
            <m:sSubPr>
              <m:ctrlPr>
                <w:rPr>
                  <w:rFonts w:ascii="Cambria Math" w:hAnsi="Cambria Math"/>
                </w:rPr>
              </m:ctrlPr>
            </m:sSubPr>
            <m:e>
              <m:r>
                <m:rPr>
                  <m:sty m:val="p"/>
                </m:rPr>
                <w:rPr>
                  <w:rFonts w:ascii="Cambria Math" w:hAnsi="Cambria Math"/>
                </w:rPr>
                <m:t>probe</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fixed</m:t>
              </m:r>
              <m:ctrlPr>
                <w:rPr>
                  <w:rFonts w:ascii="Cambria Math" w:hAnsi="Cambria Math"/>
                </w:rPr>
              </m:ctrlPr>
            </m:sub>
          </m:sSub>
        </m:oMath>
      </m:oMathPara>
    </w:p>
    <w:p w14:paraId="2F5AC482">
      <w:pPr>
        <w:ind w:firstLine="480" w:firstLineChars="200"/>
      </w:pPr>
      <w:r>
        <w:t>后续热学正问题和超声</w:t>
      </w:r>
      <m:oMath>
        <m:r>
          <m:rPr>
            <m:sty m:val="p"/>
          </m:rPr>
          <w:rPr>
            <w:rFonts w:ascii="Cambria Math" w:hAnsi="Cambria Math"/>
          </w:rPr>
          <m:t>TOF</m:t>
        </m:r>
      </m:oMath>
      <w:r>
        <w:t>正问题都在修正后的真实厚度几何中进行计算。</w:t>
      </w:r>
    </w:p>
    <w:p w14:paraId="4831864B">
      <w:pPr>
        <w:pStyle w:val="5"/>
      </w:pPr>
      <w:bookmarkStart w:id="65" w:name="_Ref235899704"/>
      <w:bookmarkStart w:id="66" w:name="_Toc235910459"/>
      <w:r>
        <w:t>两层W30Mo70试验及温度场反演研究</w:t>
      </w:r>
      <w:bookmarkEnd w:id="65"/>
      <w:bookmarkEnd w:id="66"/>
    </w:p>
    <w:p w14:paraId="2EF9C7A2">
      <w:pPr>
        <w:pStyle w:val="6"/>
      </w:pPr>
      <w:bookmarkStart w:id="67" w:name="_Ref235904522"/>
      <w:r>
        <w:t>试件、试验系统</w:t>
      </w:r>
      <w:bookmarkEnd w:id="67"/>
    </w:p>
    <w:p w14:paraId="3F6C6A44">
      <w:pPr>
        <w:pStyle w:val="3"/>
        <w:numPr>
          <w:ilvl w:val="0"/>
          <w:numId w:val="5"/>
        </w:numPr>
        <w:ind w:firstLineChars="0"/>
      </w:pPr>
      <w:r>
        <w:t>测试试件及设备选择</w:t>
      </w:r>
    </w:p>
    <w:p w14:paraId="3D35996E">
      <w:pPr>
        <w:pStyle w:val="33"/>
      </w:pPr>
      <w:r>
        <w:drawing>
          <wp:inline distT="0" distB="0" distL="114300" distR="114300">
            <wp:extent cx="2771140" cy="1920240"/>
            <wp:effectExtent l="0" t="0" r="0" b="3810"/>
            <wp:docPr id="1587473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7366" name="图片 4"/>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77991" cy="1925369"/>
                    </a:xfrm>
                    <a:prstGeom prst="rect">
                      <a:avLst/>
                    </a:prstGeom>
                    <a:noFill/>
                    <a:ln>
                      <a:noFill/>
                    </a:ln>
                  </pic:spPr>
                </pic:pic>
              </a:graphicData>
            </a:graphic>
          </wp:inline>
        </w:drawing>
      </w:r>
    </w:p>
    <w:p w14:paraId="4C4BEBEC">
      <w:pPr>
        <w:pStyle w:val="33"/>
      </w:pPr>
      <w:bookmarkStart w:id="68" w:name="_Ref2354669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29</w:t>
      </w:r>
      <w:r>
        <w:fldChar w:fldCharType="end"/>
      </w:r>
      <w:bookmarkEnd w:id="68"/>
      <w:r>
        <w:rPr>
          <w:rFonts w:hint="eastAsia"/>
        </w:rPr>
        <w:t xml:space="preserve"> 试件实物图</w:t>
      </w:r>
    </w:p>
    <w:p w14:paraId="17A6AA35">
      <w:pPr>
        <w:pStyle w:val="33"/>
      </w:pPr>
      <w:r>
        <w:drawing>
          <wp:inline distT="0" distB="0" distL="0" distR="0">
            <wp:extent cx="3002280" cy="2038985"/>
            <wp:effectExtent l="0" t="0" r="7620" b="0"/>
            <wp:docPr id="1872352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52502" name="图片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35227" cy="2061941"/>
                    </a:xfrm>
                    <a:prstGeom prst="rect">
                      <a:avLst/>
                    </a:prstGeom>
                  </pic:spPr>
                </pic:pic>
              </a:graphicData>
            </a:graphic>
          </wp:inline>
        </w:drawing>
      </w:r>
    </w:p>
    <w:p w14:paraId="6FDC7530">
      <w:pPr>
        <w:pStyle w:val="33"/>
      </w:pPr>
      <w:bookmarkStart w:id="69" w:name="_Ref23546791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30</w:t>
      </w:r>
      <w:r>
        <w:fldChar w:fldCharType="end"/>
      </w:r>
      <w:bookmarkEnd w:id="69"/>
      <w:r>
        <w:rPr>
          <w:rFonts w:hint="eastAsia"/>
        </w:rPr>
        <w:t xml:space="preserve"> 打孔位置1-11</w:t>
      </w:r>
    </w:p>
    <w:p w14:paraId="7788ACA4">
      <w:pPr>
        <w:pStyle w:val="3"/>
      </w:pPr>
      <w:r>
        <w:t>钨钼合金多层材料试件(钨含量30%)：</w:t>
      </w:r>
      <w:r>
        <w:rPr>
          <w:rFonts w:hint="eastAsia"/>
        </w:rPr>
        <w:t>总</w:t>
      </w:r>
      <w:r>
        <w:t>厚度1</w:t>
      </w:r>
      <w:r>
        <w:rPr>
          <w:rFonts w:hint="eastAsia"/>
        </w:rPr>
        <w:t>9.2</w:t>
      </w:r>
      <w:r>
        <w:t>mm、长宽均为100mm；实验采用众烁Z-7013-A/B双组分高温无机胶作为中间粘结层，将两块厚度基本相同的钨钼合金试件粘接形成多层材料样品。该胶为双组分耐高温无机陶瓷胶，标称耐温约1700℃。A、B组混合并固化后形成无机陶瓷质高温粘结层。由此，实验样品可等效描述为“钨钼合金-无机陶瓷质高温胶层-钨钼合金”三层结构。样品上有</w:t>
      </w:r>
      <w:r>
        <w:rPr>
          <w:rFonts w:hint="eastAsia"/>
        </w:rPr>
        <w:t>11</w:t>
      </w:r>
      <w:r>
        <w:t>处打孔，</w:t>
      </w:r>
      <w:r>
        <w:rPr>
          <w:rFonts w:hint="eastAsia"/>
        </w:rPr>
        <w:t>深度约为25mm，</w:t>
      </w:r>
      <w:r>
        <w:t>为方便测量试件温度，并为其他模块提供构造温度场的数据。</w:t>
      </w:r>
      <w:r>
        <w:rPr>
          <w:rFonts w:hint="eastAsia"/>
        </w:rPr>
        <w:t>试件实物图如</w:t>
      </w:r>
      <w:r>
        <w:fldChar w:fldCharType="begin"/>
      </w:r>
      <w:r>
        <w:instrText xml:space="preserve"> </w:instrText>
      </w:r>
      <w:r>
        <w:rPr>
          <w:rFonts w:hint="eastAsia"/>
        </w:rPr>
        <w:instrText xml:space="preserve">REF _Ref235466967 \h</w:instrText>
      </w:r>
      <w:r>
        <w:instrText xml:space="preserve"> </w:instrText>
      </w:r>
      <w:r>
        <w:fldChar w:fldCharType="separate"/>
      </w:r>
      <w:r>
        <w:rPr>
          <w:rFonts w:hint="eastAsia"/>
        </w:rPr>
        <w:t xml:space="preserve">图 </w:t>
      </w:r>
      <w:r>
        <w:t>3.29</w:t>
      </w:r>
      <w:r>
        <w:fldChar w:fldCharType="end"/>
      </w:r>
      <w:r>
        <w:rPr>
          <w:rFonts w:hint="eastAsia"/>
        </w:rPr>
        <w:t>所示，打孔位置如</w:t>
      </w:r>
      <w:r>
        <w:fldChar w:fldCharType="begin"/>
      </w:r>
      <w:r>
        <w:instrText xml:space="preserve"> </w:instrText>
      </w:r>
      <w:r>
        <w:rPr>
          <w:rFonts w:hint="eastAsia"/>
        </w:rPr>
        <w:instrText xml:space="preserve">REF _Ref235467915 \h</w:instrText>
      </w:r>
      <w:r>
        <w:instrText xml:space="preserve"> </w:instrText>
      </w:r>
      <w:r>
        <w:fldChar w:fldCharType="separate"/>
      </w:r>
      <w:r>
        <w:rPr>
          <w:rFonts w:hint="eastAsia"/>
        </w:rPr>
        <w:t xml:space="preserve">图 </w:t>
      </w:r>
      <w:r>
        <w:t>3.30</w:t>
      </w:r>
      <w:r>
        <w:fldChar w:fldCharType="end"/>
      </w:r>
      <w:r>
        <w:rPr>
          <w:rFonts w:hint="eastAsia"/>
        </w:rPr>
        <w:t>所示。</w:t>
      </w:r>
    </w:p>
    <w:p w14:paraId="515419AC">
      <w:pPr>
        <w:pStyle w:val="3"/>
      </w:pPr>
      <w:r>
        <w:rPr>
          <w:rFonts w:hint="eastAsia"/>
        </w:rPr>
        <w:t xml:space="preserve">本实验采用HT-2.25P10 </w:t>
      </w:r>
      <w:r>
        <w:t>多浦乐</w:t>
      </w:r>
      <w:r>
        <w:rPr>
          <w:rFonts w:hint="eastAsia"/>
        </w:rPr>
        <w:t>高温超声换能器进行超声脉冲回波测试。该换能器属于高温接触式纵波探头，标称中心频率为 2.25 MHz，晶片直径约 13 mm，具有良好的耐高温性能和较强的穿透能力，可满足高温条件下材料内部回波信号采集需求。测试过程中，换能器与高温耦合剂配合使用，通过脉冲回波法采集试件内部底面回波及界面回波，为后续飞行时间（TOF）分析及温度反演提供实验数据。探头实物图如</w:t>
      </w:r>
      <w:r>
        <w:fldChar w:fldCharType="begin"/>
      </w:r>
      <w:r>
        <w:instrText xml:space="preserve"> </w:instrText>
      </w:r>
      <w:r>
        <w:rPr>
          <w:rFonts w:hint="eastAsia"/>
        </w:rPr>
        <w:instrText xml:space="preserve">REF _Ref235698469 \h</w:instrText>
      </w:r>
      <w:r>
        <w:instrText xml:space="preserve"> </w:instrText>
      </w:r>
      <w:r>
        <w:fldChar w:fldCharType="separate"/>
      </w:r>
      <w:r>
        <w:rPr>
          <w:rFonts w:hint="eastAsia"/>
        </w:rPr>
        <w:t xml:space="preserve">图 </w:t>
      </w:r>
      <w:r>
        <w:t>3.31</w:t>
      </w:r>
      <w:r>
        <w:fldChar w:fldCharType="end"/>
      </w:r>
      <w:r>
        <w:rPr>
          <w:rFonts w:hint="eastAsia"/>
        </w:rPr>
        <w:t>所示。</w:t>
      </w:r>
    </w:p>
    <w:p w14:paraId="2269AC56">
      <w:pPr>
        <w:pStyle w:val="33"/>
        <w:keepNext/>
      </w:pPr>
      <w:r>
        <w:drawing>
          <wp:inline distT="0" distB="0" distL="0" distR="0">
            <wp:extent cx="2263140" cy="1649730"/>
            <wp:effectExtent l="0" t="0" r="3810" b="7620"/>
            <wp:docPr id="2130944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44495" name="图片 1"/>
                    <pic:cNvPicPr>
                      <a:picLocks noChangeAspect="1"/>
                    </pic:cNvPicPr>
                  </pic:nvPicPr>
                  <pic:blipFill>
                    <a:blip r:embed="rId43"/>
                    <a:stretch>
                      <a:fillRect/>
                    </a:stretch>
                  </pic:blipFill>
                  <pic:spPr>
                    <a:xfrm>
                      <a:off x="0" y="0"/>
                      <a:ext cx="2286641" cy="1667205"/>
                    </a:xfrm>
                    <a:prstGeom prst="rect">
                      <a:avLst/>
                    </a:prstGeom>
                  </pic:spPr>
                </pic:pic>
              </a:graphicData>
            </a:graphic>
          </wp:inline>
        </w:drawing>
      </w:r>
    </w:p>
    <w:p w14:paraId="4B051258">
      <w:pPr>
        <w:pStyle w:val="33"/>
        <w:rPr>
          <w:rFonts w:cs="Times New Roman"/>
        </w:rPr>
      </w:pPr>
      <w:bookmarkStart w:id="70" w:name="_Ref235698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31</w:t>
      </w:r>
      <w:r>
        <w:fldChar w:fldCharType="end"/>
      </w:r>
      <w:bookmarkEnd w:id="70"/>
      <w:r>
        <w:rPr>
          <w:rFonts w:hint="eastAsia"/>
        </w:rPr>
        <w:t xml:space="preserve"> 多浦乐超声探头实物图</w:t>
      </w:r>
    </w:p>
    <w:p w14:paraId="1C9D8F2A">
      <w:pPr>
        <w:pStyle w:val="3"/>
        <w:numPr>
          <w:ilvl w:val="0"/>
          <w:numId w:val="5"/>
        </w:numPr>
        <w:ind w:firstLineChars="0"/>
      </w:pPr>
      <w:r>
        <w:t>加热环境</w:t>
      </w:r>
    </w:p>
    <w:p w14:paraId="638A05E3">
      <w:pPr>
        <w:ind w:firstLine="360"/>
        <w:jc w:val="center"/>
        <w:rPr>
          <w:rFonts w:cs="Times New Roman"/>
          <w:lang w:val="zh-CN"/>
        </w:rPr>
      </w:pPr>
      <w:r>
        <w:rPr>
          <w:lang w:val="zh-CN"/>
        </w:rPr>
        <w:drawing>
          <wp:inline distT="0" distB="0" distL="0" distR="0">
            <wp:extent cx="2657475" cy="2018665"/>
            <wp:effectExtent l="0" t="0" r="0" b="635"/>
            <wp:docPr id="17839582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58229" name="图片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2691919" cy="2044922"/>
                    </a:xfrm>
                    <a:prstGeom prst="rect">
                      <a:avLst/>
                    </a:prstGeom>
                    <a:noFill/>
                    <a:ln>
                      <a:noFill/>
                    </a:ln>
                  </pic:spPr>
                </pic:pic>
              </a:graphicData>
            </a:graphic>
          </wp:inline>
        </w:drawing>
      </w:r>
    </w:p>
    <w:p w14:paraId="4110C82E">
      <w:pPr>
        <w:pStyle w:val="33"/>
        <w:rPr>
          <w:rFonts w:cs="Times New Roman"/>
          <w:lang w:val="zh-CN"/>
        </w:rPr>
      </w:pPr>
      <w:bookmarkStart w:id="71" w:name="_Ref23546597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32</w:t>
      </w:r>
      <w:r>
        <w:fldChar w:fldCharType="end"/>
      </w:r>
      <w:bookmarkEnd w:id="71"/>
      <w:r>
        <w:rPr>
          <w:rFonts w:hint="eastAsia" w:cs="Times New Roman"/>
          <w:lang w:val="zh-CN"/>
        </w:rPr>
        <w:t>氧乙炔烧蚀机加热多层材料</w:t>
      </w:r>
    </w:p>
    <w:p w14:paraId="3BDC6A12">
      <w:pPr>
        <w:ind w:firstLine="360"/>
        <w:rPr>
          <w:rFonts w:cs="Times New Roman"/>
          <w:lang w:val="zh-CN"/>
        </w:rPr>
      </w:pPr>
      <w:r>
        <w:rPr>
          <w:rFonts w:hint="eastAsia" w:cs="Times New Roman"/>
          <w:lang w:val="zh-CN"/>
        </w:rPr>
        <w:t>氧乙炔烧蚀机通过</w:t>
      </w:r>
      <w:r>
        <w:rPr>
          <w:rFonts w:cs="Times New Roman"/>
        </w:rPr>
        <w:t>稳定的高温、高热流密度火焰</w:t>
      </w:r>
      <w:r>
        <w:rPr>
          <w:rFonts w:hint="eastAsia" w:cs="Times New Roman"/>
          <w:lang w:val="zh-CN"/>
        </w:rPr>
        <w:t>对试样表面进行定点加热。测试过程中，设置如下参数：气体压力：氧气 0.4Mpa，乙炔 0.0095Mpa，气体流量：氧气 0.252L/min，乙炔 18.6L/min，烧蚀时间：200s，枪头与样品间距：94mm，燃烧比：1.35，将烧蚀喷枪置于被加热试样一侧，调整喷嘴与试样表面的距离及作用角度，并通过布置于试样表面的热电偶实时监测试样温度，当任一测温点温度达到或者超过1500 K时，开展超声波探测及数据采集</w:t>
      </w:r>
      <w:r>
        <w:rPr>
          <w:rFonts w:cs="Times New Roman"/>
          <w:lang w:val="zh-CN"/>
        </w:rPr>
        <w:t>。</w:t>
      </w:r>
    </w:p>
    <w:p w14:paraId="11DE1AD2">
      <w:pPr>
        <w:ind w:firstLine="360"/>
        <w:rPr>
          <w:rFonts w:cs="Times New Roman"/>
          <w:lang w:val="zh-CN"/>
        </w:rPr>
      </w:pPr>
      <w:r>
        <w:rPr>
          <w:rFonts w:hint="eastAsia" w:cs="Times New Roman"/>
          <w:lang w:val="zh-CN"/>
        </w:rPr>
        <w:t>对于试件，脉冲回波总声时由固定延迟与试件内部往返传播时间共同组成。高温超声探头通常在压电元件与热表面之间设置延迟线或波导，高温试件温度并不会在接触瞬间等同于探头有源元件温度。热传导具有有限响应时间。若接触和采集时间</w:t>
      </w:r>
      <m:oMath>
        <m:r>
          <m:rPr/>
          <w:rPr>
            <w:rFonts w:hint="eastAsia" w:ascii="Cambria Math" w:hAnsi="Cambria Math" w:cs="Times New Roman"/>
            <w:lang w:val="zh-CN"/>
          </w:rPr>
          <m:t>Δ</m:t>
        </m:r>
        <m:r>
          <m:rPr/>
          <w:rPr>
            <w:rFonts w:ascii="Cambria Math" w:hAnsi="Cambria Math" w:cs="Times New Roman"/>
            <w:lang w:val="zh-CN"/>
          </w:rPr>
          <m:t>t</m:t>
        </m:r>
      </m:oMath>
      <w:r>
        <w:rPr>
          <w:rFonts w:hint="eastAsia" w:cs="Times New Roman"/>
          <w:lang w:val="zh-CN"/>
        </w:rPr>
        <w:t>远小于探头—延迟结构的特征热响应时间</w:t>
      </w:r>
      <m:oMath>
        <m:r>
          <m:rPr/>
          <w:rPr>
            <w:rFonts w:hint="eastAsia" w:ascii="Cambria Math" w:hAnsi="Cambria Math" w:cs="Times New Roman"/>
            <w:lang w:val="zh-CN"/>
          </w:rPr>
          <m:t>τ</m:t>
        </m:r>
        <m:r>
          <m:rPr/>
          <w:rPr>
            <w:rFonts w:ascii="Cambria Math" w:hAnsi="Cambria Math" w:cs="Times New Roman"/>
            <w:lang w:val="zh-CN"/>
          </w:rPr>
          <m:t>ₜₕ</m:t>
        </m:r>
      </m:oMath>
      <w:r>
        <w:rPr>
          <w:rFonts w:hint="eastAsia" w:cs="Times New Roman"/>
          <w:lang w:val="zh-CN"/>
        </w:rPr>
        <w:t>，则在采集窗口内有源元件温升可近似忽略。在同一仪器、线缆、触发方式与探头初始温度下，探头本体的电-声转换延迟因此可保持为同一标定常数。</w:t>
      </w:r>
    </w:p>
    <w:p w14:paraId="10B79B72">
      <w:pPr>
        <w:ind w:firstLine="360"/>
        <w:rPr>
          <w:rFonts w:cs="Times New Roman"/>
          <w:lang w:val="zh-CN"/>
        </w:rPr>
      </w:pPr>
      <w:r>
        <w:rPr>
          <w:rFonts w:hint="eastAsia" w:cs="Times New Roman"/>
          <w:lang w:val="zh-CN"/>
        </w:rPr>
        <w:t>在试件达到1258℃（1531K）后探头瞬时接触被测试件，并且采集在探头本体与压电元件尚未发生可测温升前完成，则试件温度不会直接改变探头本体的固有电-声转换延迟。</w:t>
      </w:r>
    </w:p>
    <w:p w14:paraId="6ED31DE2">
      <w:pPr>
        <w:pStyle w:val="3"/>
        <w:numPr>
          <w:ilvl w:val="0"/>
          <w:numId w:val="5"/>
        </w:numPr>
        <w:ind w:firstLineChars="0"/>
      </w:pPr>
      <w:r>
        <w:t>加热参数</w:t>
      </w:r>
    </w:p>
    <w:p w14:paraId="342E4D28">
      <w:pPr>
        <w:pStyle w:val="3"/>
      </w:pPr>
      <w:r>
        <w:t>低温稳态：采用ZB1515JRT恒温加热台作为稳态加热源。该设备工作台面尺寸为150mm×150mm，供电电压为220VAC，最大功率400W，温度设定范围为40至450℃，具备PID恒温控制功能，并通过LED数码显示设定温度与实际温度。测试过程中，样品放置于加热台中央有效加热区域内，通过设定目标温度实现稳态热场加载。加热台实物图如</w:t>
      </w:r>
      <w:r>
        <w:fldChar w:fldCharType="begin"/>
      </w:r>
      <w:r>
        <w:instrText xml:space="preserve"> REF _Ref235036856 \h  \* MERGEFORMAT </w:instrText>
      </w:r>
      <w:r>
        <w:fldChar w:fldCharType="separate"/>
      </w:r>
      <w:r>
        <w:t>图 3.33</w:t>
      </w:r>
      <w:r>
        <w:fldChar w:fldCharType="end"/>
      </w:r>
      <w:r>
        <w:t>、</w:t>
      </w:r>
      <w:r>
        <w:fldChar w:fldCharType="begin"/>
      </w:r>
      <w:r>
        <w:instrText xml:space="preserve"> REF _Ref23777 \h  \* MERGEFORMAT </w:instrText>
      </w:r>
      <w:r>
        <w:fldChar w:fldCharType="separate"/>
      </w:r>
      <w:r>
        <w:t>图 3.34</w:t>
      </w:r>
      <w:r>
        <w:fldChar w:fldCharType="end"/>
      </w:r>
      <w:r>
        <w:t>所示。</w:t>
      </w:r>
    </w:p>
    <w:p w14:paraId="6F52BA4A">
      <w:pPr>
        <w:jc w:val="center"/>
        <w:rPr>
          <w:rFonts w:cs="Times New Roman"/>
          <w:lang w:val="zh-CN"/>
        </w:rPr>
      </w:pPr>
      <w:r>
        <w:rPr>
          <w:rFonts w:cs="Times New Roman"/>
          <w:lang w:val="zh-CN"/>
        </w:rPr>
        <w:drawing>
          <wp:inline distT="0" distB="0" distL="114300" distR="114300">
            <wp:extent cx="1886585" cy="1639570"/>
            <wp:effectExtent l="0" t="0" r="3175" b="6350"/>
            <wp:docPr id="3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8"/>
                    <pic:cNvPicPr>
                      <a:picLocks noChangeAspect="1"/>
                    </pic:cNvPicPr>
                  </pic:nvPicPr>
                  <pic:blipFill>
                    <a:blip r:embed="rId45"/>
                    <a:stretch>
                      <a:fillRect/>
                    </a:stretch>
                  </pic:blipFill>
                  <pic:spPr>
                    <a:xfrm>
                      <a:off x="0" y="0"/>
                      <a:ext cx="1886585" cy="1639570"/>
                    </a:xfrm>
                    <a:prstGeom prst="rect">
                      <a:avLst/>
                    </a:prstGeom>
                    <a:noFill/>
                    <a:ln>
                      <a:noFill/>
                    </a:ln>
                  </pic:spPr>
                </pic:pic>
              </a:graphicData>
            </a:graphic>
          </wp:inline>
        </w:drawing>
      </w:r>
    </w:p>
    <w:p w14:paraId="53C1A304">
      <w:pPr>
        <w:pStyle w:val="33"/>
      </w:pPr>
      <w:bookmarkStart w:id="72" w:name="_Ref235036856"/>
      <w:r>
        <w:t xml:space="preserve">图 </w:t>
      </w:r>
      <w:r>
        <w:fldChar w:fldCharType="begin"/>
      </w:r>
      <w:r>
        <w:instrText xml:space="preserve"> STYLEREF 1 \s </w:instrText>
      </w:r>
      <w:r>
        <w:fldChar w:fldCharType="separate"/>
      </w:r>
      <w:r>
        <w:t>3</w:t>
      </w:r>
      <w:r>
        <w:fldChar w:fldCharType="end"/>
      </w:r>
      <w:r>
        <w:t>.</w:t>
      </w:r>
      <w:r>
        <w:fldChar w:fldCharType="begin"/>
      </w:r>
      <w:r>
        <w:instrText xml:space="preserve"> SEQ 图 \* ARABIC \s 1 </w:instrText>
      </w:r>
      <w:r>
        <w:fldChar w:fldCharType="separate"/>
      </w:r>
      <w:r>
        <w:t>33</w:t>
      </w:r>
      <w:r>
        <w:fldChar w:fldCharType="end"/>
      </w:r>
      <w:bookmarkEnd w:id="72"/>
      <w:r>
        <w:t>加热台正面</w:t>
      </w:r>
    </w:p>
    <w:p w14:paraId="4697AD4A">
      <w:pPr>
        <w:jc w:val="center"/>
        <w:rPr>
          <w:rFonts w:cs="Times New Roman"/>
          <w:lang w:val="zh-CN"/>
        </w:rPr>
      </w:pPr>
      <w:r>
        <w:rPr>
          <w:rFonts w:cs="Times New Roman"/>
          <w:lang w:val="zh-CN"/>
        </w:rPr>
        <w:drawing>
          <wp:inline distT="0" distB="0" distL="114300" distR="114300">
            <wp:extent cx="1741805" cy="1741805"/>
            <wp:effectExtent l="0" t="0" r="10795" b="10795"/>
            <wp:docPr id="3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9"/>
                    <pic:cNvPicPr>
                      <a:picLocks noChangeAspect="1"/>
                    </pic:cNvPicPr>
                  </pic:nvPicPr>
                  <pic:blipFill>
                    <a:blip r:embed="rId46"/>
                    <a:stretch>
                      <a:fillRect/>
                    </a:stretch>
                  </pic:blipFill>
                  <pic:spPr>
                    <a:xfrm>
                      <a:off x="0" y="0"/>
                      <a:ext cx="1741805" cy="1741805"/>
                    </a:xfrm>
                    <a:prstGeom prst="rect">
                      <a:avLst/>
                    </a:prstGeom>
                    <a:noFill/>
                    <a:ln>
                      <a:noFill/>
                    </a:ln>
                  </pic:spPr>
                </pic:pic>
              </a:graphicData>
            </a:graphic>
          </wp:inline>
        </w:drawing>
      </w:r>
    </w:p>
    <w:p w14:paraId="43DFCBBF">
      <w:pPr>
        <w:pStyle w:val="33"/>
      </w:pPr>
      <w:bookmarkStart w:id="73" w:name="_Ref23777"/>
      <w:r>
        <w:t xml:space="preserve">图 </w:t>
      </w:r>
      <w:r>
        <w:fldChar w:fldCharType="begin"/>
      </w:r>
      <w:r>
        <w:instrText xml:space="preserve"> STYLEREF 1 \s </w:instrText>
      </w:r>
      <w:r>
        <w:fldChar w:fldCharType="separate"/>
      </w:r>
      <w:r>
        <w:t>3</w:t>
      </w:r>
      <w:r>
        <w:fldChar w:fldCharType="end"/>
      </w:r>
      <w:r>
        <w:t>.</w:t>
      </w:r>
      <w:r>
        <w:fldChar w:fldCharType="begin"/>
      </w:r>
      <w:r>
        <w:instrText xml:space="preserve"> SEQ 图 \* ARABIC \s 1 </w:instrText>
      </w:r>
      <w:r>
        <w:fldChar w:fldCharType="separate"/>
      </w:r>
      <w:r>
        <w:t>34</w:t>
      </w:r>
      <w:r>
        <w:fldChar w:fldCharType="end"/>
      </w:r>
      <w:bookmarkEnd w:id="73"/>
      <w:r>
        <w:t xml:space="preserve"> 加热台加热面</w:t>
      </w:r>
    </w:p>
    <w:p w14:paraId="7B982C62">
      <w:pPr>
        <w:pStyle w:val="3"/>
      </w:pPr>
      <w:r>
        <w:t>高温瞬态：采用氧乙炔烧蚀机作为瞬态高温加热源，通过调节氧气和乙炔的供气压力、流量及混合比例，形成稳定的高温、高热流密度火焰，对试样表面进行定点加热。测试过程中，将烧蚀喷枪置于被加热试样一侧，调整喷嘴与试样表面的距离及作用角度，并通过布置于试样表面的热电偶实时监测试样温度；当任一测温点温度达到1500 K时，开展超声波探测及数据采集。试验期间同步记录火焰作用时间及试样温度，</w:t>
      </w:r>
      <w:r>
        <w:rPr>
          <w:rFonts w:hint="eastAsia"/>
        </w:rPr>
        <w:t>加热现场</w:t>
      </w:r>
      <w:r>
        <w:t>如</w:t>
      </w:r>
      <w:r>
        <w:fldChar w:fldCharType="begin"/>
      </w:r>
      <w:r>
        <w:instrText xml:space="preserve"> REF _Ref4233 \h </w:instrText>
      </w:r>
      <w:r>
        <w:fldChar w:fldCharType="separate"/>
      </w:r>
      <w:r>
        <w:t>图 3.35</w:t>
      </w:r>
      <w:r>
        <w:fldChar w:fldCharType="end"/>
      </w:r>
      <w:r>
        <w:t>所示。</w:t>
      </w:r>
    </w:p>
    <w:p w14:paraId="17EBAF2E">
      <w:pPr>
        <w:jc w:val="center"/>
        <w:rPr>
          <w:rFonts w:cs="Times New Roman"/>
        </w:rPr>
      </w:pPr>
      <w:r>
        <w:rPr>
          <w:rFonts w:cs="Times New Roman"/>
        </w:rPr>
        <w:drawing>
          <wp:inline distT="0" distB="0" distL="114300" distR="114300">
            <wp:extent cx="3458845" cy="1461135"/>
            <wp:effectExtent l="0" t="0" r="0" b="0"/>
            <wp:docPr id="910684664" name="图片 910684664" descr="C:/Users/AF/Desktop/41d7e6ade0e0ace80133ef248775a9af.jpg41d7e6ade0e0ace80133ef248775a9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84664" name="图片 910684664" descr="C:/Users/AF/Desktop/41d7e6ade0e0ace80133ef248775a9af.jpg41d7e6ade0e0ace80133ef248775a9af"/>
                    <pic:cNvPicPr>
                      <a:picLocks noChangeAspect="1"/>
                    </pic:cNvPicPr>
                  </pic:nvPicPr>
                  <pic:blipFill>
                    <a:blip r:embed="rId47"/>
                    <a:srcRect t="8157" b="17062"/>
                    <a:stretch>
                      <a:fillRect/>
                    </a:stretch>
                  </pic:blipFill>
                  <pic:spPr>
                    <a:xfrm>
                      <a:off x="0" y="0"/>
                      <a:ext cx="3458845" cy="1461135"/>
                    </a:xfrm>
                    <a:prstGeom prst="rect">
                      <a:avLst/>
                    </a:prstGeom>
                  </pic:spPr>
                </pic:pic>
              </a:graphicData>
            </a:graphic>
          </wp:inline>
        </w:drawing>
      </w:r>
    </w:p>
    <w:p w14:paraId="47AC29B0">
      <w:pPr>
        <w:pStyle w:val="33"/>
      </w:pPr>
      <w:bookmarkStart w:id="74" w:name="_Ref4233"/>
      <w:r>
        <w:t xml:space="preserve">图 </w:t>
      </w:r>
      <w:r>
        <w:fldChar w:fldCharType="begin"/>
      </w:r>
      <w:r>
        <w:instrText xml:space="preserve"> STYLEREF 1 \s </w:instrText>
      </w:r>
      <w:r>
        <w:fldChar w:fldCharType="separate"/>
      </w:r>
      <w:r>
        <w:t>3</w:t>
      </w:r>
      <w:r>
        <w:fldChar w:fldCharType="end"/>
      </w:r>
      <w:r>
        <w:t>.</w:t>
      </w:r>
      <w:r>
        <w:fldChar w:fldCharType="begin"/>
      </w:r>
      <w:r>
        <w:instrText xml:space="preserve"> SEQ 图 \* ARABIC \s 1 </w:instrText>
      </w:r>
      <w:r>
        <w:fldChar w:fldCharType="separate"/>
      </w:r>
      <w:r>
        <w:t>35</w:t>
      </w:r>
      <w:r>
        <w:fldChar w:fldCharType="end"/>
      </w:r>
      <w:bookmarkEnd w:id="74"/>
      <w:r>
        <w:t xml:space="preserve"> </w:t>
      </w:r>
      <w:r>
        <w:rPr>
          <w:rFonts w:hint="eastAsia"/>
        </w:rPr>
        <w:t>高温瞬态加热实验现场</w:t>
      </w:r>
    </w:p>
    <w:p w14:paraId="32C824B2">
      <w:pPr>
        <w:pStyle w:val="3"/>
      </w:pPr>
      <w:r>
        <w:t>高温条件下的声学响应验证引用已验收“面向高温材料的激光超声探测系统研制”项目形成的W30Mo70合金高温激光超声测试成果。该组数据用于分析高温条件下超声声时和波形特征随温度变化的总体规律，并作为本项目室温至1500 K温区声学模型及反演结果的高温参考数据。鉴于既有项目采用的试件厚度、激励接收方式和传播路径与本项目接触式压电超声试验不同，相关数据按照独立来源进行管理，并在使用过程中实施温度范围、传播距离和声学参数的统一处理。</w:t>
      </w:r>
      <w:r>
        <w:rPr>
          <w:vertAlign w:val="superscript"/>
        </w:rPr>
        <w:fldChar w:fldCharType="begin"/>
      </w:r>
      <w:r>
        <w:rPr>
          <w:vertAlign w:val="superscript"/>
        </w:rPr>
        <w:instrText xml:space="preserve"> REF _Ref235908073 \n \h  \* MERGEFORMAT </w:instrText>
      </w:r>
      <w:r>
        <w:rPr>
          <w:vertAlign w:val="superscript"/>
        </w:rPr>
        <w:fldChar w:fldCharType="separate"/>
      </w:r>
      <w:r>
        <w:rPr>
          <w:vertAlign w:val="superscript"/>
        </w:rPr>
        <w:t>[4]</w:t>
      </w:r>
      <w:r>
        <w:rPr>
          <w:vertAlign w:val="superscript"/>
        </w:rPr>
        <w:fldChar w:fldCharType="end"/>
      </w:r>
    </w:p>
    <w:p w14:paraId="43349FC0">
      <w:pPr>
        <w:pStyle w:val="3"/>
        <w:numPr>
          <w:ilvl w:val="0"/>
          <w:numId w:val="5"/>
        </w:numPr>
        <w:ind w:firstLineChars="0"/>
      </w:pPr>
      <w:r>
        <w:t>温度监测设备</w:t>
      </w:r>
    </w:p>
    <w:p w14:paraId="54E14F7B">
      <w:pPr>
        <w:pStyle w:val="3"/>
      </w:pPr>
      <w:r>
        <w:t>低温稳态：采用AT4808多路温度测试仪连接T型热电偶进行样品及加热环境温度监测。该设备为8通道手持式温度采集仪，支持J/K/T/E/S/N/B/R型热电偶输入，可对多点温度进行同步采集、显示、记录和超限报警。设备具备冷端补偿、断偶检测、每通道误差修正、U盘数据存储及Mini-USB通讯功能。本实验过程中，根据实验需求将热电偶布置在材料和加热台表面，并通过AT4808记录温度随时间的变化。设备实物图如</w:t>
      </w:r>
      <w:r>
        <w:fldChar w:fldCharType="begin"/>
      </w:r>
      <w:r>
        <w:instrText xml:space="preserve"> REF _Ref24208 \h </w:instrText>
      </w:r>
      <w:r>
        <w:fldChar w:fldCharType="separate"/>
      </w:r>
      <w:r>
        <w:t>图 3.36</w:t>
      </w:r>
      <w:r>
        <w:fldChar w:fldCharType="end"/>
      </w:r>
      <w:r>
        <w:t>所示。</w:t>
      </w:r>
    </w:p>
    <w:p w14:paraId="62B30D81">
      <w:pPr>
        <w:jc w:val="center"/>
        <w:rPr>
          <w:rFonts w:cs="Times New Roman"/>
        </w:rPr>
      </w:pPr>
      <w:r>
        <w:rPr>
          <w:rFonts w:cs="Times New Roman"/>
        </w:rPr>
        <w:drawing>
          <wp:inline distT="0" distB="0" distL="114300" distR="114300">
            <wp:extent cx="1635125" cy="2180590"/>
            <wp:effectExtent l="0" t="0" r="10795" b="13970"/>
            <wp:docPr id="39" name="图片 39" descr="5556870a8da21b31ce42d08d891d0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5556870a8da21b31ce42d08d891d0c49"/>
                    <pic:cNvPicPr>
                      <a:picLocks noChangeAspect="1"/>
                    </pic:cNvPicPr>
                  </pic:nvPicPr>
                  <pic:blipFill>
                    <a:blip r:embed="rId48"/>
                    <a:stretch>
                      <a:fillRect/>
                    </a:stretch>
                  </pic:blipFill>
                  <pic:spPr>
                    <a:xfrm>
                      <a:off x="0" y="0"/>
                      <a:ext cx="1635125" cy="2180590"/>
                    </a:xfrm>
                    <a:prstGeom prst="rect">
                      <a:avLst/>
                    </a:prstGeom>
                  </pic:spPr>
                </pic:pic>
              </a:graphicData>
            </a:graphic>
          </wp:inline>
        </w:drawing>
      </w:r>
    </w:p>
    <w:p w14:paraId="0A19F651">
      <w:pPr>
        <w:pStyle w:val="33"/>
      </w:pPr>
      <w:bookmarkStart w:id="75" w:name="_Ref24208"/>
      <w:r>
        <w:t xml:space="preserve">图 </w:t>
      </w:r>
      <w:r>
        <w:fldChar w:fldCharType="begin"/>
      </w:r>
      <w:r>
        <w:instrText xml:space="preserve"> STYLEREF 1 \s </w:instrText>
      </w:r>
      <w:r>
        <w:fldChar w:fldCharType="separate"/>
      </w:r>
      <w:r>
        <w:t>3</w:t>
      </w:r>
      <w:r>
        <w:fldChar w:fldCharType="end"/>
      </w:r>
      <w:r>
        <w:t>.</w:t>
      </w:r>
      <w:r>
        <w:fldChar w:fldCharType="begin"/>
      </w:r>
      <w:r>
        <w:instrText xml:space="preserve"> SEQ 图 \* ARABIC \s 1 </w:instrText>
      </w:r>
      <w:r>
        <w:fldChar w:fldCharType="separate"/>
      </w:r>
      <w:r>
        <w:t>36</w:t>
      </w:r>
      <w:r>
        <w:fldChar w:fldCharType="end"/>
      </w:r>
      <w:bookmarkEnd w:id="75"/>
      <w:r>
        <w:t xml:space="preserve"> AT4808温度测试仪</w:t>
      </w:r>
    </w:p>
    <w:p w14:paraId="210B3CD9">
      <w:pPr>
        <w:pStyle w:val="3"/>
      </w:pPr>
      <w:r>
        <w:t>高温瞬态：采用希玛AS887四路温度测试仪连接K型热电偶进行样品及加热环境温度监测。该设备支持4路K型热电偶输入，主机测温范围为-200℃至1372℃，分辨率为0.1℃/℉（＜1000℃）和1.0℃/℉（≥1000℃），具备最大值、最小值、平均值、数据锁定、背光显示、自动关机、电子补偿及上/下限报警设置功能。本实验过程中，根据实验需求，在材料上打孔后，将热电偶嵌入其中，用于记录稳态或瞬态加热条件下的温度变化。设备实物图如</w:t>
      </w:r>
      <w:r>
        <w:fldChar w:fldCharType="begin"/>
      </w:r>
      <w:r>
        <w:instrText xml:space="preserve"> REF _Ref24616 \h </w:instrText>
      </w:r>
      <w:r>
        <w:fldChar w:fldCharType="separate"/>
      </w:r>
      <w:r>
        <w:t>图 3.37</w:t>
      </w:r>
      <w:r>
        <w:fldChar w:fldCharType="end"/>
      </w:r>
      <w:r>
        <w:t>所示。</w:t>
      </w:r>
    </w:p>
    <w:p w14:paraId="472A05E2">
      <w:pPr>
        <w:jc w:val="center"/>
        <w:rPr>
          <w:rFonts w:cs="Times New Roman"/>
        </w:rPr>
      </w:pPr>
      <w:r>
        <w:rPr>
          <w:rFonts w:cs="Times New Roman"/>
        </w:rPr>
        <w:drawing>
          <wp:inline distT="0" distB="0" distL="114300" distR="114300">
            <wp:extent cx="2046605" cy="1534795"/>
            <wp:effectExtent l="8255" t="0" r="0" b="0"/>
            <wp:docPr id="40" name="图片 40" descr="68c2abbe29513bcd888eeebc2500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68c2abbe29513bcd888eeebc25001276"/>
                    <pic:cNvPicPr>
                      <a:picLocks noChangeAspect="1"/>
                    </pic:cNvPicPr>
                  </pic:nvPicPr>
                  <pic:blipFill>
                    <a:blip r:embed="rId49"/>
                    <a:stretch>
                      <a:fillRect/>
                    </a:stretch>
                  </pic:blipFill>
                  <pic:spPr>
                    <a:xfrm rot="5400000">
                      <a:off x="0" y="0"/>
                      <a:ext cx="2056589" cy="1542704"/>
                    </a:xfrm>
                    <a:prstGeom prst="rect">
                      <a:avLst/>
                    </a:prstGeom>
                  </pic:spPr>
                </pic:pic>
              </a:graphicData>
            </a:graphic>
          </wp:inline>
        </w:drawing>
      </w:r>
    </w:p>
    <w:p w14:paraId="323079A8">
      <w:pPr>
        <w:pStyle w:val="33"/>
      </w:pPr>
      <w:bookmarkStart w:id="76" w:name="_Ref24616"/>
      <w:r>
        <w:t xml:space="preserve">图 </w:t>
      </w:r>
      <w:r>
        <w:fldChar w:fldCharType="begin"/>
      </w:r>
      <w:r>
        <w:instrText xml:space="preserve"> STYLEREF 1 \s </w:instrText>
      </w:r>
      <w:r>
        <w:fldChar w:fldCharType="separate"/>
      </w:r>
      <w:r>
        <w:t>3</w:t>
      </w:r>
      <w:r>
        <w:fldChar w:fldCharType="end"/>
      </w:r>
      <w:r>
        <w:t>.</w:t>
      </w:r>
      <w:r>
        <w:fldChar w:fldCharType="begin"/>
      </w:r>
      <w:r>
        <w:instrText xml:space="preserve"> SEQ 图 \* ARABIC \s 1 </w:instrText>
      </w:r>
      <w:r>
        <w:fldChar w:fldCharType="separate"/>
      </w:r>
      <w:r>
        <w:t>37</w:t>
      </w:r>
      <w:r>
        <w:fldChar w:fldCharType="end"/>
      </w:r>
      <w:bookmarkEnd w:id="76"/>
      <w:r>
        <w:t xml:space="preserve"> AS887四路温度测试仪</w:t>
      </w:r>
    </w:p>
    <w:p w14:paraId="08B7F19C">
      <w:pPr>
        <w:ind w:firstLine="480" w:firstLineChars="200"/>
        <w:rPr>
          <w:rFonts w:cs="Times New Roman"/>
        </w:rPr>
      </w:pPr>
      <w:r>
        <w:rPr>
          <w:rFonts w:cs="Times New Roman"/>
        </w:rPr>
        <w:t>温度仪与试件连接实物图如</w:t>
      </w:r>
      <w:r>
        <w:rPr>
          <w:rFonts w:cs="Times New Roman"/>
        </w:rPr>
        <w:fldChar w:fldCharType="begin"/>
      </w:r>
      <w:r>
        <w:rPr>
          <w:rFonts w:cs="Times New Roman"/>
        </w:rPr>
        <w:instrText xml:space="preserve"> REF _Ref15984 \h </w:instrText>
      </w:r>
      <w:r>
        <w:rPr>
          <w:rFonts w:cs="Times New Roman"/>
        </w:rPr>
        <w:fldChar w:fldCharType="separate"/>
      </w:r>
      <w:r>
        <w:t>图 3.38</w:t>
      </w:r>
      <w:r>
        <w:rPr>
          <w:rFonts w:cs="Times New Roman"/>
        </w:rPr>
        <w:fldChar w:fldCharType="end"/>
      </w:r>
      <w:r>
        <w:rPr>
          <w:rFonts w:cs="Times New Roman"/>
        </w:rPr>
        <w:t>所示。</w:t>
      </w:r>
    </w:p>
    <w:p w14:paraId="13BC9D67">
      <w:pPr>
        <w:jc w:val="center"/>
        <w:rPr>
          <w:rFonts w:ascii="Calibri" w:hAnsi="Calibri" w:cs="Times New Roman"/>
          <w:sz w:val="21"/>
        </w:rPr>
      </w:pPr>
      <w:r>
        <w:rPr>
          <w:rFonts w:ascii="Calibri" w:hAnsi="Calibri" w:cs="Times New Roman"/>
          <w:sz w:val="21"/>
        </w:rPr>
        <w:drawing>
          <wp:inline distT="0" distB="0" distL="114300" distR="114300">
            <wp:extent cx="3028315" cy="1403350"/>
            <wp:effectExtent l="0" t="0" r="4445" b="13970"/>
            <wp:docPr id="14302130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13088" name="图片 5"/>
                    <pic:cNvPicPr>
                      <a:picLocks noChangeAspect="1"/>
                    </pic:cNvPicPr>
                  </pic:nvPicPr>
                  <pic:blipFill>
                    <a:blip r:embed="rId50"/>
                    <a:stretch>
                      <a:fillRect/>
                    </a:stretch>
                  </pic:blipFill>
                  <pic:spPr>
                    <a:xfrm>
                      <a:off x="0" y="0"/>
                      <a:ext cx="3028315" cy="1403350"/>
                    </a:xfrm>
                    <a:prstGeom prst="rect">
                      <a:avLst/>
                    </a:prstGeom>
                    <a:noFill/>
                    <a:ln>
                      <a:noFill/>
                    </a:ln>
                  </pic:spPr>
                </pic:pic>
              </a:graphicData>
            </a:graphic>
          </wp:inline>
        </w:drawing>
      </w:r>
    </w:p>
    <w:p w14:paraId="45EF46F1">
      <w:pPr>
        <w:pStyle w:val="33"/>
      </w:pPr>
      <w:bookmarkStart w:id="77" w:name="_Ref15984"/>
      <w:r>
        <w:t xml:space="preserve">图 </w:t>
      </w:r>
      <w:r>
        <w:fldChar w:fldCharType="begin"/>
      </w:r>
      <w:r>
        <w:instrText xml:space="preserve"> STYLEREF 1 \s </w:instrText>
      </w:r>
      <w:r>
        <w:fldChar w:fldCharType="separate"/>
      </w:r>
      <w:r>
        <w:t>3</w:t>
      </w:r>
      <w:r>
        <w:fldChar w:fldCharType="end"/>
      </w:r>
      <w:r>
        <w:t>.</w:t>
      </w:r>
      <w:r>
        <w:fldChar w:fldCharType="begin"/>
      </w:r>
      <w:r>
        <w:instrText xml:space="preserve"> SEQ 图 \* ARABIC \s 1 </w:instrText>
      </w:r>
      <w:r>
        <w:fldChar w:fldCharType="separate"/>
      </w:r>
      <w:r>
        <w:t>38</w:t>
      </w:r>
      <w:r>
        <w:fldChar w:fldCharType="end"/>
      </w:r>
      <w:bookmarkEnd w:id="77"/>
      <w:r>
        <w:t xml:space="preserve"> 温度仪与试件连接实物图</w:t>
      </w:r>
    </w:p>
    <w:p w14:paraId="0781732E">
      <w:pPr>
        <w:pStyle w:val="6"/>
      </w:pPr>
      <w:r>
        <w:t>声学数据采集与处理</w:t>
      </w:r>
    </w:p>
    <w:p w14:paraId="0C2C6735">
      <w:pPr>
        <w:ind w:firstLine="420"/>
      </w:pPr>
      <w:r>
        <w:t>在多探头超声信号采集过程中，计算机通过程序控制数字示波器、四通道高压超声切换单元以及温度采集模块，实现多探头超声波形的自动化轮询采集。实验开始后，程序首先对四通道高压超声切换单元进行初始化配置，并依次选通CH1~CH4通道，分别采集各超声探头在空载状态下的20帧超声波形数据。针对不同探头灵敏度、传播路径及响应特性的差异，程序分别计算各通道有效回波窗口内的空载能量、峰峰值和RMS特征参数，建立对应探头独立的空载基线模型。</w:t>
      </w:r>
    </w:p>
    <w:p w14:paraId="1E801846">
      <w:pPr>
        <w:ind w:firstLine="420"/>
      </w:pPr>
      <w:r>
        <w:t>四个探头安装在同一个固定器上，并同时与材料保持接触。完成基线建立后，系统进入多通道轮询采集模式。程序按照预设周期控制四通道高压超声切换单元依次选通不同探头通道，每次通道切换完成后设置固定等待时间，以消除开关切换过程中的电气瞬态影响。随后，程序实时读取数字示波器采集的超声波形数据，并基于状态机方法对当前探头与材料之间的耦合状态进行判断。首先通过比较当前波形与对应通道空载基线之间的能量、峰峰值及RMS特征差异，判断探头是否进入接触候选状态；当连续多帧波形在幅值变化、波形相关性以及回波峰值位置方面均满足稳定判据时，系统判定该探头与被测材料达到稳定耦合状态，并自动进入固定窗口采集阶段。</w:t>
      </w:r>
    </w:p>
    <w:p w14:paraId="332FFBDD">
      <w:pPr>
        <w:ind w:firstLine="420"/>
      </w:pPr>
      <w:r>
        <w:t>在正式采集阶段，程序按照设定的数据长度连续采集固定数量的超声波形帧，并对多帧数据进行平均处理，以降低随机噪声对测量结果的影响，得到当前探头对应的有效超声响应波形。采集完成后，程序同步读取AT4808多路温度测试仪数据，并将探头编号、采集通道、温度信息、采样参数以及波形数据分别存储。其中，波形数据以CSV格式保存原始时域信号，同时生成对应PNG格式波形图像，实验过程参数以JSON格式保存，形成完整的数据记录文件。</w:t>
      </w:r>
    </w:p>
    <w:p w14:paraId="52DE1D3C">
      <w:pPr>
        <w:ind w:firstLine="420"/>
      </w:pPr>
      <w:r>
        <w:t>单个探头完成采集后，程序不再依赖人工判断波形恢复状态，而是直接进入通道切换流程，关闭当前通道并自动选通下一探头通道，重复执行固定窗口采集过程。最终，系统依次完成CH1~CH4四个探头的超声信号采集，实现基于时分复用方式的多探头超声波形自动化、连续化和标准化采集。完成当前温度点的全部波形采集后，所有探头移离测试位置，系统等待材料达到下一设定温度点，并重复上述采集流程。</w:t>
      </w:r>
    </w:p>
    <w:p w14:paraId="2E14595F">
      <w:pPr>
        <w:ind w:firstLine="420"/>
      </w:pPr>
      <w:r>
        <w:t>高温瞬态加热实验中，采用程序控制方式实现多探头超声波形快速采集。实验开始前，将超声探头固定于多探头固定器上，并通过四通道高压超声切换单元完成各探头通道配置。实验过程中，通过温度采集模块实时监测试样温度，当指定热电偶测得材料温度达到目标温度（1500 K，约1227 ℃）时，将安装有四个超声探头的固定器快速送入加热舱内，使各探头同时与材料表面接触。探头接触后，程序立即触发超声信号采集，并控制四通道高压超声切换单元按照预设顺序快速选通CH1~CH4通道，依次获取四个探头对应的超声响应波形。每个通道切换后设置短暂稳定等待时间，以消除切换过程中的电气瞬态影响，并锁定当前通道的有效超声波形数据。</w:t>
      </w:r>
    </w:p>
    <w:p w14:paraId="5DB54B6E">
      <w:pPr>
        <w:ind w:firstLine="420"/>
      </w:pPr>
      <w:r>
        <w:t>完成四个通道波形采集后，程序同步读取温度采集模块数据，并将各探头编号、采集通道、温度信息以及对应波形数据进行关联存储。波形数据保存为CSV格式，同时生成对应波形图像，实验参数以JSON格式记录。随后，将探头固定器移出加热舱，使探头和材料自然冷却，待系统恢复至下一次实验条件后，重复上述过程，实现高温瞬态条件下多探头超声信号的快速采集。</w:t>
      </w:r>
    </w:p>
    <w:p w14:paraId="0F1BA477">
      <w:pPr>
        <w:ind w:firstLine="420"/>
      </w:pPr>
      <w:r>
        <w:t>对采集数据进行统一整理和处理，提取各位置的第一次回波和第二次回波的超声波声时，并计算第二次回波幅值比上第一次回波幅值。最终获得稳态以及瞬态条件下物块上表面探测位置对应的声时及相关热电偶的温度数据。TOF单位：微秒，温度单位：℃。 TC*_C列表示*位置的热电偶的温度数据，位置数据详见</w:t>
      </w:r>
      <w:r>
        <w:fldChar w:fldCharType="begin"/>
      </w:r>
      <w:r>
        <w:instrText xml:space="preserve"> REF _Ref235906486 \h </w:instrText>
      </w:r>
      <w:r>
        <w:fldChar w:fldCharType="separate"/>
      </w:r>
      <w:r>
        <w:rPr>
          <w:rFonts w:hint="eastAsia"/>
        </w:rPr>
        <w:t xml:space="preserve">图 </w:t>
      </w:r>
      <w:r>
        <w:t>3</w:t>
      </w:r>
      <w:r>
        <w:rPr>
          <w:rFonts w:hint="eastAsia"/>
        </w:rPr>
        <w:t>.</w:t>
      </w:r>
      <w:r>
        <w:t>39</w:t>
      </w:r>
      <w:r>
        <w:fldChar w:fldCharType="end"/>
      </w:r>
      <w:r>
        <w:t>。ABCD分别代表四个超声探头，探头在试材上的放置位置见</w:t>
      </w:r>
      <w:r>
        <w:fldChar w:fldCharType="begin"/>
      </w:r>
      <w:r>
        <w:instrText xml:space="preserve"> REF _Ref235906462 \h </w:instrText>
      </w:r>
      <w:r>
        <w:fldChar w:fldCharType="separate"/>
      </w:r>
      <w:r>
        <w:rPr>
          <w:rFonts w:hint="eastAsia"/>
        </w:rPr>
        <w:t xml:space="preserve">图 </w:t>
      </w:r>
      <w:r>
        <w:t>3</w:t>
      </w:r>
      <w:r>
        <w:rPr>
          <w:rFonts w:hint="eastAsia"/>
        </w:rPr>
        <w:t>.</w:t>
      </w:r>
      <w:r>
        <w:t>40</w:t>
      </w:r>
      <w:r>
        <w:fldChar w:fldCharType="end"/>
      </w:r>
      <w:r>
        <w:t>。</w:t>
      </w:r>
    </w:p>
    <w:p w14:paraId="66645E99">
      <w:pPr>
        <w:pStyle w:val="33"/>
      </w:pPr>
      <w:r>
        <w:drawing>
          <wp:inline distT="0" distB="0" distL="0" distR="0">
            <wp:extent cx="5400040" cy="3527425"/>
            <wp:effectExtent l="0" t="0" r="0" b="0"/>
            <wp:docPr id="1620103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03944" name="图片 1"/>
                    <pic:cNvPicPr>
                      <a:picLocks noChangeAspect="1"/>
                    </pic:cNvPicPr>
                  </pic:nvPicPr>
                  <pic:blipFill>
                    <a:blip r:embed="rId51"/>
                    <a:stretch>
                      <a:fillRect/>
                    </a:stretch>
                  </pic:blipFill>
                  <pic:spPr>
                    <a:xfrm>
                      <a:off x="0" y="0"/>
                      <a:ext cx="5400040" cy="3527425"/>
                    </a:xfrm>
                    <a:prstGeom prst="rect">
                      <a:avLst/>
                    </a:prstGeom>
                  </pic:spPr>
                </pic:pic>
              </a:graphicData>
            </a:graphic>
          </wp:inline>
        </w:drawing>
      </w:r>
    </w:p>
    <w:p w14:paraId="768D0B76">
      <w:pPr>
        <w:pStyle w:val="33"/>
      </w:pPr>
      <w:bookmarkStart w:id="78" w:name="_Ref235906486"/>
      <w:bookmarkStart w:id="79" w:name="_Ref235906456"/>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t>3</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t>39</w:t>
      </w:r>
      <w:r>
        <w:rPr>
          <w:rFonts w:hint="eastAsia"/>
        </w:rPr>
        <w:fldChar w:fldCharType="end"/>
      </w:r>
      <w:bookmarkEnd w:id="78"/>
      <w:r>
        <w:rPr>
          <w:rFonts w:hint="eastAsia"/>
        </w:rPr>
        <w:t xml:space="preserve"> 热电偶布置孔坐标</w:t>
      </w:r>
      <w:bookmarkEnd w:id="79"/>
    </w:p>
    <w:p w14:paraId="223421E9">
      <w:pPr>
        <w:pStyle w:val="33"/>
      </w:pPr>
    </w:p>
    <w:p w14:paraId="05C3276B">
      <w:pPr>
        <w:pStyle w:val="33"/>
      </w:pPr>
      <w:r>
        <w:drawing>
          <wp:inline distT="0" distB="0" distL="0" distR="0">
            <wp:extent cx="3238500" cy="1715135"/>
            <wp:effectExtent l="0" t="0" r="0" b="0"/>
            <wp:docPr id="417336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36115" name="图片 1"/>
                    <pic:cNvPicPr>
                      <a:picLocks noChangeAspect="1"/>
                    </pic:cNvPicPr>
                  </pic:nvPicPr>
                  <pic:blipFill>
                    <a:blip r:embed="rId52"/>
                    <a:stretch>
                      <a:fillRect/>
                    </a:stretch>
                  </pic:blipFill>
                  <pic:spPr>
                    <a:xfrm>
                      <a:off x="0" y="0"/>
                      <a:ext cx="3244635" cy="1718466"/>
                    </a:xfrm>
                    <a:prstGeom prst="rect">
                      <a:avLst/>
                    </a:prstGeom>
                  </pic:spPr>
                </pic:pic>
              </a:graphicData>
            </a:graphic>
          </wp:inline>
        </w:drawing>
      </w:r>
      <w:r>
        <w:rPr>
          <w:rFonts w:eastAsia="Times New Roman" w:cs="Times New Roman"/>
          <w:snapToGrid w:val="0"/>
          <w:color w:val="000000"/>
          <w:w w:val="0"/>
          <w:kern w:val="0"/>
          <w:sz w:val="0"/>
          <w:szCs w:val="0"/>
          <w:u w:color="000000"/>
          <w:shd w:val="clear" w:color="000000" w:fill="000000"/>
          <w:lang w:val="zh-CN" w:eastAsia="zh-CN" w:bidi="zh-CN"/>
          <w14:ligatures w14:val="none"/>
        </w:rPr>
        <w:t xml:space="preserve"> </w:t>
      </w:r>
      <w:r>
        <w:drawing>
          <wp:inline distT="0" distB="0" distL="0" distR="0">
            <wp:extent cx="1927860" cy="1805305"/>
            <wp:effectExtent l="0" t="0" r="0" b="4445"/>
            <wp:docPr id="1174197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97861" name="图片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1940952" cy="1817573"/>
                    </a:xfrm>
                    <a:prstGeom prst="rect">
                      <a:avLst/>
                    </a:prstGeom>
                    <a:noFill/>
                    <a:ln>
                      <a:noFill/>
                    </a:ln>
                  </pic:spPr>
                </pic:pic>
              </a:graphicData>
            </a:graphic>
          </wp:inline>
        </w:drawing>
      </w:r>
    </w:p>
    <w:p w14:paraId="1F0B7078">
      <w:pPr>
        <w:pStyle w:val="33"/>
      </w:pPr>
      <w:bookmarkStart w:id="80" w:name="_Ref235906462"/>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t>3</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t>40</w:t>
      </w:r>
      <w:r>
        <w:rPr>
          <w:rFonts w:hint="eastAsia"/>
        </w:rPr>
        <w:fldChar w:fldCharType="end"/>
      </w:r>
      <w:bookmarkEnd w:id="80"/>
      <w:r>
        <w:rPr>
          <w:rFonts w:hint="eastAsia"/>
        </w:rPr>
        <w:t xml:space="preserve"> 超声探头位置</w:t>
      </w:r>
    </w:p>
    <w:p w14:paraId="3281131E">
      <w:pPr>
        <w:pStyle w:val="3"/>
      </w:pPr>
      <w:r>
        <w:t>四通道依次完成A—A、B—B、C—C、D—D自发自收；其他探头可能接收到当前发射探头的信号，但不纳入反演；单通道结果取自同一四通道测量帧中的A—A通道；一帧四通道数据按准同步测量处理。</w:t>
      </w:r>
    </w:p>
    <w:p w14:paraId="1CC72DFB">
      <w:pPr>
        <w:pStyle w:val="6"/>
      </w:pPr>
      <w:r>
        <w:t>反演工况及试验结果</w:t>
      </w:r>
    </w:p>
    <w:p w14:paraId="203BC5FC">
      <w:pPr>
        <w:ind w:firstLine="420"/>
      </w:pPr>
      <w:r>
        <w:t>多层材料的尺寸为100mm×19.2mm，其中下层厚度为9.7mm，上层厚度为9.5mm。反演程序覆盖单参数、多参数、一维、二维、稳态和瞬态温度场反演，并开展温度场—厚度联合反演。稳态情况下输出反演温度场图片、五个测温点的真实温度场与反演温度场平均温度值及相对误差；瞬态情况下输出各时刻五个测温点的反演温度场平均温度值、真实温度场平均温度值及相对误差。联合反演同时输出真实厚度、反演厚度及相对误差。</w:t>
      </w:r>
    </w:p>
    <w:p w14:paraId="3027192F">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18</w:t>
      </w:r>
      <w:r>
        <w:fldChar w:fldCharType="end"/>
      </w:r>
      <w:r>
        <w:t>二维多层材料精度误差表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1798"/>
        <w:gridCol w:w="4500"/>
      </w:tblGrid>
      <w:tr w14:paraId="260C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Pr>
          <w:p w14:paraId="66FDE23C"/>
        </w:tc>
        <w:tc>
          <w:tcPr>
            <w:tcW w:w="1031" w:type="pct"/>
          </w:tcPr>
          <w:p w14:paraId="34DD008C">
            <w:r>
              <w:t>温度场反演</w:t>
            </w:r>
          </w:p>
        </w:tc>
        <w:tc>
          <w:tcPr>
            <w:tcW w:w="2580" w:type="pct"/>
          </w:tcPr>
          <w:p w14:paraId="1D6AD227">
            <w:r>
              <w:t>温度场-厚度联合反演</w:t>
            </w:r>
          </w:p>
        </w:tc>
      </w:tr>
      <w:tr w14:paraId="748B6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Pr>
          <w:p w14:paraId="58F0A422">
            <w:r>
              <w:t>二维稳态单参数</w:t>
            </w:r>
          </w:p>
        </w:tc>
        <w:tc>
          <w:tcPr>
            <w:tcW w:w="1031" w:type="pct"/>
          </w:tcPr>
          <w:p w14:paraId="22D59434">
            <w:r>
              <w:t>7.397%</w:t>
            </w:r>
          </w:p>
        </w:tc>
        <w:tc>
          <w:tcPr>
            <w:tcW w:w="2580" w:type="pct"/>
          </w:tcPr>
          <w:p w14:paraId="76A35F49">
            <w:r>
              <w:t>温度：7.657%，厚度：0.589%</w:t>
            </w:r>
          </w:p>
        </w:tc>
      </w:tr>
      <w:tr w14:paraId="2998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Pr>
          <w:p w14:paraId="2450B87A">
            <w:r>
              <w:t>二维稳态多参数</w:t>
            </w:r>
          </w:p>
        </w:tc>
        <w:tc>
          <w:tcPr>
            <w:tcW w:w="1031" w:type="pct"/>
          </w:tcPr>
          <w:p w14:paraId="47C1E5C7">
            <w:r>
              <w:t>7.532%</w:t>
            </w:r>
          </w:p>
        </w:tc>
        <w:tc>
          <w:tcPr>
            <w:tcW w:w="2580" w:type="pct"/>
          </w:tcPr>
          <w:p w14:paraId="7498EBBD">
            <w:r>
              <w:t>温度：7.660%，厚度：0.589%</w:t>
            </w:r>
          </w:p>
        </w:tc>
      </w:tr>
      <w:tr w14:paraId="2992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Pr>
          <w:p w14:paraId="631CEF52">
            <w:r>
              <w:t>二维瞬态单参数</w:t>
            </w:r>
          </w:p>
        </w:tc>
        <w:tc>
          <w:tcPr>
            <w:tcW w:w="1031" w:type="pct"/>
          </w:tcPr>
          <w:p w14:paraId="681614AC">
            <w:r>
              <w:t>9.115%</w:t>
            </w:r>
          </w:p>
        </w:tc>
        <w:tc>
          <w:tcPr>
            <w:tcW w:w="2580" w:type="pct"/>
          </w:tcPr>
          <w:p w14:paraId="3223FC4D">
            <w:r>
              <w:t>温度：14.392%，厚度：0.589%</w:t>
            </w:r>
          </w:p>
        </w:tc>
      </w:tr>
      <w:tr w14:paraId="6780E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pct"/>
          </w:tcPr>
          <w:p w14:paraId="0485760F">
            <w:r>
              <w:t>二维瞬态多参数</w:t>
            </w:r>
          </w:p>
        </w:tc>
        <w:tc>
          <w:tcPr>
            <w:tcW w:w="1031" w:type="pct"/>
          </w:tcPr>
          <w:p w14:paraId="0F0ECA1C">
            <w:r>
              <w:t>9.115%</w:t>
            </w:r>
          </w:p>
        </w:tc>
        <w:tc>
          <w:tcPr>
            <w:tcW w:w="2580" w:type="pct"/>
          </w:tcPr>
          <w:p w14:paraId="456C518A">
            <w:r>
              <w:t>温度：5.864%，厚度：0.589%</w:t>
            </w:r>
          </w:p>
        </w:tc>
      </w:tr>
    </w:tbl>
    <w:p w14:paraId="57E6F5C7">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19</w:t>
      </w:r>
      <w:r>
        <w:fldChar w:fldCharType="end"/>
      </w:r>
      <w:r>
        <w:t>一维多层材料精度误差表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1831"/>
        <w:gridCol w:w="4423"/>
      </w:tblGrid>
      <w:tr w14:paraId="658DF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Pr>
          <w:p w14:paraId="526FAC9B"/>
        </w:tc>
        <w:tc>
          <w:tcPr>
            <w:tcW w:w="1050" w:type="pct"/>
          </w:tcPr>
          <w:p w14:paraId="213DA3EE">
            <w:r>
              <w:t>温度场反演</w:t>
            </w:r>
          </w:p>
        </w:tc>
        <w:tc>
          <w:tcPr>
            <w:tcW w:w="2536" w:type="pct"/>
          </w:tcPr>
          <w:p w14:paraId="54C6B155">
            <w:r>
              <w:t>温度场-厚度联合反演</w:t>
            </w:r>
          </w:p>
        </w:tc>
      </w:tr>
      <w:tr w14:paraId="0919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Pr>
          <w:p w14:paraId="130371E0">
            <w:r>
              <w:t>一维稳态单参数</w:t>
            </w:r>
          </w:p>
        </w:tc>
        <w:tc>
          <w:tcPr>
            <w:tcW w:w="1050" w:type="pct"/>
          </w:tcPr>
          <w:p w14:paraId="06346124">
            <w:r>
              <w:t>2.516%</w:t>
            </w:r>
          </w:p>
        </w:tc>
        <w:tc>
          <w:tcPr>
            <w:tcW w:w="2536" w:type="pct"/>
          </w:tcPr>
          <w:p w14:paraId="227F4F7D">
            <w:r>
              <w:t>温度：2.001%，厚度：0.589%</w:t>
            </w:r>
          </w:p>
        </w:tc>
      </w:tr>
      <w:tr w14:paraId="1C3B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Pr>
          <w:p w14:paraId="24A30E39">
            <w:r>
              <w:t>一维稳态多参数</w:t>
            </w:r>
          </w:p>
        </w:tc>
        <w:tc>
          <w:tcPr>
            <w:tcW w:w="1050" w:type="pct"/>
          </w:tcPr>
          <w:p w14:paraId="1E6576F4">
            <w:r>
              <w:t>2.516%</w:t>
            </w:r>
          </w:p>
        </w:tc>
        <w:tc>
          <w:tcPr>
            <w:tcW w:w="2536" w:type="pct"/>
          </w:tcPr>
          <w:p w14:paraId="359124BD">
            <w:r>
              <w:t>温度：1.999%，厚度：0.589%</w:t>
            </w:r>
          </w:p>
        </w:tc>
      </w:tr>
      <w:tr w14:paraId="3E25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414" w:type="pct"/>
          </w:tcPr>
          <w:p w14:paraId="28FAF69A">
            <w:r>
              <w:t>一维瞬态单参数</w:t>
            </w:r>
          </w:p>
        </w:tc>
        <w:tc>
          <w:tcPr>
            <w:tcW w:w="1050" w:type="pct"/>
          </w:tcPr>
          <w:p w14:paraId="3ED34D49">
            <w:r>
              <w:t>9.499%</w:t>
            </w:r>
          </w:p>
        </w:tc>
        <w:tc>
          <w:tcPr>
            <w:tcW w:w="2536" w:type="pct"/>
          </w:tcPr>
          <w:p w14:paraId="4B48AD1B">
            <w:r>
              <w:t>温度：8.946%，厚度：0.589%</w:t>
            </w:r>
          </w:p>
        </w:tc>
      </w:tr>
      <w:tr w14:paraId="2514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414" w:type="pct"/>
          </w:tcPr>
          <w:p w14:paraId="48240295">
            <w:r>
              <w:t>一维瞬态多参数</w:t>
            </w:r>
          </w:p>
        </w:tc>
        <w:tc>
          <w:tcPr>
            <w:tcW w:w="1050" w:type="pct"/>
          </w:tcPr>
          <w:p w14:paraId="2883E02D">
            <w:r>
              <w:t>9.503%</w:t>
            </w:r>
          </w:p>
        </w:tc>
        <w:tc>
          <w:tcPr>
            <w:tcW w:w="2536" w:type="pct"/>
          </w:tcPr>
          <w:p w14:paraId="663BF437">
            <w:r>
              <w:t>温度：8.530%，厚度：0.589%</w:t>
            </w:r>
          </w:p>
        </w:tc>
      </w:tr>
    </w:tbl>
    <w:p w14:paraId="2861EE5C">
      <w:pPr>
        <w:pStyle w:val="5"/>
      </w:pPr>
      <w:bookmarkStart w:id="81" w:name="_Ref235899692"/>
      <w:bookmarkStart w:id="82" w:name="_Toc235910460"/>
      <w:r>
        <w:t>金属基复合材料反演研究</w:t>
      </w:r>
      <w:bookmarkEnd w:id="81"/>
      <w:bookmarkEnd w:id="82"/>
    </w:p>
    <w:p w14:paraId="5001F9CA">
      <w:pPr>
        <w:pStyle w:val="6"/>
      </w:pPr>
      <w:r>
        <w:t>材料和模型设置</w:t>
      </w:r>
    </w:p>
    <w:p w14:paraId="76D8A753">
      <w:pPr>
        <w:ind w:firstLine="420"/>
      </w:pPr>
      <w:r>
        <w:t>在热声固耦合分析模块仿真平台输入金属基复合材料的物性参数，包括密度、导热系数、定压比热、弹性模量及泊松比。金属基复合材料设置为各向同性。然后进行划分网格，网格大小为0.2 mm。设置热学环境参数，包括热对流系数、环境温度为300 K以及底部热流。设置左边、右边以及顶部对流获得二维温度场。设置完成后进行稳态及瞬态仿真，瞬态仿真共20 s，步长为0.4 s。在超声波仿真部分，导入热学求解得到的温度场文件，二维工况下在顶部除了两边边界均匀设置4个超声波发射点；一维工况下在顶部设置1个超声波发射点，仿真时长共</w:t>
      </w:r>
      <w:r>
        <w:rPr>
          <w:rFonts w:hint="eastAsia"/>
        </w:rPr>
        <w:t>20s</w:t>
      </w:r>
      <w:r>
        <w:t>，得到四个位置的回波波形。</w:t>
      </w:r>
    </w:p>
    <w:p w14:paraId="70981F66">
      <w:pPr>
        <w:ind w:firstLine="420"/>
      </w:pPr>
      <w:r>
        <w:t>对回波波形取包络，并提取第一次回波的峰值时间，该时间减去发射波峰值时间得到超声波传播时间TOF。再用该回波的峰值比发射波峰值得到相对衰减，然后将提取到的声学参数写进CSV文件里用于后续反演。</w:t>
      </w:r>
    </w:p>
    <w:p w14:paraId="16F97CD3">
      <w:pPr>
        <w:ind w:firstLine="420"/>
      </w:pPr>
      <w:r>
        <w:t>二维工况：金属基复合材料的尺寸为50mm×10mm。</w:t>
      </w:r>
    </w:p>
    <w:p w14:paraId="7C366C5C">
      <w:pPr>
        <w:ind w:firstLine="420"/>
      </w:pPr>
      <w:r>
        <w:t>一维工况：金属基复合材料的厚度为10mm。</w:t>
      </w:r>
    </w:p>
    <w:p w14:paraId="4EE81116">
      <w:pPr>
        <w:ind w:firstLine="420"/>
      </w:pPr>
      <w:r>
        <w:t>金属基复合材料设置为各向同性，热学模型采用等效各向同性参数；纵波声速采用平面应力近似。</w:t>
      </w:r>
      <w:r>
        <w:rPr>
          <w:vertAlign w:val="superscript"/>
        </w:rPr>
        <w:fldChar w:fldCharType="begin"/>
      </w:r>
      <w:r>
        <w:rPr>
          <w:vertAlign w:val="superscript"/>
        </w:rPr>
        <w:instrText xml:space="preserve"> REF _Ref235907806 \n \h  \* MERGEFORMAT </w:instrText>
      </w:r>
      <w:r>
        <w:rPr>
          <w:vertAlign w:val="superscript"/>
        </w:rPr>
        <w:fldChar w:fldCharType="separate"/>
      </w:r>
      <w:r>
        <w:rPr>
          <w:vertAlign w:val="superscript"/>
        </w:rPr>
        <w:t>[22]</w:t>
      </w:r>
      <w:r>
        <w:rPr>
          <w:vertAlign w:val="superscript"/>
        </w:rPr>
        <w:fldChar w:fldCharType="end"/>
      </w:r>
      <w:r>
        <w:rPr>
          <w:vertAlign w:val="superscript"/>
        </w:rPr>
        <w:fldChar w:fldCharType="begin"/>
      </w:r>
      <w:r>
        <w:rPr>
          <w:vertAlign w:val="superscript"/>
        </w:rPr>
        <w:instrText xml:space="preserve"> REF _Ref235907809 \n \h  \* MERGEFORMAT </w:instrText>
      </w:r>
      <w:r>
        <w:rPr>
          <w:vertAlign w:val="superscript"/>
        </w:rPr>
        <w:fldChar w:fldCharType="separate"/>
      </w:r>
      <w:r>
        <w:rPr>
          <w:vertAlign w:val="superscript"/>
        </w:rPr>
        <w:t>[23]</w:t>
      </w:r>
      <w:r>
        <w:rPr>
          <w:vertAlign w:val="superscript"/>
        </w:rPr>
        <w:fldChar w:fldCharType="end"/>
      </w:r>
    </w:p>
    <w:p w14:paraId="37E46903">
      <w:pPr>
        <w:pStyle w:val="33"/>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20</w:t>
      </w:r>
      <w:r>
        <w:fldChar w:fldCharType="end"/>
      </w:r>
      <w:r>
        <w:t>金属基复合材料代表性温度相关物性</w:t>
      </w:r>
    </w:p>
    <w:tbl>
      <w:tblPr>
        <w:tblStyle w:val="21"/>
        <w:tblW w:w="88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4195"/>
        <w:gridCol w:w="2211"/>
      </w:tblGrid>
      <w:tr w14:paraId="0628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09" w:type="dxa"/>
            <w:tcMar>
              <w:top w:w="110" w:type="dxa"/>
              <w:left w:w="100" w:type="dxa"/>
              <w:bottom w:w="110" w:type="dxa"/>
              <w:right w:w="100" w:type="dxa"/>
            </w:tcMar>
            <w:vAlign w:val="center"/>
          </w:tcPr>
          <w:p w14:paraId="509D60C5">
            <w:r>
              <w:t>物性参数</w:t>
            </w:r>
          </w:p>
        </w:tc>
        <w:tc>
          <w:tcPr>
            <w:tcW w:w="4195" w:type="dxa"/>
            <w:tcMar>
              <w:top w:w="110" w:type="dxa"/>
              <w:left w:w="100" w:type="dxa"/>
              <w:bottom w:w="110" w:type="dxa"/>
              <w:right w:w="100" w:type="dxa"/>
            </w:tcMar>
            <w:vAlign w:val="center"/>
          </w:tcPr>
          <w:p w14:paraId="409646C0">
            <w:r>
              <w:t>温度相关关系</w:t>
            </w:r>
          </w:p>
        </w:tc>
        <w:tc>
          <w:tcPr>
            <w:tcW w:w="2211" w:type="dxa"/>
            <w:tcMar>
              <w:top w:w="110" w:type="dxa"/>
              <w:left w:w="100" w:type="dxa"/>
              <w:bottom w:w="110" w:type="dxa"/>
              <w:right w:w="100" w:type="dxa"/>
            </w:tcMar>
            <w:vAlign w:val="center"/>
          </w:tcPr>
          <w:p w14:paraId="6024FDC7">
            <w:r>
              <w:t>单位</w:t>
            </w:r>
          </w:p>
        </w:tc>
      </w:tr>
      <w:tr w14:paraId="7CFD4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9" w:type="dxa"/>
            <w:tcMar>
              <w:top w:w="95" w:type="dxa"/>
              <w:left w:w="110" w:type="dxa"/>
              <w:bottom w:w="95" w:type="dxa"/>
              <w:right w:w="110" w:type="dxa"/>
            </w:tcMar>
            <w:vAlign w:val="center"/>
          </w:tcPr>
          <w:p w14:paraId="60946C80">
            <w:r>
              <w:t>导热系数 kx=ky</w:t>
            </w:r>
          </w:p>
        </w:tc>
        <w:tc>
          <w:tcPr>
            <w:tcW w:w="4195" w:type="dxa"/>
            <w:tcMar>
              <w:top w:w="95" w:type="dxa"/>
              <w:left w:w="110" w:type="dxa"/>
              <w:bottom w:w="95" w:type="dxa"/>
              <w:right w:w="110" w:type="dxa"/>
            </w:tcMar>
            <w:vAlign w:val="center"/>
          </w:tcPr>
          <w:p w14:paraId="39135CC4">
            <w:r>
              <w:t>8.25 + 0.0125T</w:t>
            </w:r>
          </w:p>
        </w:tc>
        <w:tc>
          <w:tcPr>
            <w:tcW w:w="2211" w:type="dxa"/>
            <w:tcMar>
              <w:top w:w="95" w:type="dxa"/>
              <w:left w:w="110" w:type="dxa"/>
              <w:bottom w:w="95" w:type="dxa"/>
              <w:right w:w="110" w:type="dxa"/>
            </w:tcMar>
            <w:vAlign w:val="center"/>
          </w:tcPr>
          <w:p w14:paraId="36DAA51E">
            <w:r>
              <w:t>W/(m·K)</w:t>
            </w:r>
          </w:p>
        </w:tc>
      </w:tr>
      <w:tr w14:paraId="5467E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9" w:type="dxa"/>
            <w:tcMar>
              <w:top w:w="95" w:type="dxa"/>
              <w:left w:w="110" w:type="dxa"/>
              <w:bottom w:w="95" w:type="dxa"/>
              <w:right w:w="110" w:type="dxa"/>
            </w:tcMar>
            <w:vAlign w:val="center"/>
          </w:tcPr>
          <w:p w14:paraId="1BD4AB67">
            <w:r>
              <w:t>密度 ρ</w:t>
            </w:r>
          </w:p>
        </w:tc>
        <w:tc>
          <w:tcPr>
            <w:tcW w:w="4195" w:type="dxa"/>
            <w:tcMar>
              <w:top w:w="95" w:type="dxa"/>
              <w:left w:w="110" w:type="dxa"/>
              <w:bottom w:w="95" w:type="dxa"/>
              <w:right w:w="110" w:type="dxa"/>
            </w:tcMar>
            <w:vAlign w:val="center"/>
          </w:tcPr>
          <w:p w14:paraId="48C05D2B">
            <w:r>
              <w:t>9005 − 0.35T</w:t>
            </w:r>
          </w:p>
        </w:tc>
        <w:tc>
          <w:tcPr>
            <w:tcW w:w="2211" w:type="dxa"/>
            <w:tcMar>
              <w:top w:w="95" w:type="dxa"/>
              <w:left w:w="110" w:type="dxa"/>
              <w:bottom w:w="95" w:type="dxa"/>
              <w:right w:w="110" w:type="dxa"/>
            </w:tcMar>
            <w:vAlign w:val="center"/>
          </w:tcPr>
          <w:p w14:paraId="16C310CB">
            <w:r>
              <w:t>kg/m³</w:t>
            </w:r>
          </w:p>
        </w:tc>
      </w:tr>
      <w:tr w14:paraId="359D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9" w:type="dxa"/>
            <w:tcMar>
              <w:top w:w="95" w:type="dxa"/>
              <w:left w:w="110" w:type="dxa"/>
              <w:bottom w:w="95" w:type="dxa"/>
              <w:right w:w="110" w:type="dxa"/>
            </w:tcMar>
            <w:vAlign w:val="center"/>
          </w:tcPr>
          <w:p w14:paraId="31AA76E2">
            <w:r>
              <w:t>定压比热 cp</w:t>
            </w:r>
          </w:p>
        </w:tc>
        <w:tc>
          <w:tcPr>
            <w:tcW w:w="4195" w:type="dxa"/>
            <w:tcMar>
              <w:top w:w="95" w:type="dxa"/>
              <w:left w:w="110" w:type="dxa"/>
              <w:bottom w:w="95" w:type="dxa"/>
              <w:right w:w="110" w:type="dxa"/>
            </w:tcMar>
            <w:vAlign w:val="center"/>
          </w:tcPr>
          <w:p w14:paraId="739F77F7">
            <w:r>
              <w:t>382.5 + 0.158333T</w:t>
            </w:r>
          </w:p>
        </w:tc>
        <w:tc>
          <w:tcPr>
            <w:tcW w:w="2211" w:type="dxa"/>
            <w:tcMar>
              <w:top w:w="95" w:type="dxa"/>
              <w:left w:w="110" w:type="dxa"/>
              <w:bottom w:w="95" w:type="dxa"/>
              <w:right w:w="110" w:type="dxa"/>
            </w:tcMar>
            <w:vAlign w:val="center"/>
          </w:tcPr>
          <w:p w14:paraId="47CA43F4">
            <w:r>
              <w:t>J/(kg·K)</w:t>
            </w:r>
          </w:p>
        </w:tc>
      </w:tr>
      <w:tr w14:paraId="4F49C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9" w:type="dxa"/>
            <w:tcMar>
              <w:top w:w="95" w:type="dxa"/>
              <w:left w:w="110" w:type="dxa"/>
              <w:bottom w:w="95" w:type="dxa"/>
              <w:right w:w="110" w:type="dxa"/>
            </w:tcMar>
            <w:vAlign w:val="center"/>
          </w:tcPr>
          <w:p w14:paraId="7FDADFF0">
            <w:r>
              <w:t>杨氏模量 Ex=Ey</w:t>
            </w:r>
          </w:p>
        </w:tc>
        <w:tc>
          <w:tcPr>
            <w:tcW w:w="4195" w:type="dxa"/>
            <w:tcMar>
              <w:top w:w="95" w:type="dxa"/>
              <w:left w:w="110" w:type="dxa"/>
              <w:bottom w:w="95" w:type="dxa"/>
              <w:right w:w="110" w:type="dxa"/>
            </w:tcMar>
            <w:vAlign w:val="center"/>
          </w:tcPr>
          <w:p w14:paraId="0ACDFFA3">
            <w:r>
              <w:t>225.5×10⁹ − 68.333×10⁶T</w:t>
            </w:r>
          </w:p>
        </w:tc>
        <w:tc>
          <w:tcPr>
            <w:tcW w:w="2211" w:type="dxa"/>
            <w:tcMar>
              <w:top w:w="95" w:type="dxa"/>
              <w:left w:w="110" w:type="dxa"/>
              <w:bottom w:w="95" w:type="dxa"/>
              <w:right w:w="110" w:type="dxa"/>
            </w:tcMar>
            <w:vAlign w:val="center"/>
          </w:tcPr>
          <w:p w14:paraId="1BD4D706">
            <w:r>
              <w:t>Pa</w:t>
            </w:r>
          </w:p>
        </w:tc>
      </w:tr>
      <w:tr w14:paraId="4B688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9" w:type="dxa"/>
            <w:tcMar>
              <w:top w:w="95" w:type="dxa"/>
              <w:left w:w="110" w:type="dxa"/>
              <w:bottom w:w="95" w:type="dxa"/>
              <w:right w:w="110" w:type="dxa"/>
            </w:tcMar>
            <w:vAlign w:val="center"/>
          </w:tcPr>
          <w:p w14:paraId="5D6197A3">
            <w:r>
              <w:t>泊松比 ν</w:t>
            </w:r>
          </w:p>
        </w:tc>
        <w:tc>
          <w:tcPr>
            <w:tcW w:w="4195" w:type="dxa"/>
            <w:tcMar>
              <w:top w:w="95" w:type="dxa"/>
              <w:left w:w="110" w:type="dxa"/>
              <w:bottom w:w="95" w:type="dxa"/>
              <w:right w:w="110" w:type="dxa"/>
            </w:tcMar>
            <w:vAlign w:val="center"/>
          </w:tcPr>
          <w:p w14:paraId="04032A60">
            <w:r>
              <w:t>0.30</w:t>
            </w:r>
          </w:p>
        </w:tc>
        <w:tc>
          <w:tcPr>
            <w:tcW w:w="2211" w:type="dxa"/>
            <w:tcMar>
              <w:top w:w="95" w:type="dxa"/>
              <w:left w:w="110" w:type="dxa"/>
              <w:bottom w:w="95" w:type="dxa"/>
              <w:right w:w="110" w:type="dxa"/>
            </w:tcMar>
            <w:vAlign w:val="center"/>
          </w:tcPr>
          <w:p w14:paraId="087D5668">
            <w:r>
              <w:t>—</w:t>
            </w:r>
          </w:p>
        </w:tc>
      </w:tr>
    </w:tbl>
    <w:p w14:paraId="04789C62">
      <w:pPr>
        <w:pStyle w:val="6"/>
      </w:pPr>
      <w:r>
        <w:t>单参数、多参数及一维、二维反演设置</w:t>
      </w:r>
    </w:p>
    <w:p w14:paraId="22142017">
      <w:pPr>
        <w:ind w:firstLine="420"/>
      </w:pPr>
      <w:r>
        <w:t>反演模式按照“工况类型—声学参数—优化方法”的顺序进行选择。</w:t>
      </w:r>
    </w:p>
    <w:p w14:paraId="791FC694">
      <w:r>
        <w:t>首先，选择稳态反演或瞬态反演；稳态工况仅反演当前温度场，瞬态工况则反演随时间变化的温度场历史。然后，根据可用的声学特征确定单参数或多参数反演：仅使用TOF时选择单参数模式，同时使用TOF与幅值相对衰减时选择多参数模式，并分别计算各声学特征对应的目标函数分量。最后，选择优化方法，采用BO+FD时先通过贝叶斯优化进行全局初值搜索，再利用有限差分梯度进行局部精修；采用PSO+CG时先通过粒子群搜索较优解区域，再利用共轭梯度方法进行局部更新。</w:t>
      </w:r>
    </w:p>
    <w:p w14:paraId="53120CC2">
      <w:pPr>
        <w:ind w:firstLine="420"/>
      </w:pPr>
      <w:r>
        <w:t>二维工况：将底部热流设为x方向分段线性函数，由4个控制点q1、q2、q3、q4确定；稳态工况下优化4×1个热流参数，瞬态工况优化4×8的热流历史矩阵。二维模式在声学正演中启用RK4弯曲射线追踪。</w:t>
      </w:r>
    </w:p>
    <w:p w14:paraId="76804504">
      <w:pPr>
        <w:ind w:firstLine="420"/>
      </w:pPr>
      <w:r>
        <w:t>一维工况：将热流设为沿x方向均匀，即q(x)=q_0；稳态优化1个热流参数，瞬态优化1×8个热流参数。声学传播路径固定为厚度方向垂直直线路径，不调用弯曲射线追踪。</w:t>
      </w:r>
    </w:p>
    <w:p w14:paraId="31E4A2CA">
      <w:pPr>
        <w:ind w:firstLine="420"/>
      </w:pPr>
      <w:r>
        <w:t>单参数反演：只使用TOF作为反演约束。程序读取receiver_index与TOF列。目标函数由TOF相对误差和必要的热流平滑正则组成。</w:t>
      </w:r>
    </w:p>
    <w:p w14:paraId="2B45EE6F">
      <w:pPr>
        <w:ind w:firstLine="420"/>
      </w:pPr>
      <w:r>
        <w:t>多参数反演：在TOF基础上加入幅值相对衰减。程序读取receiver_index、TOF列以及amplitude_ratio列，加入幅值相对衰减进行反演。</w:t>
      </w:r>
    </w:p>
    <w:p w14:paraId="34D8E401">
      <w:pPr>
        <w:ind w:firstLine="420"/>
      </w:pPr>
      <w:r>
        <w:t>权重调整：多参数目标函数通过纵波TOF权重以及幅值相对衰减权重控制不同声学特征的贡献。</w:t>
      </w:r>
    </w:p>
    <w:p w14:paraId="7FAFBF5E">
      <w:pPr>
        <w:pStyle w:val="6"/>
      </w:pPr>
      <w:r>
        <w:t>温度场与厚度联合反演</w:t>
      </w:r>
    </w:p>
    <w:p w14:paraId="144D8485">
      <w:pPr>
        <w:ind w:firstLine="420"/>
      </w:pPr>
      <w:r>
        <w:t>在厚度参与的温度场反演中，代码首先不直接把厚度作为BO和PSO中的未知量进行同步优化，而是先利用室温均匀温度场下的纵波对材料厚度进行标定。具体做法是读取tof__results_300K.csv文件中的数据，并根据室温下的材料参数计算声速：</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6B1798B8">
        <w:tblPrEx>
          <w:tblCellMar>
            <w:top w:w="0" w:type="dxa"/>
            <w:left w:w="108" w:type="dxa"/>
            <w:bottom w:w="0" w:type="dxa"/>
            <w:right w:w="108" w:type="dxa"/>
          </w:tblCellMar>
        </w:tblPrEx>
        <w:tc>
          <w:tcPr>
            <w:tcW w:w="4032" w:type="pct"/>
            <w:tcBorders>
              <w:top w:val="nil"/>
              <w:left w:val="nil"/>
              <w:bottom w:val="nil"/>
              <w:right w:val="nil"/>
            </w:tcBorders>
          </w:tcPr>
          <w:p w14:paraId="7CE19018">
            <w:pPr>
              <w:ind w:firstLine="420"/>
            </w:pPr>
            <m:oMathPara>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d>
                  <m:dPr>
                    <m:ctrlPr>
                      <w:rPr>
                        <w:rFonts w:ascii="Cambria Math" w:hAnsi="Cambria Math"/>
                      </w:rPr>
                    </m:ctrlPr>
                  </m:dPr>
                  <m:e>
                    <m:r>
                      <m:rPr>
                        <m:sty m:val="p"/>
                      </m:rPr>
                      <w:rPr>
                        <w:rFonts w:ascii="Cambria Math" w:hAnsi="Cambria Math"/>
                      </w:rPr>
                      <m:t>ET</m:t>
                    </m:r>
                    <m:ctrlPr>
                      <w:rPr>
                        <w:rFonts w:ascii="Cambria Math" w:hAnsi="Cambria Math"/>
                      </w:rPr>
                    </m:ctrlPr>
                  </m:e>
                </m:d>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rPr>
                          <m:t>E</m:t>
                        </m:r>
                        <m:d>
                          <m:dPr>
                            <m:ctrlPr>
                              <w:rPr>
                                <w:rFonts w:ascii="Cambria Math" w:hAnsi="Cambria Math"/>
                              </w:rPr>
                            </m:ctrlPr>
                          </m:dPr>
                          <m:e>
                            <m:r>
                              <m:rPr>
                                <m:sty m:val="p"/>
                              </m:rPr>
                              <w:rPr>
                                <w:rFonts w:ascii="Cambria Math" w:hAnsi="Cambria Math"/>
                              </w:rPr>
                              <m:t>ET</m:t>
                            </m:r>
                            <m:ctrlPr>
                              <w:rPr>
                                <w:rFonts w:ascii="Cambria Math" w:hAnsi="Cambria Math"/>
                              </w:rPr>
                            </m:ctrlPr>
                          </m:e>
                        </m:d>
                        <m:ctrlPr>
                          <w:rPr>
                            <w:rFonts w:ascii="Cambria Math" w:hAnsi="Cambria Math"/>
                          </w:rPr>
                        </m:ctrlPr>
                      </m:num>
                      <m:den>
                        <m:r>
                          <m:rPr/>
                          <w:rPr>
                            <w:rFonts w:ascii="Cambria Math" w:hAnsi="Cambria Math"/>
                          </w:rPr>
                          <m:t>ρ</m:t>
                        </m:r>
                        <m:d>
                          <m:dPr>
                            <m:ctrlPr>
                              <w:rPr>
                                <w:rFonts w:ascii="Cambria Math" w:hAnsi="Cambria Math"/>
                              </w:rPr>
                            </m:ctrlPr>
                          </m:dPr>
                          <m:e>
                            <m:r>
                              <m:rPr>
                                <m:sty m:val="p"/>
                              </m:rPr>
                              <w:rPr>
                                <w:rFonts w:ascii="Cambria Math" w:hAnsi="Cambria Math"/>
                              </w:rPr>
                              <m:t>ET</m:t>
                            </m:r>
                            <m:ctrlPr>
                              <w:rPr>
                                <w:rFonts w:ascii="Cambria Math" w:hAnsi="Cambria Math"/>
                              </w:rPr>
                            </m:ctrlPr>
                          </m:e>
                        </m:d>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w:rPr>
                                    <w:rFonts w:ascii="Cambria Math" w:hAnsi="Cambria Math"/>
                                  </w:rPr>
                                  <m:t>ν</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d>
                        <m:ctrlPr>
                          <w:rPr>
                            <w:rFonts w:ascii="Cambria Math" w:hAnsi="Cambria Math"/>
                          </w:rPr>
                        </m:ctrlPr>
                      </m:den>
                    </m:f>
                    <m:ctrlPr>
                      <w:rPr>
                        <w:rFonts w:ascii="Cambria Math" w:hAnsi="Cambria Math"/>
                      </w:rPr>
                    </m:ctrlPr>
                  </m:e>
                </m:rad>
              </m:oMath>
            </m:oMathPara>
          </w:p>
        </w:tc>
        <w:tc>
          <w:tcPr>
            <w:tcW w:w="968" w:type="pct"/>
            <w:tcBorders>
              <w:top w:val="nil"/>
              <w:left w:val="nil"/>
              <w:bottom w:val="nil"/>
              <w:right w:val="nil"/>
            </w:tcBorders>
            <w:vAlign w:val="center"/>
          </w:tcPr>
          <w:p w14:paraId="7461E83E">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30</w:t>
            </w:r>
            <w:r>
              <w:rPr>
                <w:rFonts w:hint="eastAsia"/>
              </w:rPr>
              <w:fldChar w:fldCharType="end"/>
            </w:r>
            <w:r>
              <w:t>)</w:t>
            </w:r>
          </w:p>
        </w:tc>
      </w:tr>
    </w:tbl>
    <w:p w14:paraId="034AB0FA">
      <w:pPr>
        <w:ind w:firstLine="420"/>
      </w:pPr>
      <w:r>
        <w:t>由于该为超声波从上表面传播到底面并返回的往返时间，因此单个对应的厚度可写为：</w:t>
      </w:r>
    </w:p>
    <w:tbl>
      <w:tblPr>
        <w:tblStyle w:val="21"/>
        <w:tblW w:w="5000" w:type="pct"/>
        <w:tblInd w:w="0" w:type="dxa"/>
        <w:tblLayout w:type="autofit"/>
        <w:tblCellMar>
          <w:top w:w="0" w:type="dxa"/>
          <w:left w:w="108" w:type="dxa"/>
          <w:bottom w:w="0" w:type="dxa"/>
          <w:right w:w="108" w:type="dxa"/>
        </w:tblCellMar>
      </w:tblPr>
      <w:tblGrid>
        <w:gridCol w:w="7032"/>
        <w:gridCol w:w="1688"/>
      </w:tblGrid>
      <w:tr w14:paraId="32B20D2B">
        <w:tblPrEx>
          <w:tblCellMar>
            <w:top w:w="0" w:type="dxa"/>
            <w:left w:w="108" w:type="dxa"/>
            <w:bottom w:w="0" w:type="dxa"/>
            <w:right w:w="108" w:type="dxa"/>
          </w:tblCellMar>
        </w:tblPrEx>
        <w:tc>
          <w:tcPr>
            <w:tcW w:w="4032" w:type="pct"/>
            <w:tcBorders>
              <w:top w:val="nil"/>
              <w:left w:val="nil"/>
              <w:bottom w:val="nil"/>
              <w:right w:val="nil"/>
            </w:tcBorders>
          </w:tcPr>
          <w:p w14:paraId="63740A1C">
            <w:pPr>
              <w:ind w:firstLine="420"/>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=0.5 </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d>
                  <m:dPr>
                    <m:ctrlPr>
                      <w:rPr>
                        <w:rFonts w:ascii="Cambria Math" w:hAnsi="Cambria Math"/>
                      </w:rPr>
                    </m:ctrlPr>
                  </m:dPr>
                  <m:e>
                    <m:r>
                      <m:rPr>
                        <m:sty m:val="p"/>
                      </m:rPr>
                      <w:rPr>
                        <w:rFonts w:ascii="Cambria Math" w:hAnsi="Cambria Math"/>
                      </w:rPr>
                      <m:t>ET</m:t>
                    </m:r>
                    <m:ctrlPr>
                      <w:rPr>
                        <w:rFonts w:ascii="Cambria Math" w:hAnsi="Cambria Math"/>
                      </w:rPr>
                    </m:ctrlPr>
                  </m:e>
                </m:d>
                <m:r>
                  <m:rPr>
                    <m:sty m:val="p"/>
                  </m:rPr>
                  <w:rPr>
                    <w:rFonts w:ascii="Cambria Math" w:hAnsi="Cambria Math"/>
                  </w:rPr>
                  <m:t> </m:t>
                </m:r>
                <m:sSub>
                  <m:sSubPr>
                    <m:ctrlPr>
                      <w:rPr>
                        <w:rFonts w:ascii="Cambria Math" w:hAnsi="Cambria Math"/>
                      </w:rPr>
                    </m:ctrlPr>
                  </m:sSubPr>
                  <m:e>
                    <m:r>
                      <m:rPr>
                        <m:sty m:val="p"/>
                      </m:rPr>
                      <w:rPr>
                        <w:rFonts w:ascii="Cambria Math" w:hAnsi="Cambria Math"/>
                      </w:rPr>
                      <m:t>TOF</m:t>
                    </m:r>
                    <m:ctrlPr>
                      <w:rPr>
                        <w:rFonts w:ascii="Cambria Math" w:hAnsi="Cambria Math"/>
                      </w:rPr>
                    </m:ctrlPr>
                  </m:e>
                  <m:sub>
                    <m:r>
                      <m:rPr/>
                      <w:rPr>
                        <w:rFonts w:ascii="Cambria Math" w:hAnsi="Cambria Math"/>
                      </w:rPr>
                      <m:t>j</m:t>
                    </m:r>
                    <m:ctrlPr>
                      <w:rPr>
                        <w:rFonts w:ascii="Cambria Math" w:hAnsi="Cambria Math"/>
                      </w:rPr>
                    </m:ctrlPr>
                  </m:sub>
                </m:sSub>
              </m:oMath>
            </m:oMathPara>
          </w:p>
        </w:tc>
        <w:tc>
          <w:tcPr>
            <w:tcW w:w="968" w:type="pct"/>
            <w:tcBorders>
              <w:top w:val="nil"/>
              <w:left w:val="nil"/>
              <w:bottom w:val="nil"/>
              <w:right w:val="nil"/>
            </w:tcBorders>
            <w:vAlign w:val="center"/>
          </w:tcPr>
          <w:p w14:paraId="75B4C337">
            <w:pPr>
              <w:jc w:val="right"/>
            </w:pPr>
            <w:r>
              <w:t>(</w:t>
            </w:r>
            <w:r>
              <w:fldChar w:fldCharType="begin"/>
            </w:r>
            <w:r>
              <w:instrText xml:space="preserve"> STYLEREF 1 \s </w:instrText>
            </w:r>
            <w:r>
              <w:fldChar w:fldCharType="separate"/>
            </w:r>
            <w:r>
              <w:t>3</w:t>
            </w:r>
            <w:r>
              <w:fldChar w:fldCharType="end"/>
            </w:r>
            <w:r>
              <w:rPr>
                <w:rFonts w:hint="eastAsia"/>
              </w:rPr>
              <w:t>.</w:t>
            </w:r>
            <w:r>
              <w:rPr>
                <w:rFonts w:hint="eastAsia"/>
              </w:rPr>
              <w:fldChar w:fldCharType="begin"/>
            </w:r>
            <w:r>
              <w:rPr>
                <w:rFonts w:hint="eastAsia"/>
              </w:rPr>
              <w:instrText xml:space="preserve"> </w:instrText>
            </w:r>
            <w:r>
              <w:instrText xml:space="preserve">SEQ 公式 \* ARABIC \s 1</w:instrText>
            </w:r>
            <w:r>
              <w:rPr>
                <w:rFonts w:hint="eastAsia"/>
              </w:rPr>
              <w:instrText xml:space="preserve"> </w:instrText>
            </w:r>
            <w:r>
              <w:rPr>
                <w:rFonts w:hint="eastAsia"/>
              </w:rPr>
              <w:fldChar w:fldCharType="separate"/>
            </w:r>
            <w:r>
              <w:t>31</w:t>
            </w:r>
            <w:r>
              <w:rPr>
                <w:rFonts w:hint="eastAsia"/>
              </w:rPr>
              <w:fldChar w:fldCharType="end"/>
            </w:r>
            <w:r>
              <w:t>)</w:t>
            </w:r>
          </w:p>
        </w:tc>
      </w:tr>
    </w:tbl>
    <w:p w14:paraId="73AFEB95">
      <w:pPr>
        <w:ind w:firstLine="420"/>
      </w:pPr>
      <w:r>
        <w:t>同时，代码会检查计算得到的厚度是否为有限正值，并判断其是否位于设定的厚度上下界范围内。若厚度超出允许范围，则认为厚度标定结果无效并终止计算。得到h_fixed后，代码将计算域厚度Ly和探头所在的y坐标probe_y同步更新为该厚度</w:t>
      </w:r>
      <w:r>
        <w:rPr>
          <w:rFonts w:hint="eastAsia"/>
        </w:rPr>
        <w:t>。</w:t>
      </w:r>
      <w:r>
        <w:t>后续热学正问题和超声正问题都在修正后的真实厚度几何中进行计算。</w:t>
      </w:r>
      <w:r>
        <w:rPr>
          <w:vertAlign w:val="superscript"/>
        </w:rPr>
        <w:fldChar w:fldCharType="begin"/>
      </w:r>
      <w:r>
        <w:rPr>
          <w:vertAlign w:val="superscript"/>
        </w:rPr>
        <w:instrText xml:space="preserve"> REF _Ref235908036 \n \h  \* MERGEFORMAT </w:instrText>
      </w:r>
      <w:r>
        <w:rPr>
          <w:vertAlign w:val="superscript"/>
        </w:rPr>
        <w:fldChar w:fldCharType="separate"/>
      </w:r>
      <w:r>
        <w:rPr>
          <w:vertAlign w:val="superscript"/>
        </w:rPr>
        <w:t>[3]</w:t>
      </w:r>
      <w:r>
        <w:rPr>
          <w:vertAlign w:val="superscript"/>
        </w:rPr>
        <w:fldChar w:fldCharType="end"/>
      </w:r>
    </w:p>
    <w:p w14:paraId="3EED9F7A">
      <w:pPr>
        <w:pStyle w:val="6"/>
      </w:pPr>
      <w:r>
        <w:t>反演结果</w:t>
      </w:r>
    </w:p>
    <w:p w14:paraId="3D0BD7F9">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21</w:t>
      </w:r>
      <w:r>
        <w:fldChar w:fldCharType="end"/>
      </w:r>
      <w:r>
        <w:t>二维金属基复合材料精度误差表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2161"/>
        <w:gridCol w:w="4609"/>
      </w:tblGrid>
      <w:tr w14:paraId="4349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pct"/>
            <w:vAlign w:val="center"/>
          </w:tcPr>
          <w:p w14:paraId="0A693E55"/>
        </w:tc>
        <w:tc>
          <w:tcPr>
            <w:tcW w:w="1239" w:type="pct"/>
            <w:vAlign w:val="center"/>
          </w:tcPr>
          <w:p w14:paraId="0288F250">
            <w:r>
              <w:t>温度场反演</w:t>
            </w:r>
          </w:p>
        </w:tc>
        <w:tc>
          <w:tcPr>
            <w:tcW w:w="2643" w:type="pct"/>
            <w:vAlign w:val="center"/>
          </w:tcPr>
          <w:p w14:paraId="5AC499B6">
            <w:r>
              <w:t>温度场-厚度联合反演</w:t>
            </w:r>
          </w:p>
        </w:tc>
      </w:tr>
      <w:tr w14:paraId="2E283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pct"/>
            <w:vAlign w:val="center"/>
          </w:tcPr>
          <w:p w14:paraId="02394F6F">
            <w:r>
              <w:t>二维稳态单参数</w:t>
            </w:r>
          </w:p>
        </w:tc>
        <w:tc>
          <w:tcPr>
            <w:tcW w:w="1239" w:type="pct"/>
            <w:vAlign w:val="center"/>
          </w:tcPr>
          <w:p w14:paraId="6BA9165C">
            <w:r>
              <w:t>PSO+CG：4.85%</w:t>
            </w:r>
          </w:p>
          <w:p w14:paraId="50CBBABD">
            <w:r>
              <w:t>BO+FD：4.888%</w:t>
            </w:r>
          </w:p>
        </w:tc>
        <w:tc>
          <w:tcPr>
            <w:tcW w:w="2643" w:type="pct"/>
            <w:vAlign w:val="center"/>
          </w:tcPr>
          <w:p w14:paraId="32C7C40C">
            <w:r>
              <w:t>PSO+CG：温度：2.82%，厚度：0.575%</w:t>
            </w:r>
          </w:p>
          <w:p w14:paraId="34B8BC9A">
            <w:r>
              <w:t>BO+FD:温度：3.804%，厚度：0.575%</w:t>
            </w:r>
          </w:p>
        </w:tc>
      </w:tr>
      <w:tr w14:paraId="2BC2D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pct"/>
            <w:vAlign w:val="center"/>
          </w:tcPr>
          <w:p w14:paraId="5877231B">
            <w:r>
              <w:t>二维稳态多参数</w:t>
            </w:r>
          </w:p>
        </w:tc>
        <w:tc>
          <w:tcPr>
            <w:tcW w:w="1239" w:type="pct"/>
            <w:vAlign w:val="center"/>
          </w:tcPr>
          <w:p w14:paraId="6D8A9680">
            <w:r>
              <w:t>PSO+CG：3.981%</w:t>
            </w:r>
          </w:p>
          <w:p w14:paraId="78BCA894">
            <w:r>
              <w:t>BO+FD：4.438%</w:t>
            </w:r>
          </w:p>
        </w:tc>
        <w:tc>
          <w:tcPr>
            <w:tcW w:w="2643" w:type="pct"/>
            <w:vAlign w:val="center"/>
          </w:tcPr>
          <w:p w14:paraId="789C2E2C">
            <w:r>
              <w:t>PSO+CG：温度：3.133%，厚度：0.575%</w:t>
            </w:r>
          </w:p>
          <w:p w14:paraId="1AA44A4B">
            <w:r>
              <w:t>BO+FD:温度：3.841%，厚度：0.575%</w:t>
            </w:r>
          </w:p>
        </w:tc>
      </w:tr>
      <w:tr w14:paraId="44BD5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pct"/>
            <w:vAlign w:val="center"/>
          </w:tcPr>
          <w:p w14:paraId="6E14BE1D">
            <w:r>
              <w:t>二维瞬态单参数</w:t>
            </w:r>
          </w:p>
        </w:tc>
        <w:tc>
          <w:tcPr>
            <w:tcW w:w="1239" w:type="pct"/>
            <w:vAlign w:val="center"/>
          </w:tcPr>
          <w:p w14:paraId="2CCE61E3">
            <w:r>
              <w:t>PSO+CG：3.616%</w:t>
            </w:r>
          </w:p>
          <w:p w14:paraId="048E04FB">
            <w:r>
              <w:t>BO+FD：8.638%</w:t>
            </w:r>
          </w:p>
        </w:tc>
        <w:tc>
          <w:tcPr>
            <w:tcW w:w="2643" w:type="pct"/>
            <w:vAlign w:val="center"/>
          </w:tcPr>
          <w:p w14:paraId="5761B78C">
            <w:r>
              <w:t>PSO+CG：温度：2.053%，厚度：0.575%</w:t>
            </w:r>
          </w:p>
          <w:p w14:paraId="5ACB4FB2">
            <w:r>
              <w:t>BO+FD:温度：2.479%，厚度：0.575%</w:t>
            </w:r>
          </w:p>
        </w:tc>
      </w:tr>
      <w:tr w14:paraId="0EB5F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pct"/>
            <w:vAlign w:val="center"/>
          </w:tcPr>
          <w:p w14:paraId="2EDA476B">
            <w:r>
              <w:t>二维瞬态多参数</w:t>
            </w:r>
          </w:p>
        </w:tc>
        <w:tc>
          <w:tcPr>
            <w:tcW w:w="1239" w:type="pct"/>
            <w:vAlign w:val="center"/>
          </w:tcPr>
          <w:p w14:paraId="06F2A21A">
            <w:r>
              <w:t>PSO+CG：5.880%</w:t>
            </w:r>
          </w:p>
          <w:p w14:paraId="254164D6">
            <w:r>
              <w:t>BO+FD：2.627%</w:t>
            </w:r>
          </w:p>
        </w:tc>
        <w:tc>
          <w:tcPr>
            <w:tcW w:w="2643" w:type="pct"/>
            <w:vAlign w:val="center"/>
          </w:tcPr>
          <w:p w14:paraId="58C631B8">
            <w:r>
              <w:t>PSO+CG：温度：4.045%，厚度：0.575%</w:t>
            </w:r>
          </w:p>
          <w:p w14:paraId="466E40BA">
            <w:r>
              <w:t>BO+FD:温度：3.333%，厚度：0.575%</w:t>
            </w:r>
          </w:p>
        </w:tc>
      </w:tr>
    </w:tbl>
    <w:p w14:paraId="6A9A4DFE">
      <w:pPr>
        <w:pStyle w:val="33"/>
      </w:pPr>
    </w:p>
    <w:p w14:paraId="1EFAA24D">
      <w:pPr>
        <w:pStyle w:val="33"/>
      </w:pPr>
    </w:p>
    <w:p w14:paraId="7561EBFF">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22</w:t>
      </w:r>
      <w:r>
        <w:fldChar w:fldCharType="end"/>
      </w:r>
      <w:r>
        <w:t>一维金属基复合材料精度误差表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0"/>
        <w:gridCol w:w="2318"/>
        <w:gridCol w:w="4552"/>
      </w:tblGrid>
      <w:tr w14:paraId="158B3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vAlign w:val="center"/>
          </w:tcPr>
          <w:p w14:paraId="48A78714">
            <w:pPr>
              <w:rPr>
                <w:lang w:val="zh-CN"/>
              </w:rPr>
            </w:pPr>
          </w:p>
        </w:tc>
        <w:tc>
          <w:tcPr>
            <w:tcW w:w="1329" w:type="pct"/>
            <w:vAlign w:val="center"/>
          </w:tcPr>
          <w:p w14:paraId="5DF5E467">
            <w:pPr>
              <w:rPr>
                <w:lang w:val="zh-CN"/>
              </w:rPr>
            </w:pPr>
            <w:r>
              <w:rPr>
                <w:lang w:val="zh-CN"/>
              </w:rPr>
              <w:t>温度场反演</w:t>
            </w:r>
          </w:p>
        </w:tc>
        <w:tc>
          <w:tcPr>
            <w:tcW w:w="2610" w:type="pct"/>
            <w:vAlign w:val="center"/>
          </w:tcPr>
          <w:p w14:paraId="3D4830F7">
            <w:pPr>
              <w:rPr>
                <w:lang w:val="zh-CN"/>
              </w:rPr>
            </w:pPr>
            <w:r>
              <w:rPr>
                <w:lang w:val="zh-CN"/>
              </w:rPr>
              <w:t>温度场-厚度联合反演</w:t>
            </w:r>
          </w:p>
        </w:tc>
      </w:tr>
      <w:tr w14:paraId="4E8C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vAlign w:val="center"/>
          </w:tcPr>
          <w:p w14:paraId="19A208F1">
            <w:pPr>
              <w:rPr>
                <w:lang w:val="zh-CN"/>
              </w:rPr>
            </w:pPr>
            <w:r>
              <w:rPr>
                <w:lang w:val="zh-CN"/>
              </w:rPr>
              <w:t>一维稳态单参数</w:t>
            </w:r>
          </w:p>
        </w:tc>
        <w:tc>
          <w:tcPr>
            <w:tcW w:w="1329" w:type="pct"/>
            <w:vAlign w:val="center"/>
          </w:tcPr>
          <w:p w14:paraId="783DC337">
            <w:r>
              <w:t>PSO+CG：3.917%</w:t>
            </w:r>
          </w:p>
          <w:p w14:paraId="747701A0">
            <w:r>
              <w:t>BO+FD：3.882%</w:t>
            </w:r>
          </w:p>
        </w:tc>
        <w:tc>
          <w:tcPr>
            <w:tcW w:w="2610" w:type="pct"/>
            <w:vAlign w:val="center"/>
          </w:tcPr>
          <w:p w14:paraId="14863FA7">
            <w:r>
              <w:t>PSO+CG：温度：3.563%，厚度：0.575%</w:t>
            </w:r>
          </w:p>
          <w:p w14:paraId="7D44AC20">
            <w:r>
              <w:t>BO+FD：温度：0.055%，厚度：0.575%</w:t>
            </w:r>
          </w:p>
        </w:tc>
      </w:tr>
      <w:tr w14:paraId="0833B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vAlign w:val="center"/>
          </w:tcPr>
          <w:p w14:paraId="7755FA34">
            <w:pPr>
              <w:rPr>
                <w:lang w:val="zh-CN"/>
              </w:rPr>
            </w:pPr>
            <w:r>
              <w:rPr>
                <w:lang w:val="zh-CN"/>
              </w:rPr>
              <w:t>一维稳态多参数</w:t>
            </w:r>
          </w:p>
        </w:tc>
        <w:tc>
          <w:tcPr>
            <w:tcW w:w="1329" w:type="pct"/>
            <w:vAlign w:val="center"/>
          </w:tcPr>
          <w:p w14:paraId="386C9D9E">
            <w:r>
              <w:t>PSO+CG：4.028%</w:t>
            </w:r>
          </w:p>
          <w:p w14:paraId="39E792A3">
            <w:r>
              <w:t>BO+FD：4.069%</w:t>
            </w:r>
          </w:p>
        </w:tc>
        <w:tc>
          <w:tcPr>
            <w:tcW w:w="2610" w:type="pct"/>
            <w:vAlign w:val="center"/>
          </w:tcPr>
          <w:p w14:paraId="03F141B3">
            <w:r>
              <w:t>PSO+CG：温度：2.763%，厚度：0.575%</w:t>
            </w:r>
          </w:p>
          <w:p w14:paraId="59721245">
            <w:r>
              <w:t>BO+FD:温度：0.014%，厚度：0.575%</w:t>
            </w:r>
          </w:p>
        </w:tc>
      </w:tr>
      <w:tr w14:paraId="62AC8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vAlign w:val="center"/>
          </w:tcPr>
          <w:p w14:paraId="43A4874E">
            <w:pPr>
              <w:rPr>
                <w:lang w:val="zh-CN"/>
              </w:rPr>
            </w:pPr>
            <w:r>
              <w:rPr>
                <w:lang w:val="zh-CN"/>
              </w:rPr>
              <w:t>一维瞬态单参数</w:t>
            </w:r>
          </w:p>
        </w:tc>
        <w:tc>
          <w:tcPr>
            <w:tcW w:w="1329" w:type="pct"/>
            <w:vAlign w:val="center"/>
          </w:tcPr>
          <w:p w14:paraId="19E7A67C">
            <w:r>
              <w:t>PSO+CG：1.748%</w:t>
            </w:r>
          </w:p>
          <w:p w14:paraId="66EAB325">
            <w:r>
              <w:t>BO+FD：5.294%</w:t>
            </w:r>
          </w:p>
        </w:tc>
        <w:tc>
          <w:tcPr>
            <w:tcW w:w="2610" w:type="pct"/>
            <w:vAlign w:val="center"/>
          </w:tcPr>
          <w:p w14:paraId="54E772F3">
            <w:r>
              <w:t>PSO+CG：温度：1.720%，厚度：0.575%</w:t>
            </w:r>
          </w:p>
          <w:p w14:paraId="4E31AC51">
            <w:r>
              <w:t>BO+FD:温度：2.110 %，厚度：0.575%</w:t>
            </w:r>
          </w:p>
        </w:tc>
      </w:tr>
      <w:tr w14:paraId="6C4C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vAlign w:val="center"/>
          </w:tcPr>
          <w:p w14:paraId="102A7B0E">
            <w:pPr>
              <w:rPr>
                <w:lang w:val="zh-CN"/>
              </w:rPr>
            </w:pPr>
            <w:r>
              <w:rPr>
                <w:lang w:val="zh-CN"/>
              </w:rPr>
              <w:t>一维瞬态多参数</w:t>
            </w:r>
          </w:p>
        </w:tc>
        <w:tc>
          <w:tcPr>
            <w:tcW w:w="1329" w:type="pct"/>
            <w:vAlign w:val="center"/>
          </w:tcPr>
          <w:p w14:paraId="48BF8D52">
            <w:r>
              <w:t>PSO+CG：2.882%</w:t>
            </w:r>
          </w:p>
          <w:p w14:paraId="779D5655">
            <w:r>
              <w:t>BO+FD：3.510%</w:t>
            </w:r>
          </w:p>
        </w:tc>
        <w:tc>
          <w:tcPr>
            <w:tcW w:w="2610" w:type="pct"/>
            <w:vAlign w:val="center"/>
          </w:tcPr>
          <w:p w14:paraId="6A05E905">
            <w:r>
              <w:t>PSO+CG：温度：8.417%，厚度：0.575%</w:t>
            </w:r>
          </w:p>
          <w:p w14:paraId="7FC9659D">
            <w:r>
              <w:t>BO+FD:温度：11.648%，厚度：0.575%</w:t>
            </w:r>
          </w:p>
        </w:tc>
      </w:tr>
    </w:tbl>
    <w:p w14:paraId="4477DE13">
      <w:pPr>
        <w:pStyle w:val="33"/>
      </w:pPr>
      <w:r>
        <w:drawing>
          <wp:inline distT="0" distB="0" distL="114300" distR="114300">
            <wp:extent cx="5274310" cy="3918585"/>
            <wp:effectExtent l="0" t="0" r="2540" b="5715"/>
            <wp:docPr id="1567847785" name="Picture 9" descr="包含参考与反演温度场、弯曲路径、TOF拟合、热流历史、目标函数和五点误差。" title="图 3-9  金属基复合材料二维瞬态多参数—厚度联合反演报告（MMC代码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47785" name="Picture 9" descr="包含参考与反演温度场、弯曲路径、TOF拟合、热流历史、目标函数和五点误差。" title="图 3-9  金属基复合材料二维瞬态多参数—厚度联合反演报告（MMC代码输出）"/>
                    <pic:cNvPicPr>
                      <a:picLocks noChangeAspect="1"/>
                    </pic:cNvPicPr>
                  </pic:nvPicPr>
                  <pic:blipFill>
                    <a:blip r:embed="rId54"/>
                    <a:stretch>
                      <a:fillRect/>
                    </a:stretch>
                  </pic:blipFill>
                  <pic:spPr>
                    <a:xfrm>
                      <a:off x="0" y="0"/>
                      <a:ext cx="5274310" cy="3918968"/>
                    </a:xfrm>
                    <a:prstGeom prst="rect">
                      <a:avLst/>
                    </a:prstGeom>
                  </pic:spPr>
                </pic:pic>
              </a:graphicData>
            </a:graphic>
          </wp:inline>
        </w:drawing>
      </w:r>
    </w:p>
    <w:p w14:paraId="458F5E23">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41</w:t>
      </w:r>
      <w:r>
        <w:fldChar w:fldCharType="end"/>
      </w:r>
      <w:r>
        <w:t>金属基复合材料二维瞬态多参数—厚度联合反演</w:t>
      </w:r>
      <w:r>
        <w:rPr>
          <w:rFonts w:hint="eastAsia"/>
        </w:rPr>
        <w:t>代表性</w:t>
      </w:r>
      <w:r>
        <w:t>报告</w:t>
      </w:r>
    </w:p>
    <w:p w14:paraId="281B3963">
      <w:pPr>
        <w:pStyle w:val="5"/>
      </w:pPr>
      <w:bookmarkStart w:id="83" w:name="_Ref235899697"/>
      <w:bookmarkStart w:id="84" w:name="_Toc235910461"/>
      <w:r>
        <w:t>硅基复合材料反演研究</w:t>
      </w:r>
      <w:bookmarkEnd w:id="83"/>
      <w:bookmarkEnd w:id="84"/>
    </w:p>
    <w:p w14:paraId="3775482F">
      <w:pPr>
        <w:pStyle w:val="6"/>
      </w:pPr>
      <w:r>
        <w:rPr>
          <w:rFonts w:hint="eastAsia"/>
        </w:rPr>
        <w:t>硅基</w:t>
      </w:r>
      <w:r>
        <w:t>材料和模型设置</w:t>
      </w:r>
    </w:p>
    <w:p w14:paraId="295EF5E9">
      <w:pPr>
        <w:ind w:firstLine="420"/>
      </w:pPr>
      <w:r>
        <w:rPr>
          <w:rFonts w:hint="eastAsia"/>
        </w:rPr>
        <w:t>硅基材料在热学部分区分</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xx</m:t>
            </m:r>
            <m:ctrlPr>
              <w:rPr>
                <w:rFonts w:ascii="Cambria Math" w:hAnsi="Cambria Math"/>
              </w:rPr>
            </m:ctrlPr>
          </m:sub>
        </m:sSub>
      </m:oMath>
      <w:r>
        <w:rPr>
          <w:rFonts w:hint="eastAsia"/>
        </w:rPr>
        <w:t>与</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yy</m:t>
            </m:r>
            <m:ctrlPr>
              <w:rPr>
                <w:rFonts w:ascii="Cambria Math" w:hAnsi="Cambria Math"/>
              </w:rPr>
            </m:ctrlPr>
          </m:sub>
        </m:sSub>
      </m:oMath>
      <w:r>
        <w:rPr>
          <w:rFonts w:hint="eastAsia"/>
        </w:rPr>
        <w:t>，在声学部分区分厚度方向纵波与横波。纵波速度由</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yy</m:t>
            </m:r>
            <m:ctrlPr>
              <w:rPr>
                <w:rFonts w:ascii="Cambria Math" w:hAnsi="Cambria Math"/>
              </w:rPr>
            </m:ctrlPr>
          </m:sub>
        </m:sSub>
      </m:oMath>
      <w:r>
        <w:rPr>
          <w:rFonts w:hint="eastAsia"/>
        </w:rPr>
        <w:t>构造的</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22</m:t>
            </m:r>
            <m:ctrlPr>
              <w:rPr>
                <w:rFonts w:ascii="Cambria Math" w:hAnsi="Cambria Math"/>
              </w:rPr>
            </m:ctrlPr>
          </m:sub>
        </m:sSub>
      </m:oMath>
      <w:r>
        <w:rPr>
          <w:rFonts w:hint="eastAsia"/>
        </w:rPr>
        <w:t>与密度计算，横波速度由</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xy</m:t>
            </m:r>
            <m:ctrlPr>
              <w:rPr>
                <w:rFonts w:ascii="Cambria Math" w:hAnsi="Cambria Math"/>
              </w:rPr>
            </m:ctrlPr>
          </m:sub>
        </m:sSub>
      </m:oMath>
      <w:r>
        <w:rPr>
          <w:rFonts w:hint="eastAsia"/>
        </w:rPr>
        <w:t>与密度计算，厚度方向纵波速度实际使用</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yy</m:t>
            </m:r>
            <m:ctrlPr>
              <w:rPr>
                <w:rFonts w:ascii="Cambria Math" w:hAnsi="Cambria Math"/>
              </w:rPr>
            </m:ctrlPr>
          </m:sub>
        </m:sSub>
      </m:oMath>
      <w:r>
        <w:rPr>
          <w:rFonts w:hint="eastAsia"/>
        </w:rPr>
        <w:t>形成的</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22</m:t>
            </m:r>
            <m:ctrlPr>
              <w:rPr>
                <w:rFonts w:ascii="Cambria Math" w:hAnsi="Cambria Math"/>
              </w:rPr>
            </m:ctrlPr>
          </m:sub>
        </m:sSub>
      </m:oMath>
      <w:r>
        <w:rPr>
          <w:rFonts w:hint="eastAsia"/>
        </w:rPr>
        <w:t>。</w:t>
      </w:r>
      <w:r>
        <w:t>硅基/碳基复合材料的尺寸为50mm×10mm。</w:t>
      </w:r>
    </w:p>
    <w:p w14:paraId="3B0CC662">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23</w:t>
      </w:r>
      <w:r>
        <w:fldChar w:fldCharType="end"/>
      </w:r>
      <w:r>
        <w:rPr>
          <w:rFonts w:hint="eastAsia"/>
        </w:rPr>
        <w:t>硅基</w:t>
      </w:r>
      <w:r>
        <w:t>复合材料代表性温度相关物性</w:t>
      </w:r>
    </w:p>
    <w:tbl>
      <w:tblPr>
        <w:tblStyle w:val="5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7"/>
        <w:gridCol w:w="4252"/>
        <w:gridCol w:w="1732"/>
      </w:tblGrid>
      <w:tr w14:paraId="56436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7423762A">
            <w:pPr>
              <w:pStyle w:val="33"/>
              <w:rPr>
                <w:lang w:eastAsia="en-US"/>
              </w:rPr>
            </w:pPr>
            <w:r>
              <w:rPr>
                <w:lang w:eastAsia="en-US"/>
              </w:rPr>
              <w:t>物性参数</w:t>
            </w:r>
          </w:p>
        </w:tc>
        <w:tc>
          <w:tcPr>
            <w:tcW w:w="2454"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0F791DED">
            <w:pPr>
              <w:pStyle w:val="33"/>
              <w:rPr>
                <w:lang w:eastAsia="en-US"/>
              </w:rPr>
            </w:pPr>
            <w:r>
              <w:rPr>
                <w:lang w:eastAsia="en-US"/>
              </w:rPr>
              <w:t>金属基复合材料</w:t>
            </w:r>
          </w:p>
        </w:tc>
        <w:tc>
          <w:tcPr>
            <w:tcW w:w="999"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347DB988">
            <w:pPr>
              <w:pStyle w:val="33"/>
              <w:rPr>
                <w:lang w:eastAsia="en-US"/>
              </w:rPr>
            </w:pPr>
            <w:r>
              <w:rPr>
                <w:lang w:eastAsia="en-US"/>
              </w:rPr>
              <w:t>单位</w:t>
            </w:r>
          </w:p>
        </w:tc>
      </w:tr>
      <w:tr w14:paraId="70965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728F6591">
            <w:pPr>
              <w:pStyle w:val="33"/>
              <w:rPr>
                <w:lang w:eastAsia="en-US"/>
              </w:rPr>
            </w:pPr>
            <w:r>
              <w:rPr>
                <w:lang w:eastAsia="en-US"/>
              </w:rPr>
              <w:t>x方向导热系数</w:t>
            </w:r>
          </w:p>
        </w:tc>
        <w:tc>
          <w:tcPr>
            <w:tcW w:w="2454"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0238636A">
            <w:pPr>
              <w:pStyle w:val="33"/>
              <w:rPr>
                <w:lang w:eastAsia="en-US"/>
              </w:rPr>
            </w:pPr>
            <w:r>
              <w:rPr>
                <w:lang w:eastAsia="en-US"/>
              </w:rPr>
              <w:t>k(T)=8.25+0.0125T</w:t>
            </w:r>
          </w:p>
        </w:tc>
        <w:tc>
          <w:tcPr>
            <w:tcW w:w="999"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484A972C">
            <w:pPr>
              <w:pStyle w:val="33"/>
              <w:rPr>
                <w:lang w:eastAsia="en-US"/>
              </w:rPr>
            </w:pPr>
            <w:r>
              <w:rPr>
                <w:lang w:eastAsia="en-US"/>
              </w:rPr>
              <w:t>W/(m·K)</w:t>
            </w:r>
          </w:p>
        </w:tc>
      </w:tr>
      <w:tr w14:paraId="4409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3DFA2DE">
            <w:pPr>
              <w:pStyle w:val="33"/>
              <w:rPr>
                <w:lang w:eastAsia="en-US"/>
              </w:rPr>
            </w:pPr>
            <w:r>
              <w:rPr>
                <w:lang w:eastAsia="en-US"/>
              </w:rPr>
              <w:t>y方向导热系数</w:t>
            </w:r>
          </w:p>
        </w:tc>
        <w:tc>
          <w:tcPr>
            <w:tcW w:w="2454"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4577F065">
            <w:pPr>
              <w:pStyle w:val="33"/>
              <w:rPr>
                <w:lang w:eastAsia="en-US"/>
              </w:rPr>
            </w:pPr>
            <w:r>
              <w:rPr>
                <w:lang w:eastAsia="en-US"/>
              </w:rPr>
              <w:t>k(T)=8.25+0.0125T</w:t>
            </w:r>
          </w:p>
        </w:tc>
        <w:tc>
          <w:tcPr>
            <w:tcW w:w="999"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254E330D">
            <w:pPr>
              <w:pStyle w:val="33"/>
              <w:rPr>
                <w:lang w:eastAsia="en-US"/>
              </w:rPr>
            </w:pPr>
            <w:r>
              <w:rPr>
                <w:lang w:eastAsia="en-US"/>
              </w:rPr>
              <w:t>W/(m·K)</w:t>
            </w:r>
          </w:p>
        </w:tc>
      </w:tr>
      <w:tr w14:paraId="369F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327BE825">
            <w:pPr>
              <w:pStyle w:val="33"/>
              <w:rPr>
                <w:lang w:eastAsia="en-US"/>
              </w:rPr>
            </w:pPr>
            <w:r>
              <w:rPr>
                <w:lang w:eastAsia="en-US"/>
              </w:rPr>
              <w:t>密度</w:t>
            </w:r>
          </w:p>
        </w:tc>
        <w:tc>
          <w:tcPr>
            <w:tcW w:w="2454"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6859BE5">
            <w:pPr>
              <w:pStyle w:val="33"/>
              <w:rPr>
                <w:lang w:eastAsia="en-US"/>
              </w:rPr>
            </w:pPr>
            <w:r>
              <w:rPr>
                <w:lang w:eastAsia="en-US"/>
              </w:rPr>
              <w:t>ρ(T)=9005−0.35T</w:t>
            </w:r>
          </w:p>
        </w:tc>
        <w:tc>
          <w:tcPr>
            <w:tcW w:w="999"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EBA92D5">
            <w:pPr>
              <w:pStyle w:val="33"/>
              <w:rPr>
                <w:lang w:eastAsia="en-US"/>
              </w:rPr>
            </w:pPr>
            <w:r>
              <w:rPr>
                <w:lang w:eastAsia="en-US"/>
              </w:rPr>
              <w:t>kg/m³</w:t>
            </w:r>
          </w:p>
        </w:tc>
      </w:tr>
      <w:tr w14:paraId="1745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2B592EF7">
            <w:pPr>
              <w:pStyle w:val="33"/>
              <w:rPr>
                <w:lang w:eastAsia="en-US"/>
              </w:rPr>
            </w:pPr>
            <w:r>
              <w:rPr>
                <w:lang w:eastAsia="en-US"/>
              </w:rPr>
              <w:t>定压比热容</w:t>
            </w:r>
          </w:p>
        </w:tc>
        <w:tc>
          <w:tcPr>
            <w:tcW w:w="2454"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176B90E0">
            <w:pPr>
              <w:pStyle w:val="33"/>
              <w:rPr>
                <w:lang w:eastAsia="en-US"/>
              </w:rPr>
            </w:pPr>
            <w:r>
              <w:rPr>
                <w:lang w:eastAsia="en-US"/>
              </w:rPr>
              <w:t>cp(T)=382.5+0.158333T</w:t>
            </w:r>
          </w:p>
        </w:tc>
        <w:tc>
          <w:tcPr>
            <w:tcW w:w="999"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14A19E5F">
            <w:pPr>
              <w:pStyle w:val="33"/>
              <w:rPr>
                <w:lang w:eastAsia="en-US"/>
              </w:rPr>
            </w:pPr>
            <w:r>
              <w:rPr>
                <w:lang w:eastAsia="en-US"/>
              </w:rPr>
              <w:t>J/(kg·K)</w:t>
            </w:r>
          </w:p>
        </w:tc>
      </w:tr>
      <w:tr w14:paraId="112A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92BE627">
            <w:pPr>
              <w:pStyle w:val="33"/>
              <w:rPr>
                <w:lang w:eastAsia="en-US"/>
              </w:rPr>
            </w:pPr>
            <w:r>
              <w:rPr>
                <w:lang w:eastAsia="en-US"/>
              </w:rPr>
              <w:t>x方向杨氏模量</w:t>
            </w:r>
          </w:p>
        </w:tc>
        <w:tc>
          <w:tcPr>
            <w:tcW w:w="2454"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04293D9D">
            <w:pPr>
              <w:pStyle w:val="33"/>
              <w:rPr>
                <w:lang w:eastAsia="en-US"/>
              </w:rPr>
            </w:pPr>
            <w:r>
              <w:rPr>
                <w:lang w:eastAsia="en-US"/>
              </w:rPr>
              <w:t>E(T)=225.5×10⁹−68.333×10⁶T</w:t>
            </w:r>
          </w:p>
        </w:tc>
        <w:tc>
          <w:tcPr>
            <w:tcW w:w="999"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3D2D628A">
            <w:pPr>
              <w:pStyle w:val="33"/>
              <w:rPr>
                <w:lang w:eastAsia="en-US"/>
              </w:rPr>
            </w:pPr>
            <w:r>
              <w:rPr>
                <w:lang w:eastAsia="en-US"/>
              </w:rPr>
              <w:t>Pa</w:t>
            </w:r>
          </w:p>
        </w:tc>
      </w:tr>
      <w:tr w14:paraId="0E4DE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15190527">
            <w:pPr>
              <w:pStyle w:val="33"/>
              <w:rPr>
                <w:lang w:eastAsia="en-US"/>
              </w:rPr>
            </w:pPr>
            <w:r>
              <w:rPr>
                <w:lang w:eastAsia="en-US"/>
              </w:rPr>
              <w:t>y方向杨氏模量</w:t>
            </w:r>
          </w:p>
        </w:tc>
        <w:tc>
          <w:tcPr>
            <w:tcW w:w="2454"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7BE77285">
            <w:pPr>
              <w:pStyle w:val="33"/>
              <w:rPr>
                <w:lang w:eastAsia="en-US"/>
              </w:rPr>
            </w:pPr>
            <w:r>
              <w:rPr>
                <w:lang w:eastAsia="en-US"/>
              </w:rPr>
              <w:t>E(T)=225.5×10⁹−68.333×10⁶T</w:t>
            </w:r>
          </w:p>
        </w:tc>
        <w:tc>
          <w:tcPr>
            <w:tcW w:w="999"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792151D9">
            <w:pPr>
              <w:pStyle w:val="33"/>
              <w:rPr>
                <w:lang w:eastAsia="en-US"/>
              </w:rPr>
            </w:pPr>
            <w:r>
              <w:rPr>
                <w:lang w:eastAsia="en-US"/>
              </w:rPr>
              <w:t>Pa</w:t>
            </w:r>
          </w:p>
        </w:tc>
      </w:tr>
      <w:tr w14:paraId="52A35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D232DD8">
            <w:pPr>
              <w:pStyle w:val="33"/>
              <w:rPr>
                <w:lang w:eastAsia="en-US"/>
              </w:rPr>
            </w:pPr>
            <w:r>
              <w:rPr>
                <w:lang w:eastAsia="en-US"/>
              </w:rPr>
              <w:t>面内剪切模量</w:t>
            </w:r>
          </w:p>
        </w:tc>
        <w:tc>
          <w:tcPr>
            <w:tcW w:w="2454"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29A2AFCE">
            <w:pPr>
              <w:pStyle w:val="33"/>
              <w:rPr>
                <w:lang w:eastAsia="en-US"/>
              </w:rPr>
            </w:pPr>
            <w:r>
              <w:rPr>
                <w:lang w:eastAsia="en-US"/>
              </w:rPr>
              <w:t>-</w:t>
            </w:r>
          </w:p>
        </w:tc>
        <w:tc>
          <w:tcPr>
            <w:tcW w:w="999"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613F40BC">
            <w:pPr>
              <w:pStyle w:val="33"/>
              <w:rPr>
                <w:lang w:eastAsia="en-US"/>
              </w:rPr>
            </w:pPr>
            <w:r>
              <w:rPr>
                <w:lang w:eastAsia="en-US"/>
              </w:rPr>
              <w:t>Pa</w:t>
            </w:r>
          </w:p>
        </w:tc>
      </w:tr>
      <w:tr w14:paraId="72CBE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E504CAB">
            <w:pPr>
              <w:pStyle w:val="33"/>
              <w:rPr>
                <w:lang w:eastAsia="en-US"/>
              </w:rPr>
            </w:pPr>
            <w:r>
              <w:rPr>
                <w:lang w:eastAsia="en-US"/>
              </w:rPr>
              <w:t>泊松比</w:t>
            </w:r>
          </w:p>
        </w:tc>
        <w:tc>
          <w:tcPr>
            <w:tcW w:w="2454"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499A2060">
            <w:pPr>
              <w:pStyle w:val="33"/>
              <w:rPr>
                <w:lang w:eastAsia="en-US"/>
              </w:rPr>
            </w:pPr>
            <w:r>
              <w:rPr>
                <w:lang w:eastAsia="en-US"/>
              </w:rPr>
              <w:t>ν=0.30</w:t>
            </w:r>
          </w:p>
        </w:tc>
        <w:tc>
          <w:tcPr>
            <w:tcW w:w="999" w:type="pct"/>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38D8DE10">
            <w:pPr>
              <w:pStyle w:val="33"/>
              <w:rPr>
                <w:lang w:eastAsia="en-US"/>
              </w:rPr>
            </w:pPr>
            <w:r>
              <w:rPr>
                <w:lang w:eastAsia="en-US"/>
              </w:rPr>
              <w:t>1</w:t>
            </w:r>
          </w:p>
        </w:tc>
      </w:tr>
    </w:tbl>
    <w:p w14:paraId="13896598">
      <w:pPr>
        <w:ind w:firstLine="420"/>
      </w:pPr>
      <w:r>
        <w:t>在热声固耦合分析模块仿真平台输入硅基复合材料的物性参数，包括密度、导热系数、定压比热、弹性模量及泊松比。材料设置为各向异性。然后进行划分网格，网格大小为0.2 mm。设置热学环境参数，包括热对流系数为、环境温度为300 K以及底部热流。设置左边、右边以及顶部对流获得二维温度场。设置完成后进行稳态及瞬态仿真，瞬态仿真共20 s，步长为0.4 s。在超声波仿真部分，导入热学求解得到的温度场文件，二维工况下在顶部除了两边边界均匀设置4个超声波发射点；一维工况下在顶部设置1个超声波发射点，仿真时长共，得到四个位置的回波波形。</w:t>
      </w:r>
    </w:p>
    <w:p w14:paraId="190B26E7">
      <w:pPr>
        <w:ind w:firstLine="420"/>
      </w:pPr>
      <w:r>
        <w:t>对回波波形取包络，并提取第一次回波的峰值时间，该时间减去发射波峰值时间得到超声波传播时间横波以及纵波TOF。再用该回波的峰值比发射波峰值得到相对衰减，然后将提取到的声学参数写进CSV文件里用于后续反演。</w:t>
      </w:r>
    </w:p>
    <w:p w14:paraId="5BE0259D">
      <w:pPr>
        <w:pStyle w:val="6"/>
      </w:pPr>
      <w:r>
        <w:t>纵波、横波声时及多参数融合</w:t>
      </w:r>
    </w:p>
    <w:p w14:paraId="410FCCA1">
      <w:pPr>
        <w:ind w:firstLine="420"/>
      </w:pPr>
      <w:r>
        <w:t>在硅基/碳基复合材料中，单参数反演使用纵波和横波TOF，目标函数为：</w:t>
      </w:r>
    </w:p>
    <w:p w14:paraId="162A191A">
      <w:pPr>
        <w:rPr>
          <w:lang w:val="zh-CN"/>
        </w:rPr>
      </w:pPr>
      <m:oMathPara>
        <m:oMath>
          <m:r>
            <m:rPr/>
            <w:rPr>
              <w:rFonts w:ascii="Cambria Math" w:hAnsi="Cambria Math"/>
              <w:lang w:val="zh-CN"/>
            </w:rPr>
            <m:t>J=</m:t>
          </m:r>
          <m:sSub>
            <m:sSubPr>
              <m:ctrlPr>
                <w:rPr>
                  <w:rFonts w:ascii="Cambria Math" w:hAnsi="Cambria Math"/>
                  <w:i/>
                  <w:lang w:val="zh-CN"/>
                </w:rPr>
              </m:ctrlPr>
            </m:sSubPr>
            <m:e>
              <m:r>
                <m:rPr/>
                <w:rPr>
                  <w:rFonts w:ascii="Cambria Math" w:hAnsi="Cambria Math"/>
                  <w:lang w:val="zh-CN"/>
                </w:rPr>
                <m:t>J</m:t>
              </m:r>
              <m:ctrlPr>
                <w:rPr>
                  <w:rFonts w:ascii="Cambria Math" w:hAnsi="Cambria Math"/>
                  <w:i/>
                  <w:lang w:val="zh-CN"/>
                </w:rPr>
              </m:ctrlPr>
            </m:e>
            <m:sub>
              <m:r>
                <m:rPr/>
                <w:rPr>
                  <w:rFonts w:ascii="Cambria Math" w:hAnsi="Cambria Math"/>
                  <w:lang w:val="zh-CN"/>
                </w:rPr>
                <m:t>LTOF</m:t>
              </m:r>
              <m:ctrlPr>
                <w:rPr>
                  <w:rFonts w:ascii="Cambria Math" w:hAnsi="Cambria Math"/>
                  <w:i/>
                  <w:lang w:val="zh-CN"/>
                </w:rPr>
              </m:ctrlPr>
            </m:sub>
          </m:sSub>
          <m:r>
            <m:rPr/>
            <w:rPr>
              <w:rFonts w:ascii="Cambria Math" w:hAnsi="Cambria Math"/>
              <w:lang w:val="zh-CN"/>
            </w:rPr>
            <m:t>+</m:t>
          </m:r>
          <m:sSub>
            <m:sSubPr>
              <m:ctrlPr>
                <w:rPr>
                  <w:rFonts w:ascii="Cambria Math" w:hAnsi="Cambria Math"/>
                  <w:i/>
                  <w:lang w:val="zh-CN"/>
                </w:rPr>
              </m:ctrlPr>
            </m:sSubPr>
            <m:e>
              <m:r>
                <m:rPr/>
                <w:rPr>
                  <w:rFonts w:ascii="Cambria Math" w:hAnsi="Cambria Math"/>
                  <w:lang w:val="zh-CN"/>
                </w:rPr>
                <m:t>J</m:t>
              </m:r>
              <m:ctrlPr>
                <w:rPr>
                  <w:rFonts w:ascii="Cambria Math" w:hAnsi="Cambria Math"/>
                  <w:i/>
                  <w:lang w:val="zh-CN"/>
                </w:rPr>
              </m:ctrlPr>
            </m:e>
            <m:sub>
              <m:r>
                <m:rPr/>
                <w:rPr>
                  <w:rFonts w:ascii="Cambria Math" w:hAnsi="Cambria Math"/>
                  <w:lang w:val="zh-CN"/>
                </w:rPr>
                <m:t>STOF</m:t>
              </m:r>
              <m:ctrlPr>
                <w:rPr>
                  <w:rFonts w:ascii="Cambria Math" w:hAnsi="Cambria Math"/>
                  <w:i/>
                  <w:lang w:val="zh-CN"/>
                </w:rPr>
              </m:ctrlPr>
            </m:sub>
          </m:sSub>
          <m:r>
            <m:rPr/>
            <w:rPr>
              <w:rFonts w:ascii="Cambria Math" w:hAnsi="Cambria Math"/>
              <w:lang w:val="zh-CN"/>
            </w:rPr>
            <m:t>+R</m:t>
          </m:r>
        </m:oMath>
      </m:oMathPara>
    </w:p>
    <w:p w14:paraId="6811C166">
      <w:pPr>
        <w:ind w:firstLine="420"/>
      </w:pPr>
      <w:r>
        <w:t>多参数反演使用纵波TOF及幅值相对衰减A1/A0，目标函数为：</w:t>
      </w:r>
    </w:p>
    <w:p w14:paraId="0C3566C9">
      <w:pPr>
        <w:rPr>
          <w:lang w:val="zh-CN"/>
        </w:rPr>
      </w:pPr>
      <m:oMathPara>
        <m:oMath>
          <m:r>
            <m:rPr/>
            <w:rPr>
              <w:rFonts w:ascii="Cambria Math" w:hAnsi="Cambria Math"/>
              <w:lang w:val="zh-CN"/>
            </w:rPr>
            <m:t>J=</m:t>
          </m:r>
          <m:sSub>
            <m:sSubPr>
              <m:ctrlPr>
                <w:rPr>
                  <w:rFonts w:ascii="Cambria Math" w:hAnsi="Cambria Math"/>
                  <w:i/>
                  <w:lang w:val="zh-CN"/>
                </w:rPr>
              </m:ctrlPr>
            </m:sSubPr>
            <m:e>
              <m:r>
                <m:rPr/>
                <w:rPr>
                  <w:rFonts w:ascii="Cambria Math" w:hAnsi="Cambria Math"/>
                  <w:lang w:val="zh-CN"/>
                </w:rPr>
                <m:t>J</m:t>
              </m:r>
              <m:ctrlPr>
                <w:rPr>
                  <w:rFonts w:ascii="Cambria Math" w:hAnsi="Cambria Math"/>
                  <w:i/>
                  <w:lang w:val="zh-CN"/>
                </w:rPr>
              </m:ctrlPr>
            </m:e>
            <m:sub>
              <m:r>
                <m:rPr/>
                <w:rPr>
                  <w:rFonts w:ascii="Cambria Math" w:hAnsi="Cambria Math"/>
                  <w:lang w:val="zh-CN"/>
                </w:rPr>
                <m:t>LTOF</m:t>
              </m:r>
              <m:ctrlPr>
                <w:rPr>
                  <w:rFonts w:ascii="Cambria Math" w:hAnsi="Cambria Math"/>
                  <w:i/>
                  <w:lang w:val="zh-CN"/>
                </w:rPr>
              </m:ctrlPr>
            </m:sub>
          </m:sSub>
          <m:r>
            <m:rPr/>
            <w:rPr>
              <w:rFonts w:ascii="Cambria Math" w:hAnsi="Cambria Math"/>
              <w:lang w:val="zh-CN"/>
            </w:rPr>
            <m:t>+</m:t>
          </m:r>
          <m:sSub>
            <m:sSubPr>
              <m:ctrlPr>
                <w:rPr>
                  <w:rFonts w:ascii="Cambria Math" w:hAnsi="Cambria Math"/>
                  <w:i/>
                  <w:lang w:val="zh-CN"/>
                </w:rPr>
              </m:ctrlPr>
            </m:sSubPr>
            <m:e>
              <m:r>
                <m:rPr/>
                <w:rPr>
                  <w:rFonts w:ascii="Cambria Math" w:hAnsi="Cambria Math"/>
                  <w:lang w:val="zh-CN"/>
                </w:rPr>
                <m:t>J</m:t>
              </m:r>
              <m:ctrlPr>
                <w:rPr>
                  <w:rFonts w:ascii="Cambria Math" w:hAnsi="Cambria Math"/>
                  <w:i/>
                  <w:lang w:val="zh-CN"/>
                </w:rPr>
              </m:ctrlPr>
            </m:e>
            <m:sub>
              <m:r>
                <m:rPr/>
                <w:rPr>
                  <w:rFonts w:ascii="Cambria Math" w:hAnsi="Cambria Math"/>
                  <w:lang w:val="zh-CN"/>
                </w:rPr>
                <m:t>STOF</m:t>
              </m:r>
              <m:ctrlPr>
                <w:rPr>
                  <w:rFonts w:ascii="Cambria Math" w:hAnsi="Cambria Math"/>
                  <w:i/>
                  <w:lang w:val="zh-CN"/>
                </w:rPr>
              </m:ctrlPr>
            </m:sub>
          </m:sSub>
          <m:r>
            <m:rPr/>
            <w:rPr>
              <w:rFonts w:ascii="Cambria Math" w:hAnsi="Cambria Math"/>
              <w:lang w:val="zh-CN"/>
            </w:rPr>
            <m:t>+R</m:t>
          </m:r>
        </m:oMath>
      </m:oMathPara>
    </w:p>
    <w:p w14:paraId="77B4E2BD">
      <w:pPr>
        <w:pStyle w:val="6"/>
      </w:pPr>
      <w:r>
        <w:rPr>
          <w:rFonts w:hint="eastAsia"/>
        </w:rPr>
        <w:t>反演结果</w:t>
      </w:r>
    </w:p>
    <w:p w14:paraId="716B75ED">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24</w:t>
      </w:r>
      <w:r>
        <w:fldChar w:fldCharType="end"/>
      </w:r>
      <w:r>
        <w:t>二维硅基/碳基复合材料精度误差表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1"/>
        <w:gridCol w:w="2384"/>
        <w:gridCol w:w="4255"/>
      </w:tblGrid>
      <w:tr w14:paraId="4441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pct"/>
            <w:vAlign w:val="center"/>
          </w:tcPr>
          <w:p w14:paraId="4297FC4F">
            <w:pPr>
              <w:rPr>
                <w:lang w:val="zh-CN"/>
              </w:rPr>
            </w:pPr>
          </w:p>
        </w:tc>
        <w:tc>
          <w:tcPr>
            <w:tcW w:w="1367" w:type="pct"/>
            <w:vAlign w:val="center"/>
          </w:tcPr>
          <w:p w14:paraId="5BB73C3D">
            <w:pPr>
              <w:rPr>
                <w:lang w:val="zh-CN"/>
              </w:rPr>
            </w:pPr>
            <w:r>
              <w:rPr>
                <w:lang w:val="zh-CN"/>
              </w:rPr>
              <w:t>温度场反演</w:t>
            </w:r>
          </w:p>
        </w:tc>
        <w:tc>
          <w:tcPr>
            <w:tcW w:w="2440" w:type="pct"/>
            <w:vAlign w:val="center"/>
          </w:tcPr>
          <w:p w14:paraId="1F8ECC53">
            <w:pPr>
              <w:rPr>
                <w:lang w:val="zh-CN"/>
              </w:rPr>
            </w:pPr>
            <w:r>
              <w:rPr>
                <w:lang w:val="zh-CN"/>
              </w:rPr>
              <w:t>温度场-厚度联合反演</w:t>
            </w:r>
          </w:p>
        </w:tc>
      </w:tr>
      <w:tr w14:paraId="17E2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pct"/>
            <w:vAlign w:val="center"/>
          </w:tcPr>
          <w:p w14:paraId="1899F97D">
            <w:pPr>
              <w:rPr>
                <w:lang w:val="zh-CN"/>
              </w:rPr>
            </w:pPr>
            <w:r>
              <w:rPr>
                <w:lang w:val="zh-CN"/>
              </w:rPr>
              <w:t>二维稳态单参数</w:t>
            </w:r>
          </w:p>
        </w:tc>
        <w:tc>
          <w:tcPr>
            <w:tcW w:w="1367" w:type="pct"/>
            <w:vAlign w:val="center"/>
          </w:tcPr>
          <w:p w14:paraId="6604E3E2">
            <w:r>
              <w:t>PSO+CG：4.358%</w:t>
            </w:r>
          </w:p>
          <w:p w14:paraId="64A74D23">
            <w:r>
              <w:t>BO+FD：2.129%</w:t>
            </w:r>
          </w:p>
        </w:tc>
        <w:tc>
          <w:tcPr>
            <w:tcW w:w="2440" w:type="pct"/>
            <w:vAlign w:val="center"/>
          </w:tcPr>
          <w:p w14:paraId="0147111C">
            <w:r>
              <w:t>PSO+CG：温度：2.145%，厚度：0.456%</w:t>
            </w:r>
          </w:p>
          <w:p w14:paraId="1E680709">
            <w:r>
              <w:t>BO+FD:温度：4.812%，厚度：0.456%</w:t>
            </w:r>
          </w:p>
        </w:tc>
      </w:tr>
      <w:tr w14:paraId="1B00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pct"/>
            <w:vAlign w:val="center"/>
          </w:tcPr>
          <w:p w14:paraId="6E87ADA8">
            <w:pPr>
              <w:rPr>
                <w:lang w:val="zh-CN"/>
              </w:rPr>
            </w:pPr>
            <w:r>
              <w:rPr>
                <w:lang w:val="zh-CN"/>
              </w:rPr>
              <w:t>二维稳态多参数</w:t>
            </w:r>
          </w:p>
        </w:tc>
        <w:tc>
          <w:tcPr>
            <w:tcW w:w="1367" w:type="pct"/>
            <w:vAlign w:val="center"/>
          </w:tcPr>
          <w:p w14:paraId="661DF58F">
            <w:r>
              <w:t>PSO+CG：2.907%</w:t>
            </w:r>
          </w:p>
          <w:p w14:paraId="26626A5C">
            <w:r>
              <w:t>BO+FD：2.219%</w:t>
            </w:r>
          </w:p>
        </w:tc>
        <w:tc>
          <w:tcPr>
            <w:tcW w:w="2440" w:type="pct"/>
            <w:vAlign w:val="center"/>
          </w:tcPr>
          <w:p w14:paraId="2897051E">
            <w:r>
              <w:t>PSO+CG：温度：1.170%，厚度：0.456%</w:t>
            </w:r>
          </w:p>
          <w:p w14:paraId="44AC247E">
            <w:r>
              <w:t>BO+FD:温度：4.812%，厚度：0.456%</w:t>
            </w:r>
          </w:p>
        </w:tc>
      </w:tr>
      <w:tr w14:paraId="3A27A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pct"/>
            <w:vAlign w:val="center"/>
          </w:tcPr>
          <w:p w14:paraId="0993E6ED">
            <w:pPr>
              <w:rPr>
                <w:lang w:val="zh-CN"/>
              </w:rPr>
            </w:pPr>
            <w:r>
              <w:rPr>
                <w:lang w:val="zh-CN"/>
              </w:rPr>
              <w:t>二维瞬态单参数</w:t>
            </w:r>
          </w:p>
        </w:tc>
        <w:tc>
          <w:tcPr>
            <w:tcW w:w="1367" w:type="pct"/>
            <w:vAlign w:val="center"/>
          </w:tcPr>
          <w:p w14:paraId="0A0EC61A">
            <w:r>
              <w:t>PSO+CG：6.540%</w:t>
            </w:r>
          </w:p>
          <w:p w14:paraId="73D2892B">
            <w:r>
              <w:t>BO+FD：9.063%</w:t>
            </w:r>
          </w:p>
        </w:tc>
        <w:tc>
          <w:tcPr>
            <w:tcW w:w="2440" w:type="pct"/>
            <w:vAlign w:val="center"/>
          </w:tcPr>
          <w:p w14:paraId="6EE51986">
            <w:r>
              <w:t>PSO+CG：温度7.884 %，厚度：0.456%</w:t>
            </w:r>
          </w:p>
          <w:p w14:paraId="661120E3">
            <w:r>
              <w:t>BO+FD:温度：11.861%，厚度：0.456%</w:t>
            </w:r>
          </w:p>
        </w:tc>
      </w:tr>
      <w:tr w14:paraId="74010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pct"/>
            <w:vAlign w:val="center"/>
          </w:tcPr>
          <w:p w14:paraId="1DD98650">
            <w:pPr>
              <w:rPr>
                <w:lang w:val="zh-CN"/>
              </w:rPr>
            </w:pPr>
            <w:r>
              <w:rPr>
                <w:lang w:val="zh-CN"/>
              </w:rPr>
              <w:t>二维瞬态多参数</w:t>
            </w:r>
          </w:p>
        </w:tc>
        <w:tc>
          <w:tcPr>
            <w:tcW w:w="1367" w:type="pct"/>
            <w:vAlign w:val="center"/>
          </w:tcPr>
          <w:p w14:paraId="3D026E93">
            <w:r>
              <w:t>PSO+CG：5.679%</w:t>
            </w:r>
          </w:p>
          <w:p w14:paraId="2158CA22">
            <w:r>
              <w:t>BO+FD：9.228%</w:t>
            </w:r>
          </w:p>
        </w:tc>
        <w:tc>
          <w:tcPr>
            <w:tcW w:w="2440" w:type="pct"/>
            <w:vAlign w:val="center"/>
          </w:tcPr>
          <w:p w14:paraId="664F2DD3">
            <w:r>
              <w:t>PSO+CG：温度：6.802%，厚度：0.456%</w:t>
            </w:r>
          </w:p>
          <w:p w14:paraId="069DEFB1">
            <w:r>
              <w:t>BO+FD:温度：11.198%，厚度：0.456%</w:t>
            </w:r>
          </w:p>
        </w:tc>
      </w:tr>
    </w:tbl>
    <w:p w14:paraId="6742C0BD">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25</w:t>
      </w:r>
      <w:r>
        <w:fldChar w:fldCharType="end"/>
      </w:r>
      <w:r>
        <w:t>一维硅基/碳基复合材料精度误差表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1"/>
        <w:gridCol w:w="2384"/>
        <w:gridCol w:w="4255"/>
      </w:tblGrid>
      <w:tr w14:paraId="0B935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pct"/>
            <w:vAlign w:val="center"/>
          </w:tcPr>
          <w:p w14:paraId="06E904C8">
            <w:pPr>
              <w:rPr>
                <w:lang w:val="zh-CN"/>
              </w:rPr>
            </w:pPr>
          </w:p>
        </w:tc>
        <w:tc>
          <w:tcPr>
            <w:tcW w:w="1367" w:type="pct"/>
            <w:vAlign w:val="center"/>
          </w:tcPr>
          <w:p w14:paraId="34691245">
            <w:pPr>
              <w:rPr>
                <w:lang w:val="zh-CN"/>
              </w:rPr>
            </w:pPr>
            <w:r>
              <w:rPr>
                <w:lang w:val="zh-CN"/>
              </w:rPr>
              <w:t>温度场反演</w:t>
            </w:r>
          </w:p>
        </w:tc>
        <w:tc>
          <w:tcPr>
            <w:tcW w:w="2440" w:type="pct"/>
            <w:vAlign w:val="center"/>
          </w:tcPr>
          <w:p w14:paraId="3DEEC1F3">
            <w:pPr>
              <w:rPr>
                <w:lang w:val="zh-CN"/>
              </w:rPr>
            </w:pPr>
            <w:r>
              <w:rPr>
                <w:lang w:val="zh-CN"/>
              </w:rPr>
              <w:t>温度场-厚度联合反演</w:t>
            </w:r>
          </w:p>
        </w:tc>
      </w:tr>
      <w:tr w14:paraId="45F4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pct"/>
            <w:vAlign w:val="center"/>
          </w:tcPr>
          <w:p w14:paraId="2F3576C1">
            <w:pPr>
              <w:rPr>
                <w:lang w:val="zh-CN"/>
              </w:rPr>
            </w:pPr>
            <w:r>
              <w:rPr>
                <w:lang w:val="zh-CN"/>
              </w:rPr>
              <w:t>一维稳态单参数</w:t>
            </w:r>
          </w:p>
        </w:tc>
        <w:tc>
          <w:tcPr>
            <w:tcW w:w="1367" w:type="pct"/>
            <w:vAlign w:val="center"/>
          </w:tcPr>
          <w:p w14:paraId="31199531">
            <w:r>
              <w:t>PSO+CG：3.096%</w:t>
            </w:r>
          </w:p>
          <w:p w14:paraId="3D7D52CA">
            <w:r>
              <w:t>BO+FD：2.632%</w:t>
            </w:r>
          </w:p>
        </w:tc>
        <w:tc>
          <w:tcPr>
            <w:tcW w:w="2440" w:type="pct"/>
            <w:vAlign w:val="center"/>
          </w:tcPr>
          <w:p w14:paraId="0BDDEEFF">
            <w:r>
              <w:t>PSO+CG：温度：1.696%，厚度：0.456%</w:t>
            </w:r>
          </w:p>
          <w:p w14:paraId="5C26576B">
            <w:r>
              <w:t>BO+FD：温度：0.006%，厚度：0.456%</w:t>
            </w:r>
          </w:p>
        </w:tc>
      </w:tr>
      <w:tr w14:paraId="7124A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pct"/>
            <w:vAlign w:val="center"/>
          </w:tcPr>
          <w:p w14:paraId="53A67153">
            <w:pPr>
              <w:rPr>
                <w:lang w:val="zh-CN"/>
              </w:rPr>
            </w:pPr>
            <w:r>
              <w:rPr>
                <w:lang w:val="zh-CN"/>
              </w:rPr>
              <w:t>一维稳态多参数</w:t>
            </w:r>
          </w:p>
        </w:tc>
        <w:tc>
          <w:tcPr>
            <w:tcW w:w="1367" w:type="pct"/>
            <w:vAlign w:val="center"/>
          </w:tcPr>
          <w:p w14:paraId="33566CA6">
            <w:r>
              <w:t>PSO+CG：2.792%</w:t>
            </w:r>
          </w:p>
          <w:p w14:paraId="1592DA93">
            <w:r>
              <w:t>BO+FD：2.273%</w:t>
            </w:r>
          </w:p>
        </w:tc>
        <w:tc>
          <w:tcPr>
            <w:tcW w:w="2440" w:type="pct"/>
            <w:vAlign w:val="center"/>
          </w:tcPr>
          <w:p w14:paraId="3DD7EAB5">
            <w:r>
              <w:t>PSO+CG：温度：1.614%，厚度：0.456%</w:t>
            </w:r>
          </w:p>
          <w:p w14:paraId="1F53E92A">
            <w:r>
              <w:t>BO+FD:温度：0.006%，厚度：0.456%</w:t>
            </w:r>
          </w:p>
        </w:tc>
      </w:tr>
      <w:tr w14:paraId="60086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pct"/>
            <w:vAlign w:val="center"/>
          </w:tcPr>
          <w:p w14:paraId="26428E1E">
            <w:pPr>
              <w:rPr>
                <w:lang w:val="zh-CN"/>
              </w:rPr>
            </w:pPr>
            <w:r>
              <w:rPr>
                <w:lang w:val="zh-CN"/>
              </w:rPr>
              <w:t>一维瞬态单参数</w:t>
            </w:r>
          </w:p>
        </w:tc>
        <w:tc>
          <w:tcPr>
            <w:tcW w:w="1367" w:type="pct"/>
            <w:vAlign w:val="center"/>
          </w:tcPr>
          <w:p w14:paraId="6252D3C3">
            <w:r>
              <w:t>PSO+CG：7.156%</w:t>
            </w:r>
          </w:p>
          <w:p w14:paraId="1E92C8E4">
            <w:r>
              <w:t>BO+FD：3.937%</w:t>
            </w:r>
          </w:p>
        </w:tc>
        <w:tc>
          <w:tcPr>
            <w:tcW w:w="2440" w:type="pct"/>
            <w:vAlign w:val="center"/>
          </w:tcPr>
          <w:p w14:paraId="00319FA2">
            <w:r>
              <w:t>PSO+CG：温度：2.774%，厚度：0.456%</w:t>
            </w:r>
          </w:p>
          <w:p w14:paraId="0AC5C44D">
            <w:r>
              <w:t>BO+FD:温度：4.169%，厚度：0.456%</w:t>
            </w:r>
          </w:p>
        </w:tc>
      </w:tr>
      <w:tr w14:paraId="25708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3" w:type="pct"/>
            <w:vAlign w:val="center"/>
          </w:tcPr>
          <w:p w14:paraId="3D1DBE09">
            <w:pPr>
              <w:rPr>
                <w:lang w:val="zh-CN"/>
              </w:rPr>
            </w:pPr>
            <w:r>
              <w:rPr>
                <w:lang w:val="zh-CN"/>
              </w:rPr>
              <w:t>一维瞬态多参数</w:t>
            </w:r>
          </w:p>
        </w:tc>
        <w:tc>
          <w:tcPr>
            <w:tcW w:w="1367" w:type="pct"/>
            <w:vAlign w:val="center"/>
          </w:tcPr>
          <w:p w14:paraId="39103C42">
            <w:r>
              <w:t>PSO+CG：5.517%</w:t>
            </w:r>
          </w:p>
          <w:p w14:paraId="3EE4736A">
            <w:r>
              <w:t>BO+FD：4.025%</w:t>
            </w:r>
          </w:p>
        </w:tc>
        <w:tc>
          <w:tcPr>
            <w:tcW w:w="2440" w:type="pct"/>
            <w:vAlign w:val="center"/>
          </w:tcPr>
          <w:p w14:paraId="5D2C6F44">
            <w:r>
              <w:t>PSO+CG：温度：3.074%，厚度：0.456%</w:t>
            </w:r>
          </w:p>
          <w:p w14:paraId="0CB561AB">
            <w:r>
              <w:t>BO+FD:温度：3.902%，厚度：0.456%</w:t>
            </w:r>
          </w:p>
        </w:tc>
      </w:tr>
    </w:tbl>
    <w:p w14:paraId="69205DFF">
      <w:pPr>
        <w:pStyle w:val="5"/>
      </w:pPr>
      <w:bookmarkStart w:id="85" w:name="_Toc235910462"/>
      <w:bookmarkStart w:id="86" w:name="_Ref235899755"/>
      <w:r>
        <w:t>不同反演算法的比较分析</w:t>
      </w:r>
      <w:bookmarkEnd w:id="85"/>
      <w:bookmarkEnd w:id="86"/>
    </w:p>
    <w:p w14:paraId="19C2E278">
      <w:pPr>
        <w:ind w:firstLine="420"/>
      </w:pPr>
      <w:r>
        <w:t>在相同单参数反演工况下，对BO+FD、PSO+CG、共轭梯度法、灵敏度法和最速下降法进行精度与运行时间比较。结果如下表所示。</w:t>
      </w:r>
    </w:p>
    <w:p w14:paraId="6476DF79">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26</w:t>
      </w:r>
      <w:r>
        <w:fldChar w:fldCharType="end"/>
      </w:r>
      <w:r>
        <w:t>算法精度与效率比较表</w:t>
      </w:r>
    </w:p>
    <w:tbl>
      <w:tblPr>
        <w:tblStyle w:val="21"/>
        <w:tblW w:w="5000" w:type="pct"/>
        <w:tblInd w:w="0" w:type="dxa"/>
        <w:tblLayout w:type="autofit"/>
        <w:tblCellMar>
          <w:top w:w="0" w:type="dxa"/>
          <w:left w:w="108" w:type="dxa"/>
          <w:bottom w:w="0" w:type="dxa"/>
          <w:right w:w="108" w:type="dxa"/>
        </w:tblCellMar>
      </w:tblPr>
      <w:tblGrid>
        <w:gridCol w:w="1491"/>
        <w:gridCol w:w="1135"/>
        <w:gridCol w:w="1357"/>
        <w:gridCol w:w="1432"/>
        <w:gridCol w:w="1346"/>
        <w:gridCol w:w="980"/>
        <w:gridCol w:w="979"/>
      </w:tblGrid>
      <w:tr w14:paraId="6028CE4B">
        <w:tblPrEx>
          <w:tblCellMar>
            <w:top w:w="0" w:type="dxa"/>
            <w:left w:w="108" w:type="dxa"/>
            <w:bottom w:w="0" w:type="dxa"/>
            <w:right w:w="108" w:type="dxa"/>
          </w:tblCellMar>
        </w:tblPrEx>
        <w:tc>
          <w:tcPr>
            <w:tcW w:w="855" w:type="pct"/>
            <w:tcBorders>
              <w:top w:val="single" w:color="auto" w:sz="4" w:space="0"/>
              <w:left w:val="single" w:color="auto" w:sz="4" w:space="0"/>
              <w:bottom w:val="single" w:color="auto" w:sz="4" w:space="0"/>
              <w:right w:val="single" w:color="auto" w:sz="4" w:space="0"/>
            </w:tcBorders>
            <w:vAlign w:val="center"/>
          </w:tcPr>
          <w:p w14:paraId="3F68028B">
            <w:r>
              <w:t>算法</w:t>
            </w:r>
          </w:p>
        </w:tc>
        <w:tc>
          <w:tcPr>
            <w:tcW w:w="651" w:type="pct"/>
            <w:tcBorders>
              <w:top w:val="single" w:color="auto" w:sz="4" w:space="0"/>
              <w:left w:val="single" w:color="auto" w:sz="4" w:space="0"/>
              <w:bottom w:val="single" w:color="auto" w:sz="4" w:space="0"/>
              <w:right w:val="single" w:color="auto" w:sz="4" w:space="0"/>
            </w:tcBorders>
            <w:vAlign w:val="center"/>
          </w:tcPr>
          <w:p w14:paraId="14366351">
            <w:r>
              <w:t>平均相对误差</w:t>
            </w:r>
          </w:p>
        </w:tc>
        <w:tc>
          <w:tcPr>
            <w:tcW w:w="778" w:type="pct"/>
            <w:tcBorders>
              <w:top w:val="single" w:color="auto" w:sz="4" w:space="0"/>
              <w:left w:val="single" w:color="auto" w:sz="4" w:space="0"/>
              <w:bottom w:val="single" w:color="auto" w:sz="4" w:space="0"/>
              <w:right w:val="single" w:color="auto" w:sz="4" w:space="0"/>
            </w:tcBorders>
            <w:vAlign w:val="center"/>
          </w:tcPr>
          <w:p w14:paraId="058CE595">
            <w:r>
              <w:t>厚度误差</w:t>
            </w:r>
          </w:p>
        </w:tc>
        <w:tc>
          <w:tcPr>
            <w:tcW w:w="821" w:type="pct"/>
            <w:tcBorders>
              <w:top w:val="single" w:color="auto" w:sz="4" w:space="0"/>
              <w:left w:val="single" w:color="auto" w:sz="4" w:space="0"/>
              <w:bottom w:val="single" w:color="auto" w:sz="4" w:space="0"/>
              <w:right w:val="single" w:color="auto" w:sz="4" w:space="0"/>
            </w:tcBorders>
            <w:vAlign w:val="center"/>
          </w:tcPr>
          <w:p w14:paraId="09503FBA">
            <w:r>
              <w:t>总运行时间/s</w:t>
            </w:r>
          </w:p>
        </w:tc>
        <w:tc>
          <w:tcPr>
            <w:tcW w:w="772" w:type="pct"/>
            <w:tcBorders>
              <w:top w:val="single" w:color="auto" w:sz="4" w:space="0"/>
              <w:left w:val="single" w:color="auto" w:sz="4" w:space="0"/>
              <w:bottom w:val="single" w:color="auto" w:sz="4" w:space="0"/>
              <w:right w:val="single" w:color="auto" w:sz="4" w:space="0"/>
            </w:tcBorders>
            <w:vAlign w:val="center"/>
          </w:tcPr>
          <w:p w14:paraId="66A977B1">
            <w:r>
              <w:t>精度是否达标</w:t>
            </w:r>
          </w:p>
        </w:tc>
        <w:tc>
          <w:tcPr>
            <w:tcW w:w="562" w:type="pct"/>
            <w:tcBorders>
              <w:top w:val="single" w:color="auto" w:sz="4" w:space="0"/>
              <w:left w:val="single" w:color="auto" w:sz="4" w:space="0"/>
              <w:bottom w:val="single" w:color="auto" w:sz="4" w:space="0"/>
              <w:right w:val="single" w:color="auto" w:sz="4" w:space="0"/>
            </w:tcBorders>
            <w:vAlign w:val="center"/>
          </w:tcPr>
          <w:p w14:paraId="0E61B930">
            <w:r>
              <w:t>误差判定</w:t>
            </w:r>
          </w:p>
        </w:tc>
        <w:tc>
          <w:tcPr>
            <w:tcW w:w="561" w:type="pct"/>
            <w:tcBorders>
              <w:top w:val="single" w:color="auto" w:sz="4" w:space="0"/>
              <w:left w:val="single" w:color="auto" w:sz="4" w:space="0"/>
              <w:bottom w:val="single" w:color="auto" w:sz="4" w:space="0"/>
              <w:right w:val="single" w:color="auto" w:sz="4" w:space="0"/>
            </w:tcBorders>
            <w:vAlign w:val="center"/>
          </w:tcPr>
          <w:p w14:paraId="560A31E4">
            <w:r>
              <w:t>效率对比</w:t>
            </w:r>
          </w:p>
        </w:tc>
      </w:tr>
      <w:tr w14:paraId="1803EDF5">
        <w:tblPrEx>
          <w:tblCellMar>
            <w:top w:w="0" w:type="dxa"/>
            <w:left w:w="108" w:type="dxa"/>
            <w:bottom w:w="0" w:type="dxa"/>
            <w:right w:w="108" w:type="dxa"/>
          </w:tblCellMar>
        </w:tblPrEx>
        <w:tc>
          <w:tcPr>
            <w:tcW w:w="855" w:type="pct"/>
            <w:tcBorders>
              <w:top w:val="single" w:color="auto" w:sz="4" w:space="0"/>
              <w:left w:val="single" w:color="auto" w:sz="4" w:space="0"/>
              <w:bottom w:val="single" w:color="auto" w:sz="4" w:space="0"/>
              <w:right w:val="single" w:color="auto" w:sz="4" w:space="0"/>
            </w:tcBorders>
          </w:tcPr>
          <w:p w14:paraId="187F049E">
            <w:r>
              <w:t>BO+FD算法</w:t>
            </w:r>
          </w:p>
        </w:tc>
        <w:tc>
          <w:tcPr>
            <w:tcW w:w="651" w:type="pct"/>
            <w:tcBorders>
              <w:top w:val="single" w:color="auto" w:sz="4" w:space="0"/>
              <w:left w:val="single" w:color="auto" w:sz="4" w:space="0"/>
              <w:bottom w:val="single" w:color="auto" w:sz="4" w:space="0"/>
              <w:right w:val="single" w:color="auto" w:sz="4" w:space="0"/>
            </w:tcBorders>
            <w:vAlign w:val="center"/>
          </w:tcPr>
          <w:p w14:paraId="5BE0CE0E">
            <w:r>
              <w:t>3.804%</w:t>
            </w:r>
          </w:p>
        </w:tc>
        <w:tc>
          <w:tcPr>
            <w:tcW w:w="778" w:type="pct"/>
            <w:tcBorders>
              <w:top w:val="single" w:color="auto" w:sz="4" w:space="0"/>
              <w:left w:val="single" w:color="auto" w:sz="4" w:space="0"/>
              <w:bottom w:val="single" w:color="auto" w:sz="4" w:space="0"/>
              <w:right w:val="single" w:color="auto" w:sz="4" w:space="0"/>
            </w:tcBorders>
            <w:vAlign w:val="center"/>
          </w:tcPr>
          <w:p w14:paraId="5A4DD2D0">
            <w:r>
              <w:t>0.575%</w:t>
            </w:r>
          </w:p>
        </w:tc>
        <w:tc>
          <w:tcPr>
            <w:tcW w:w="821" w:type="pct"/>
            <w:tcBorders>
              <w:top w:val="single" w:color="auto" w:sz="4" w:space="0"/>
              <w:left w:val="single" w:color="auto" w:sz="4" w:space="0"/>
              <w:bottom w:val="single" w:color="auto" w:sz="4" w:space="0"/>
              <w:right w:val="single" w:color="auto" w:sz="4" w:space="0"/>
            </w:tcBorders>
            <w:vAlign w:val="center"/>
          </w:tcPr>
          <w:p w14:paraId="769D6CB2">
            <w:r>
              <w:t>11.06</w:t>
            </w:r>
          </w:p>
        </w:tc>
        <w:tc>
          <w:tcPr>
            <w:tcW w:w="772" w:type="pct"/>
            <w:tcBorders>
              <w:top w:val="single" w:color="auto" w:sz="4" w:space="0"/>
              <w:left w:val="single" w:color="auto" w:sz="4" w:space="0"/>
              <w:bottom w:val="single" w:color="auto" w:sz="4" w:space="0"/>
              <w:right w:val="single" w:color="auto" w:sz="4" w:space="0"/>
            </w:tcBorders>
            <w:vAlign w:val="center"/>
          </w:tcPr>
          <w:p w14:paraId="105FE187">
            <w:r>
              <w:t>是</w:t>
            </w:r>
          </w:p>
        </w:tc>
        <w:tc>
          <w:tcPr>
            <w:tcW w:w="562" w:type="pct"/>
            <w:tcBorders>
              <w:top w:val="single" w:color="auto" w:sz="4" w:space="0"/>
              <w:left w:val="single" w:color="auto" w:sz="4" w:space="0"/>
              <w:bottom w:val="single" w:color="auto" w:sz="4" w:space="0"/>
              <w:right w:val="single" w:color="auto" w:sz="4" w:space="0"/>
            </w:tcBorders>
            <w:vAlign w:val="center"/>
          </w:tcPr>
          <w:p w14:paraId="495BAB12">
            <w:r>
              <w:t>达标</w:t>
            </w:r>
          </w:p>
        </w:tc>
        <w:tc>
          <w:tcPr>
            <w:tcW w:w="561" w:type="pct"/>
            <w:tcBorders>
              <w:top w:val="single" w:color="auto" w:sz="4" w:space="0"/>
              <w:left w:val="single" w:color="auto" w:sz="4" w:space="0"/>
              <w:bottom w:val="single" w:color="auto" w:sz="4" w:space="0"/>
              <w:right w:val="single" w:color="auto" w:sz="4" w:space="0"/>
            </w:tcBorders>
            <w:vAlign w:val="center"/>
          </w:tcPr>
          <w:p w14:paraId="5CBE9FC3">
            <w:r>
              <w:t>2</w:t>
            </w:r>
          </w:p>
        </w:tc>
      </w:tr>
      <w:tr w14:paraId="75D2AD38">
        <w:tblPrEx>
          <w:tblCellMar>
            <w:top w:w="0" w:type="dxa"/>
            <w:left w:w="108" w:type="dxa"/>
            <w:bottom w:w="0" w:type="dxa"/>
            <w:right w:w="108" w:type="dxa"/>
          </w:tblCellMar>
        </w:tblPrEx>
        <w:tc>
          <w:tcPr>
            <w:tcW w:w="855" w:type="pct"/>
            <w:tcBorders>
              <w:top w:val="single" w:color="auto" w:sz="4" w:space="0"/>
              <w:left w:val="single" w:color="auto" w:sz="4" w:space="0"/>
              <w:bottom w:val="single" w:color="auto" w:sz="4" w:space="0"/>
              <w:right w:val="single" w:color="auto" w:sz="4" w:space="0"/>
            </w:tcBorders>
          </w:tcPr>
          <w:p w14:paraId="69CC9BFB">
            <w:r>
              <w:t>PSO+CG算法</w:t>
            </w:r>
          </w:p>
        </w:tc>
        <w:tc>
          <w:tcPr>
            <w:tcW w:w="651" w:type="pct"/>
            <w:tcBorders>
              <w:top w:val="single" w:color="auto" w:sz="4" w:space="0"/>
              <w:left w:val="single" w:color="auto" w:sz="4" w:space="0"/>
              <w:bottom w:val="single" w:color="auto" w:sz="4" w:space="0"/>
              <w:right w:val="single" w:color="auto" w:sz="4" w:space="0"/>
            </w:tcBorders>
            <w:vAlign w:val="center"/>
          </w:tcPr>
          <w:p w14:paraId="6988CD10">
            <w:r>
              <w:t>2.821%</w:t>
            </w:r>
          </w:p>
        </w:tc>
        <w:tc>
          <w:tcPr>
            <w:tcW w:w="778" w:type="pct"/>
            <w:tcBorders>
              <w:top w:val="single" w:color="auto" w:sz="4" w:space="0"/>
              <w:left w:val="single" w:color="auto" w:sz="4" w:space="0"/>
              <w:bottom w:val="single" w:color="auto" w:sz="4" w:space="0"/>
              <w:right w:val="single" w:color="auto" w:sz="4" w:space="0"/>
            </w:tcBorders>
            <w:vAlign w:val="center"/>
          </w:tcPr>
          <w:p w14:paraId="402FD9B2">
            <w:r>
              <w:t>0.575%</w:t>
            </w:r>
          </w:p>
        </w:tc>
        <w:tc>
          <w:tcPr>
            <w:tcW w:w="821" w:type="pct"/>
            <w:tcBorders>
              <w:top w:val="single" w:color="auto" w:sz="4" w:space="0"/>
              <w:left w:val="single" w:color="auto" w:sz="4" w:space="0"/>
              <w:bottom w:val="single" w:color="auto" w:sz="4" w:space="0"/>
              <w:right w:val="single" w:color="auto" w:sz="4" w:space="0"/>
            </w:tcBorders>
            <w:vAlign w:val="center"/>
          </w:tcPr>
          <w:p w14:paraId="06BF5750">
            <w:r>
              <w:t>10.10</w:t>
            </w:r>
          </w:p>
        </w:tc>
        <w:tc>
          <w:tcPr>
            <w:tcW w:w="772" w:type="pct"/>
            <w:tcBorders>
              <w:top w:val="single" w:color="auto" w:sz="4" w:space="0"/>
              <w:left w:val="single" w:color="auto" w:sz="4" w:space="0"/>
              <w:bottom w:val="single" w:color="auto" w:sz="4" w:space="0"/>
              <w:right w:val="single" w:color="auto" w:sz="4" w:space="0"/>
            </w:tcBorders>
            <w:vAlign w:val="center"/>
          </w:tcPr>
          <w:p w14:paraId="75853CC6">
            <w:r>
              <w:t>是</w:t>
            </w:r>
          </w:p>
        </w:tc>
        <w:tc>
          <w:tcPr>
            <w:tcW w:w="562" w:type="pct"/>
            <w:tcBorders>
              <w:top w:val="single" w:color="auto" w:sz="4" w:space="0"/>
              <w:left w:val="single" w:color="auto" w:sz="4" w:space="0"/>
              <w:bottom w:val="single" w:color="auto" w:sz="4" w:space="0"/>
              <w:right w:val="single" w:color="auto" w:sz="4" w:space="0"/>
            </w:tcBorders>
            <w:vAlign w:val="center"/>
          </w:tcPr>
          <w:p w14:paraId="13797849">
            <w:r>
              <w:t>达标</w:t>
            </w:r>
          </w:p>
        </w:tc>
        <w:tc>
          <w:tcPr>
            <w:tcW w:w="561" w:type="pct"/>
            <w:tcBorders>
              <w:top w:val="single" w:color="auto" w:sz="4" w:space="0"/>
              <w:left w:val="single" w:color="auto" w:sz="4" w:space="0"/>
              <w:bottom w:val="single" w:color="auto" w:sz="4" w:space="0"/>
              <w:right w:val="single" w:color="auto" w:sz="4" w:space="0"/>
            </w:tcBorders>
            <w:vAlign w:val="center"/>
          </w:tcPr>
          <w:p w14:paraId="360841D7">
            <w:r>
              <w:t>1</w:t>
            </w:r>
          </w:p>
        </w:tc>
      </w:tr>
      <w:tr w14:paraId="2797CF85">
        <w:tblPrEx>
          <w:tblCellMar>
            <w:top w:w="0" w:type="dxa"/>
            <w:left w:w="108" w:type="dxa"/>
            <w:bottom w:w="0" w:type="dxa"/>
            <w:right w:w="108" w:type="dxa"/>
          </w:tblCellMar>
        </w:tblPrEx>
        <w:tc>
          <w:tcPr>
            <w:tcW w:w="855" w:type="pct"/>
            <w:tcBorders>
              <w:top w:val="single" w:color="auto" w:sz="4" w:space="0"/>
              <w:left w:val="single" w:color="auto" w:sz="4" w:space="0"/>
              <w:bottom w:val="single" w:color="auto" w:sz="4" w:space="0"/>
              <w:right w:val="single" w:color="auto" w:sz="4" w:space="0"/>
            </w:tcBorders>
          </w:tcPr>
          <w:p w14:paraId="2E4C2E90">
            <w:r>
              <w:t>共轭梯度法</w:t>
            </w:r>
          </w:p>
        </w:tc>
        <w:tc>
          <w:tcPr>
            <w:tcW w:w="651" w:type="pct"/>
            <w:tcBorders>
              <w:top w:val="single" w:color="auto" w:sz="4" w:space="0"/>
              <w:left w:val="single" w:color="auto" w:sz="4" w:space="0"/>
              <w:bottom w:val="single" w:color="auto" w:sz="4" w:space="0"/>
              <w:right w:val="single" w:color="auto" w:sz="4" w:space="0"/>
            </w:tcBorders>
            <w:vAlign w:val="center"/>
          </w:tcPr>
          <w:p w14:paraId="3BA30F79">
            <w:r>
              <w:t>6.045%</w:t>
            </w:r>
          </w:p>
        </w:tc>
        <w:tc>
          <w:tcPr>
            <w:tcW w:w="778" w:type="pct"/>
            <w:tcBorders>
              <w:top w:val="single" w:color="auto" w:sz="4" w:space="0"/>
              <w:left w:val="single" w:color="auto" w:sz="4" w:space="0"/>
              <w:bottom w:val="single" w:color="auto" w:sz="4" w:space="0"/>
              <w:right w:val="single" w:color="auto" w:sz="4" w:space="0"/>
            </w:tcBorders>
            <w:vAlign w:val="center"/>
          </w:tcPr>
          <w:p w14:paraId="79956188">
            <w:r>
              <w:t>0.450%</w:t>
            </w:r>
          </w:p>
        </w:tc>
        <w:tc>
          <w:tcPr>
            <w:tcW w:w="821" w:type="pct"/>
            <w:tcBorders>
              <w:top w:val="single" w:color="auto" w:sz="4" w:space="0"/>
              <w:left w:val="single" w:color="auto" w:sz="4" w:space="0"/>
              <w:bottom w:val="single" w:color="auto" w:sz="4" w:space="0"/>
              <w:right w:val="single" w:color="auto" w:sz="4" w:space="0"/>
            </w:tcBorders>
            <w:vAlign w:val="center"/>
          </w:tcPr>
          <w:p w14:paraId="72CB90AB">
            <w:r>
              <w:t>18.67</w:t>
            </w:r>
          </w:p>
        </w:tc>
        <w:tc>
          <w:tcPr>
            <w:tcW w:w="772" w:type="pct"/>
            <w:tcBorders>
              <w:top w:val="single" w:color="auto" w:sz="4" w:space="0"/>
              <w:left w:val="single" w:color="auto" w:sz="4" w:space="0"/>
              <w:bottom w:val="single" w:color="auto" w:sz="4" w:space="0"/>
              <w:right w:val="single" w:color="auto" w:sz="4" w:space="0"/>
            </w:tcBorders>
            <w:vAlign w:val="center"/>
          </w:tcPr>
          <w:p w14:paraId="0679F07A">
            <w:r>
              <w:t>是</w:t>
            </w:r>
          </w:p>
        </w:tc>
        <w:tc>
          <w:tcPr>
            <w:tcW w:w="562" w:type="pct"/>
            <w:tcBorders>
              <w:top w:val="single" w:color="auto" w:sz="4" w:space="0"/>
              <w:left w:val="single" w:color="auto" w:sz="4" w:space="0"/>
              <w:bottom w:val="single" w:color="auto" w:sz="4" w:space="0"/>
              <w:right w:val="single" w:color="auto" w:sz="4" w:space="0"/>
            </w:tcBorders>
            <w:vAlign w:val="center"/>
          </w:tcPr>
          <w:p w14:paraId="0F0B31A5">
            <w:r>
              <w:t>达标</w:t>
            </w:r>
          </w:p>
        </w:tc>
        <w:tc>
          <w:tcPr>
            <w:tcW w:w="561" w:type="pct"/>
            <w:tcBorders>
              <w:top w:val="single" w:color="auto" w:sz="4" w:space="0"/>
              <w:left w:val="single" w:color="auto" w:sz="4" w:space="0"/>
              <w:bottom w:val="single" w:color="auto" w:sz="4" w:space="0"/>
              <w:right w:val="single" w:color="auto" w:sz="4" w:space="0"/>
            </w:tcBorders>
            <w:vAlign w:val="center"/>
          </w:tcPr>
          <w:p w14:paraId="3B7C38B2">
            <w:r>
              <w:t>5</w:t>
            </w:r>
          </w:p>
        </w:tc>
      </w:tr>
      <w:tr w14:paraId="6992E3DB">
        <w:tblPrEx>
          <w:tblCellMar>
            <w:top w:w="0" w:type="dxa"/>
            <w:left w:w="108" w:type="dxa"/>
            <w:bottom w:w="0" w:type="dxa"/>
            <w:right w:w="108" w:type="dxa"/>
          </w:tblCellMar>
        </w:tblPrEx>
        <w:tc>
          <w:tcPr>
            <w:tcW w:w="855" w:type="pct"/>
            <w:tcBorders>
              <w:top w:val="single" w:color="auto" w:sz="4" w:space="0"/>
              <w:left w:val="single" w:color="auto" w:sz="4" w:space="0"/>
              <w:bottom w:val="single" w:color="auto" w:sz="4" w:space="0"/>
              <w:right w:val="single" w:color="auto" w:sz="4" w:space="0"/>
            </w:tcBorders>
          </w:tcPr>
          <w:p w14:paraId="0600E667">
            <w:r>
              <w:t>灵敏度法</w:t>
            </w:r>
          </w:p>
        </w:tc>
        <w:tc>
          <w:tcPr>
            <w:tcW w:w="651" w:type="pct"/>
            <w:tcBorders>
              <w:top w:val="single" w:color="auto" w:sz="4" w:space="0"/>
              <w:left w:val="single" w:color="auto" w:sz="4" w:space="0"/>
              <w:bottom w:val="single" w:color="auto" w:sz="4" w:space="0"/>
              <w:right w:val="single" w:color="auto" w:sz="4" w:space="0"/>
            </w:tcBorders>
            <w:vAlign w:val="center"/>
          </w:tcPr>
          <w:p w14:paraId="6B93C306">
            <w:r>
              <w:t>8.883%</w:t>
            </w:r>
          </w:p>
        </w:tc>
        <w:tc>
          <w:tcPr>
            <w:tcW w:w="778" w:type="pct"/>
            <w:tcBorders>
              <w:top w:val="single" w:color="auto" w:sz="4" w:space="0"/>
              <w:left w:val="single" w:color="auto" w:sz="4" w:space="0"/>
              <w:bottom w:val="single" w:color="auto" w:sz="4" w:space="0"/>
              <w:right w:val="single" w:color="auto" w:sz="4" w:space="0"/>
            </w:tcBorders>
            <w:vAlign w:val="center"/>
          </w:tcPr>
          <w:p w14:paraId="1EADB392">
            <w:r>
              <w:t>1.293%</w:t>
            </w:r>
          </w:p>
        </w:tc>
        <w:tc>
          <w:tcPr>
            <w:tcW w:w="821" w:type="pct"/>
            <w:tcBorders>
              <w:top w:val="single" w:color="auto" w:sz="4" w:space="0"/>
              <w:left w:val="single" w:color="auto" w:sz="4" w:space="0"/>
              <w:bottom w:val="single" w:color="auto" w:sz="4" w:space="0"/>
              <w:right w:val="single" w:color="auto" w:sz="4" w:space="0"/>
            </w:tcBorders>
            <w:vAlign w:val="center"/>
          </w:tcPr>
          <w:p w14:paraId="08CE9B38">
            <w:r>
              <w:t>11.10</w:t>
            </w:r>
          </w:p>
        </w:tc>
        <w:tc>
          <w:tcPr>
            <w:tcW w:w="772" w:type="pct"/>
            <w:tcBorders>
              <w:top w:val="single" w:color="auto" w:sz="4" w:space="0"/>
              <w:left w:val="single" w:color="auto" w:sz="4" w:space="0"/>
              <w:bottom w:val="single" w:color="auto" w:sz="4" w:space="0"/>
              <w:right w:val="single" w:color="auto" w:sz="4" w:space="0"/>
            </w:tcBorders>
            <w:vAlign w:val="center"/>
          </w:tcPr>
          <w:p w14:paraId="79256924">
            <w:r>
              <w:t>是</w:t>
            </w:r>
          </w:p>
        </w:tc>
        <w:tc>
          <w:tcPr>
            <w:tcW w:w="562" w:type="pct"/>
            <w:tcBorders>
              <w:top w:val="single" w:color="auto" w:sz="4" w:space="0"/>
              <w:left w:val="single" w:color="auto" w:sz="4" w:space="0"/>
              <w:bottom w:val="single" w:color="auto" w:sz="4" w:space="0"/>
              <w:right w:val="single" w:color="auto" w:sz="4" w:space="0"/>
            </w:tcBorders>
            <w:vAlign w:val="center"/>
          </w:tcPr>
          <w:p w14:paraId="2B3F73F4">
            <w:r>
              <w:t>达标</w:t>
            </w:r>
          </w:p>
        </w:tc>
        <w:tc>
          <w:tcPr>
            <w:tcW w:w="561" w:type="pct"/>
            <w:tcBorders>
              <w:top w:val="single" w:color="auto" w:sz="4" w:space="0"/>
              <w:left w:val="single" w:color="auto" w:sz="4" w:space="0"/>
              <w:bottom w:val="single" w:color="auto" w:sz="4" w:space="0"/>
              <w:right w:val="single" w:color="auto" w:sz="4" w:space="0"/>
            </w:tcBorders>
            <w:vAlign w:val="center"/>
          </w:tcPr>
          <w:p w14:paraId="3C502471">
            <w:r>
              <w:t>3</w:t>
            </w:r>
          </w:p>
        </w:tc>
      </w:tr>
      <w:tr w14:paraId="056C6263">
        <w:tblPrEx>
          <w:tblCellMar>
            <w:top w:w="0" w:type="dxa"/>
            <w:left w:w="108" w:type="dxa"/>
            <w:bottom w:w="0" w:type="dxa"/>
            <w:right w:w="108" w:type="dxa"/>
          </w:tblCellMar>
        </w:tblPrEx>
        <w:tc>
          <w:tcPr>
            <w:tcW w:w="855" w:type="pct"/>
            <w:tcBorders>
              <w:top w:val="single" w:color="auto" w:sz="4" w:space="0"/>
              <w:left w:val="single" w:color="auto" w:sz="4" w:space="0"/>
              <w:bottom w:val="single" w:color="auto" w:sz="4" w:space="0"/>
              <w:right w:val="single" w:color="auto" w:sz="4" w:space="0"/>
            </w:tcBorders>
          </w:tcPr>
          <w:p w14:paraId="433C3C79">
            <w:r>
              <w:t>最速下降法</w:t>
            </w:r>
          </w:p>
        </w:tc>
        <w:tc>
          <w:tcPr>
            <w:tcW w:w="651" w:type="pct"/>
            <w:tcBorders>
              <w:top w:val="single" w:color="auto" w:sz="4" w:space="0"/>
              <w:left w:val="single" w:color="auto" w:sz="4" w:space="0"/>
              <w:bottom w:val="single" w:color="auto" w:sz="4" w:space="0"/>
              <w:right w:val="single" w:color="auto" w:sz="4" w:space="0"/>
            </w:tcBorders>
            <w:vAlign w:val="center"/>
          </w:tcPr>
          <w:p w14:paraId="78E8C7B8">
            <w:r>
              <w:t>7.825%</w:t>
            </w:r>
          </w:p>
        </w:tc>
        <w:tc>
          <w:tcPr>
            <w:tcW w:w="778" w:type="pct"/>
            <w:tcBorders>
              <w:top w:val="single" w:color="auto" w:sz="4" w:space="0"/>
              <w:left w:val="single" w:color="auto" w:sz="4" w:space="0"/>
              <w:bottom w:val="single" w:color="auto" w:sz="4" w:space="0"/>
              <w:right w:val="single" w:color="auto" w:sz="4" w:space="0"/>
            </w:tcBorders>
            <w:vAlign w:val="center"/>
          </w:tcPr>
          <w:p w14:paraId="1542CEEA">
            <w:r>
              <w:t>3.950%</w:t>
            </w:r>
          </w:p>
        </w:tc>
        <w:tc>
          <w:tcPr>
            <w:tcW w:w="821" w:type="pct"/>
            <w:tcBorders>
              <w:top w:val="single" w:color="auto" w:sz="4" w:space="0"/>
              <w:left w:val="single" w:color="auto" w:sz="4" w:space="0"/>
              <w:bottom w:val="single" w:color="auto" w:sz="4" w:space="0"/>
              <w:right w:val="single" w:color="auto" w:sz="4" w:space="0"/>
            </w:tcBorders>
            <w:vAlign w:val="center"/>
          </w:tcPr>
          <w:p w14:paraId="3F089E3B">
            <w:r>
              <w:t>12.44</w:t>
            </w:r>
          </w:p>
        </w:tc>
        <w:tc>
          <w:tcPr>
            <w:tcW w:w="772" w:type="pct"/>
            <w:tcBorders>
              <w:top w:val="single" w:color="auto" w:sz="4" w:space="0"/>
              <w:left w:val="single" w:color="auto" w:sz="4" w:space="0"/>
              <w:bottom w:val="single" w:color="auto" w:sz="4" w:space="0"/>
              <w:right w:val="single" w:color="auto" w:sz="4" w:space="0"/>
            </w:tcBorders>
            <w:vAlign w:val="center"/>
          </w:tcPr>
          <w:p w14:paraId="48AB1241">
            <w:r>
              <w:t>是</w:t>
            </w:r>
          </w:p>
        </w:tc>
        <w:tc>
          <w:tcPr>
            <w:tcW w:w="562" w:type="pct"/>
            <w:tcBorders>
              <w:top w:val="single" w:color="auto" w:sz="4" w:space="0"/>
              <w:left w:val="single" w:color="auto" w:sz="4" w:space="0"/>
              <w:bottom w:val="single" w:color="auto" w:sz="4" w:space="0"/>
              <w:right w:val="single" w:color="auto" w:sz="4" w:space="0"/>
            </w:tcBorders>
            <w:vAlign w:val="center"/>
          </w:tcPr>
          <w:p w14:paraId="65E812C4">
            <w:r>
              <w:t>达标</w:t>
            </w:r>
          </w:p>
        </w:tc>
        <w:tc>
          <w:tcPr>
            <w:tcW w:w="561" w:type="pct"/>
            <w:tcBorders>
              <w:top w:val="single" w:color="auto" w:sz="4" w:space="0"/>
              <w:left w:val="single" w:color="auto" w:sz="4" w:space="0"/>
              <w:bottom w:val="single" w:color="auto" w:sz="4" w:space="0"/>
              <w:right w:val="single" w:color="auto" w:sz="4" w:space="0"/>
            </w:tcBorders>
            <w:vAlign w:val="center"/>
          </w:tcPr>
          <w:p w14:paraId="1324CA2A">
            <w:r>
              <w:t>4</w:t>
            </w:r>
          </w:p>
        </w:tc>
      </w:tr>
    </w:tbl>
    <w:p w14:paraId="2A071B20">
      <w:r>
        <w:drawing>
          <wp:inline distT="0" distB="0" distL="114300" distR="114300">
            <wp:extent cx="5274310" cy="3139440"/>
            <wp:effectExtent l="0" t="0" r="2540" b="3810"/>
            <wp:docPr id="554353353" name="Picture 10" descr="五种算法的五点平均相对误差与总运行时间散点图。" title="图 3-10  代表性算法误差—耗时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53353" name="Picture 10" descr="五种算法的五点平均相对误差与总运行时间散点图。" title="图 3-10  代表性算法误差—耗时对比"/>
                    <pic:cNvPicPr>
                      <a:picLocks noChangeAspect="1"/>
                    </pic:cNvPicPr>
                  </pic:nvPicPr>
                  <pic:blipFill>
                    <a:blip r:embed="rId55"/>
                    <a:stretch>
                      <a:fillRect/>
                    </a:stretch>
                  </pic:blipFill>
                  <pic:spPr>
                    <a:xfrm>
                      <a:off x="0" y="0"/>
                      <a:ext cx="5274310" cy="3139440"/>
                    </a:xfrm>
                    <a:prstGeom prst="rect">
                      <a:avLst/>
                    </a:prstGeom>
                  </pic:spPr>
                </pic:pic>
              </a:graphicData>
            </a:graphic>
          </wp:inline>
        </w:drawing>
      </w:r>
    </w:p>
    <w:p w14:paraId="6DA86613">
      <w:pPr>
        <w:pStyle w:val="33"/>
      </w:pPr>
      <w:r>
        <w:t xml:space="preserve">图 </w:t>
      </w:r>
      <w:r>
        <w:fldChar w:fldCharType="begin"/>
      </w:r>
      <w:r>
        <w:instrText xml:space="preserve"> STYLEREF 1 \s </w:instrText>
      </w:r>
      <w:r>
        <w:fldChar w:fldCharType="separate"/>
      </w:r>
      <w:r>
        <w:t>3</w:t>
      </w:r>
      <w:r>
        <w:fldChar w:fldCharType="end"/>
      </w:r>
      <w:r>
        <w:t>.</w:t>
      </w:r>
      <w:r>
        <w:fldChar w:fldCharType="begin"/>
      </w:r>
      <w:r>
        <w:instrText xml:space="preserve"> SEQ 图 \* ARABIC \s 1 </w:instrText>
      </w:r>
      <w:r>
        <w:fldChar w:fldCharType="separate"/>
      </w:r>
      <w:r>
        <w:t>42</w:t>
      </w:r>
      <w:r>
        <w:fldChar w:fldCharType="end"/>
      </w:r>
      <w:r>
        <w:t>代表性算法误差—耗时对比</w:t>
      </w:r>
    </w:p>
    <w:p w14:paraId="7060E3BB">
      <w:pPr>
        <w:ind w:firstLine="420"/>
      </w:pPr>
      <w:r>
        <w:t>由各算法实验结果对比可知，五种算法的五个测温点平均相对误差均小于10%，且厚度误差均小于5%，说明各算法均满足本测试场景的反演精度要求。其中，粒子群（PSO+CG）算法的平均相对误差最低，为2.821%，贝叶斯优化（BO+FD）算法次之，为3.804%，两种待验证算法的温度反演精度均优于共轭梯度法、灵敏度法和最速下降法。粒子群（PSO+CG）算法和贝叶斯优化（BO+FD）算法的厚度误差仅为0.575%，只略高于共轭梯度法的0.450%，同样具有较高的厚度反演精度。</w:t>
      </w:r>
    </w:p>
    <w:p w14:paraId="500D6E73">
      <w:r>
        <w:t>在运行效率方面，粒子群（PSO+CG）算法的总运行时间最短，为10.10s；贝叶斯优化（BO+FD）算法的总运行时间为11.06s，二者均低于共轭梯度法的18.67s、灵敏度法的11.10s和最速下降法的12.44s，满足待验证算法运行时间低于三种经典对照算法的效率判定条件，算法效率更高。</w:t>
      </w:r>
    </w:p>
    <w:p w14:paraId="2E5312D0">
      <w:pPr>
        <w:pStyle w:val="5"/>
      </w:pPr>
      <w:bookmarkStart w:id="87" w:name="_Ref235899862"/>
      <w:bookmarkStart w:id="88" w:name="_Toc235910463"/>
      <w:r>
        <w:t>程序实现、模块接口及研究结果</w:t>
      </w:r>
      <w:bookmarkEnd w:id="87"/>
      <w:bookmarkEnd w:id="88"/>
    </w:p>
    <w:p w14:paraId="440571A8">
      <w:pPr>
        <w:pStyle w:val="6"/>
      </w:pPr>
      <w:r>
        <w:t>GUI任务配置和结果输出</w:t>
      </w:r>
    </w:p>
    <w:p w14:paraId="1FE6076F">
      <w:pPr>
        <w:pStyle w:val="3"/>
      </w:pPr>
      <w:r>
        <w:rPr>
          <w:rFonts w:hint="eastAsia"/>
        </w:rPr>
        <w:t>温度场反演系统为面向反演问题的桌面端图形用户界面（GUI），旨在通过超声波飞行时间（Time-of-Flight, TOF）等观测数据，对未知温度场与边界热流分布进行定量重建。系统采用模块化工作流设计，将反演求解的全过程解耦为材料选择、算法选择、工况配置、数据与输出、运行日志五个有序步骤，形成从参数设定到结果评估的闭环操作流程。界面整体采用左右分栏布局，左侧为流程导航栏并实时标注执行进度，右侧为对应步骤的配置主区域，顶部设操作控制条以触发反演启动、终止及日志清理等功能。</w:t>
      </w:r>
    </w:p>
    <w:p w14:paraId="56B7F927">
      <w:pPr>
        <w:pStyle w:val="3"/>
      </w:pPr>
      <w:r>
        <w:rPr>
          <w:rFonts w:hint="eastAsia"/>
        </w:rPr>
        <w:t>在材料选择模块中，系统提供三类热力学模型选项：W30Mo70各向异性材料（正交各向异性本构模型）、金属基各向同性材料（各向同性本构模型），以及钨钼合金多层材料。当前选中的各向异性材料适用于需考虑材料方向导热差异的复杂传热场景。算法选择模块集成两种混合优化策略，即PSO+CG（粒子群优化+共轭梯度法）与BO+FD（粒子优化 + 有限差分法），两者均采用全局搜索与局部精修相结合的两阶段求解框架，以兼顾寻优的全局性与收敛精度。</w:t>
      </w:r>
    </w:p>
    <w:p w14:paraId="6ADE201C">
      <w:pPr>
        <w:pStyle w:val="3"/>
      </w:pPr>
      <w:r>
        <w:rPr>
          <w:rFonts w:hint="eastAsia"/>
        </w:rPr>
        <w:t>工况配置模块通过四组互斥参数对反演场景进行组合定义，涵盖温度过程（稳态/瞬态）、厚度处理（固定厚度/联合反演）、热流模型（一维/二维）及观测约束（仅TOF/TOF +衰减）四个维度，可组合形成16种标准反演工况。</w:t>
      </w:r>
    </w:p>
    <w:p w14:paraId="6682D54B">
      <w:pPr>
        <w:pStyle w:val="3"/>
      </w:pPr>
      <w:r>
        <w:rPr>
          <w:rFonts w:hint="eastAsia"/>
        </w:rPr>
        <w:t>数据与输出模块具有高度的路径配置自由度。用户可指定工况数据目录以读入CSV数据文件，并指定结果保存目录以存储反演结果；若未显式指定结果保存目录，系统将在GUI所在文件夹下自动生成result文件夹作为默认输出路径。结果保存目录确定后，系统将依据所选算法自动创建PSO+CG与BO+FD两个结果子文件夹，并根据当前工况配置在对应子文件夹中进一步生成工况专属的结果目录，实现反演结果的分类归档与结构化管理。</w:t>
      </w:r>
    </w:p>
    <w:p w14:paraId="443D99A7">
      <w:pPr>
        <w:pStyle w:val="3"/>
      </w:pPr>
      <w:r>
        <w:rPr>
          <w:rFonts w:hint="eastAsia"/>
        </w:rPr>
        <w:t>运行日志模块记录反演执行的配置摘要，并实时展示运行过程中的具体流程日志，包括正演计算、优化迭代及收敛判定等关键环节的状态信息，为用户监控反演进程与诊断异常提供可视化依据。</w:t>
      </w:r>
    </w:p>
    <w:p w14:paraId="0A3C7BBB">
      <w:pPr>
        <w:pStyle w:val="3"/>
        <w:ind w:firstLine="0" w:firstLineChars="0"/>
        <w:jc w:val="center"/>
      </w:pPr>
      <w:r>
        <w:drawing>
          <wp:inline distT="0" distB="0" distL="0" distR="0">
            <wp:extent cx="4040505" cy="2139315"/>
            <wp:effectExtent l="0" t="0" r="0" b="0"/>
            <wp:docPr id="18316491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49150" name="图片 2"/>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040817" cy="2139504"/>
                    </a:xfrm>
                    <a:prstGeom prst="rect">
                      <a:avLst/>
                    </a:prstGeom>
                    <a:noFill/>
                  </pic:spPr>
                </pic:pic>
              </a:graphicData>
            </a:graphic>
          </wp:inline>
        </w:drawing>
      </w:r>
    </w:p>
    <w:p w14:paraId="4D63632A">
      <w:pPr>
        <w:pStyle w:val="33"/>
        <w:rPr>
          <w:rFonts w:cs="Times New Roman"/>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43</w:t>
      </w:r>
      <w:r>
        <w:fldChar w:fldCharType="end"/>
      </w:r>
      <w:r>
        <w:rPr>
          <w:rFonts w:hint="eastAsia"/>
        </w:rPr>
        <w:t xml:space="preserve"> GUI界面图</w:t>
      </w:r>
    </w:p>
    <w:p w14:paraId="78E01EDE">
      <w:pPr>
        <w:pStyle w:val="3"/>
        <w:ind w:firstLine="0" w:firstLineChars="0"/>
        <w:jc w:val="center"/>
      </w:pPr>
    </w:p>
    <w:p w14:paraId="490D17F8">
      <w:pPr>
        <w:pStyle w:val="6"/>
      </w:pPr>
      <w:r>
        <w:t>Windows运行及Fortran程序接口</w:t>
      </w:r>
    </w:p>
    <w:p w14:paraId="165D5F89">
      <w:pPr>
        <w:pStyle w:val="3"/>
      </w:pPr>
      <w:r>
        <w:t>测试计算机安装的是Windows操作系统</w:t>
      </w:r>
      <w:r>
        <w:rPr>
          <w:rFonts w:hint="eastAsia"/>
        </w:rPr>
        <w:t>，如</w:t>
      </w:r>
      <w:r>
        <w:fldChar w:fldCharType="begin"/>
      </w:r>
      <w:r>
        <w:instrText xml:space="preserve"> </w:instrText>
      </w:r>
      <w:r>
        <w:rPr>
          <w:rFonts w:hint="eastAsia"/>
        </w:rPr>
        <w:instrText xml:space="preserve">REF _Ref235029384 \h</w:instrText>
      </w:r>
      <w:r>
        <w:instrText xml:space="preserve"> </w:instrText>
      </w:r>
      <w:r>
        <w:fldChar w:fldCharType="separate"/>
      </w:r>
      <w:r>
        <w:rPr>
          <w:rFonts w:hint="eastAsia"/>
        </w:rPr>
        <w:t xml:space="preserve">图 </w:t>
      </w:r>
      <w:r>
        <w:t>3.44</w:t>
      </w:r>
      <w:r>
        <w:fldChar w:fldCharType="end"/>
      </w:r>
      <w:r>
        <w:t>，Python反演程序及Fortran反演程序可以在该计算机上正常运行并输出结果。</w:t>
      </w:r>
    </w:p>
    <w:p w14:paraId="1726C777">
      <w:pPr>
        <w:pStyle w:val="33"/>
      </w:pPr>
      <w:r>
        <w:drawing>
          <wp:inline distT="0" distB="0" distL="0" distR="0">
            <wp:extent cx="4089400" cy="1448435"/>
            <wp:effectExtent l="0" t="0" r="6350" b="0"/>
            <wp:docPr id="116015253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52533" name="图片 4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4100349" cy="1452528"/>
                    </a:xfrm>
                    <a:prstGeom prst="rect">
                      <a:avLst/>
                    </a:prstGeom>
                    <a:noFill/>
                    <a:ln>
                      <a:noFill/>
                    </a:ln>
                  </pic:spPr>
                </pic:pic>
              </a:graphicData>
            </a:graphic>
          </wp:inline>
        </w:drawing>
      </w:r>
    </w:p>
    <w:p w14:paraId="45BED8A7">
      <w:pPr>
        <w:pStyle w:val="33"/>
      </w:pPr>
      <w:bookmarkStart w:id="89" w:name="_Ref235029384"/>
      <w:bookmarkStart w:id="90" w:name="_Ref23504378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44</w:t>
      </w:r>
      <w:r>
        <w:fldChar w:fldCharType="end"/>
      </w:r>
      <w:bookmarkEnd w:id="89"/>
      <w:r>
        <w:rPr>
          <w:rFonts w:hint="eastAsia"/>
        </w:rPr>
        <w:t xml:space="preserve"> Windows版本图</w:t>
      </w:r>
      <w:bookmarkEnd w:id="90"/>
    </w:p>
    <w:p w14:paraId="458A4FE4">
      <w:pPr>
        <w:ind w:firstLine="420"/>
      </w:pPr>
      <w:r>
        <w:t>温度场正问题由Fortran文件thermal_solver_f90.f90中的solve_steady_temperature_f90 函数完成。该函数接收底面热流密度、计算网格、温度边界条件和迭代参数，计算稳态温度场，并返回温度场、收敛状态、迭代次数和状态码。</w:t>
      </w:r>
    </w:p>
    <w:p w14:paraId="6627B3C5">
      <w:pPr>
        <w:ind w:firstLine="420"/>
      </w:pPr>
      <w:r>
        <w:t>Python接口文件thermal_fortran_wrapper.py中的solve_steady_temperature_f90_backend函数负责调用Fortran程序。该函数将Python中的底面热流数组转换为Fortran双精度连续数组，然后通过编译后的thermal_solver_f90模块调用Fortran函数solve_steady_temperature_f90，并接收Fortran返回的计算结果。</w:t>
      </w:r>
    </w:p>
    <w:p w14:paraId="1C287385">
      <w:pPr>
        <w:ind w:firstLine="420"/>
      </w:pPr>
      <w:r>
        <w:t>主反演程序首先从接口文件中导入solve_steady_temperature_f90_backend。在主程序求解热学方程的函数中，直接调用solve_steady_temperature_f90_backend，将底面热流、网格参数、温度参数、对流换热系数和迭代参数传递给接口。</w:t>
      </w:r>
    </w:p>
    <w:p w14:paraId="56E47ED2">
      <w:pPr>
        <w:pStyle w:val="33"/>
      </w:pPr>
      <w:r>
        <w:t xml:space="preserve">表 </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27</w:t>
      </w:r>
      <w:r>
        <w:fldChar w:fldCharType="end"/>
      </w:r>
      <w:r>
        <w:t>程序分层与模块接口</w:t>
      </w:r>
    </w:p>
    <w:tbl>
      <w:tblPr>
        <w:tblStyle w:val="21"/>
        <w:tblW w:w="88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4763"/>
        <w:gridCol w:w="2352"/>
      </w:tblGrid>
      <w:tr w14:paraId="1A8E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tcMar>
              <w:top w:w="110" w:type="dxa"/>
              <w:left w:w="100" w:type="dxa"/>
              <w:bottom w:w="110" w:type="dxa"/>
              <w:right w:w="100" w:type="dxa"/>
            </w:tcMar>
            <w:vAlign w:val="center"/>
          </w:tcPr>
          <w:p w14:paraId="16E21F66">
            <w:r>
              <w:t>层级</w:t>
            </w:r>
          </w:p>
        </w:tc>
        <w:tc>
          <w:tcPr>
            <w:tcW w:w="4763" w:type="dxa"/>
            <w:tcMar>
              <w:top w:w="110" w:type="dxa"/>
              <w:left w:w="100" w:type="dxa"/>
              <w:bottom w:w="110" w:type="dxa"/>
              <w:right w:w="100" w:type="dxa"/>
            </w:tcMar>
            <w:vAlign w:val="center"/>
          </w:tcPr>
          <w:p w14:paraId="7BDB4F1D">
            <w:r>
              <w:t>主要职责</w:t>
            </w:r>
          </w:p>
        </w:tc>
        <w:tc>
          <w:tcPr>
            <w:tcW w:w="2352" w:type="dxa"/>
            <w:tcMar>
              <w:top w:w="110" w:type="dxa"/>
              <w:left w:w="100" w:type="dxa"/>
              <w:bottom w:w="110" w:type="dxa"/>
              <w:right w:w="100" w:type="dxa"/>
            </w:tcMar>
            <w:vAlign w:val="center"/>
          </w:tcPr>
          <w:p w14:paraId="2776FB2E">
            <w:r>
              <w:t>典型文件/输出</w:t>
            </w:r>
          </w:p>
        </w:tc>
      </w:tr>
      <w:tr w14:paraId="57A36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5" w:type="dxa"/>
              <w:left w:w="110" w:type="dxa"/>
              <w:bottom w:w="95" w:type="dxa"/>
              <w:right w:w="110" w:type="dxa"/>
            </w:tcMar>
            <w:vAlign w:val="center"/>
          </w:tcPr>
          <w:p w14:paraId="7636A32C">
            <w:r>
              <w:t>GUI任务层</w:t>
            </w:r>
          </w:p>
        </w:tc>
        <w:tc>
          <w:tcPr>
            <w:tcW w:w="4763" w:type="dxa"/>
            <w:tcMar>
              <w:top w:w="95" w:type="dxa"/>
              <w:left w:w="110" w:type="dxa"/>
              <w:bottom w:w="95" w:type="dxa"/>
              <w:right w:w="110" w:type="dxa"/>
            </w:tcMar>
            <w:vAlign w:val="center"/>
          </w:tcPr>
          <w:p w14:paraId="291EB543">
            <w:r>
              <w:t>选择材料、算法、稳态/瞬态、固定/联合厚度、一维/二维、TOF/衰减，配置数据与结果目录</w:t>
            </w:r>
          </w:p>
        </w:tc>
        <w:tc>
          <w:tcPr>
            <w:tcW w:w="2352" w:type="dxa"/>
            <w:tcMar>
              <w:top w:w="95" w:type="dxa"/>
              <w:left w:w="110" w:type="dxa"/>
              <w:bottom w:w="95" w:type="dxa"/>
              <w:right w:w="110" w:type="dxa"/>
            </w:tcMar>
            <w:vAlign w:val="center"/>
          </w:tcPr>
          <w:p w14:paraId="1A1CA2EF">
            <w:r>
              <w:t>配置摘要、运行日志、任务状态</w:t>
            </w:r>
          </w:p>
        </w:tc>
      </w:tr>
      <w:tr w14:paraId="0A76D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5" w:type="dxa"/>
              <w:left w:w="110" w:type="dxa"/>
              <w:bottom w:w="95" w:type="dxa"/>
              <w:right w:w="110" w:type="dxa"/>
            </w:tcMar>
            <w:vAlign w:val="center"/>
          </w:tcPr>
          <w:p w14:paraId="3356CB46">
            <w:r>
              <w:t>Python反演层</w:t>
            </w:r>
          </w:p>
        </w:tc>
        <w:tc>
          <w:tcPr>
            <w:tcW w:w="4763" w:type="dxa"/>
            <w:tcMar>
              <w:top w:w="95" w:type="dxa"/>
              <w:left w:w="110" w:type="dxa"/>
              <w:bottom w:w="95" w:type="dxa"/>
              <w:right w:w="110" w:type="dxa"/>
            </w:tcMar>
            <w:vAlign w:val="center"/>
          </w:tcPr>
          <w:p w14:paraId="23C0FF6B">
            <w:r>
              <w:t>读取CSV，构造参数，调用正演，计算声学特征与目标函数，执行BO+FD或PSO+CG</w:t>
            </w:r>
          </w:p>
        </w:tc>
        <w:tc>
          <w:tcPr>
            <w:tcW w:w="2352" w:type="dxa"/>
            <w:tcMar>
              <w:top w:w="95" w:type="dxa"/>
              <w:left w:w="110" w:type="dxa"/>
              <w:bottom w:w="95" w:type="dxa"/>
              <w:right w:w="110" w:type="dxa"/>
            </w:tcMar>
            <w:vAlign w:val="center"/>
          </w:tcPr>
          <w:p w14:paraId="3E136E2F">
            <w:r>
              <w:t>主反演脚本、优化历史CSV/JSON</w:t>
            </w:r>
          </w:p>
        </w:tc>
      </w:tr>
      <w:tr w14:paraId="75E65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5" w:type="dxa"/>
              <w:left w:w="110" w:type="dxa"/>
              <w:bottom w:w="95" w:type="dxa"/>
              <w:right w:w="110" w:type="dxa"/>
            </w:tcMar>
            <w:vAlign w:val="center"/>
          </w:tcPr>
          <w:p w14:paraId="0B4C051C">
            <w:r>
              <w:t>Fortran热学层</w:t>
            </w:r>
          </w:p>
        </w:tc>
        <w:tc>
          <w:tcPr>
            <w:tcW w:w="4763" w:type="dxa"/>
            <w:tcMar>
              <w:top w:w="95" w:type="dxa"/>
              <w:left w:w="110" w:type="dxa"/>
              <w:bottom w:w="95" w:type="dxa"/>
              <w:right w:w="110" w:type="dxa"/>
            </w:tcMar>
            <w:vAlign w:val="center"/>
          </w:tcPr>
          <w:p w14:paraId="7E6CA87C">
            <w:r>
              <w:t>求解非线性稳态或瞬态热传导方程并返回状态码</w:t>
            </w:r>
          </w:p>
        </w:tc>
        <w:tc>
          <w:tcPr>
            <w:tcW w:w="2352" w:type="dxa"/>
            <w:tcMar>
              <w:top w:w="95" w:type="dxa"/>
              <w:left w:w="110" w:type="dxa"/>
              <w:bottom w:w="95" w:type="dxa"/>
              <w:right w:w="110" w:type="dxa"/>
            </w:tcMar>
            <w:vAlign w:val="center"/>
          </w:tcPr>
          <w:p w14:paraId="2988886C">
            <w:r>
              <w:t>thermal_solver_f90.f90、编译扩展</w:t>
            </w:r>
          </w:p>
        </w:tc>
      </w:tr>
      <w:tr w14:paraId="2D64B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5" w:type="dxa"/>
              <w:left w:w="110" w:type="dxa"/>
              <w:bottom w:w="95" w:type="dxa"/>
              <w:right w:w="110" w:type="dxa"/>
            </w:tcMar>
            <w:vAlign w:val="center"/>
          </w:tcPr>
          <w:p w14:paraId="207C2664">
            <w:r>
              <w:t>结果与接口层</w:t>
            </w:r>
          </w:p>
        </w:tc>
        <w:tc>
          <w:tcPr>
            <w:tcW w:w="4763" w:type="dxa"/>
            <w:tcMar>
              <w:top w:w="95" w:type="dxa"/>
              <w:left w:w="110" w:type="dxa"/>
              <w:bottom w:w="95" w:type="dxa"/>
              <w:right w:w="110" w:type="dxa"/>
            </w:tcMar>
            <w:vAlign w:val="center"/>
          </w:tcPr>
          <w:p w14:paraId="55D99F5F">
            <w:r>
              <w:t>保存温度场、热流、厚度、TOF/幅值拟合、声线路径、五点误差和收敛历史</w:t>
            </w:r>
          </w:p>
        </w:tc>
        <w:tc>
          <w:tcPr>
            <w:tcW w:w="2352" w:type="dxa"/>
            <w:tcMar>
              <w:top w:w="95" w:type="dxa"/>
              <w:left w:w="110" w:type="dxa"/>
              <w:bottom w:w="95" w:type="dxa"/>
              <w:right w:w="110" w:type="dxa"/>
            </w:tcMar>
            <w:vAlign w:val="center"/>
          </w:tcPr>
          <w:p w14:paraId="18C3DF93">
            <w:r>
              <w:t>CSV、JSON、NPY/NPZ、PNG</w:t>
            </w:r>
          </w:p>
        </w:tc>
      </w:tr>
    </w:tbl>
    <w:p w14:paraId="0C0BFB77">
      <w:pPr>
        <w:pStyle w:val="4"/>
      </w:pPr>
      <w:bookmarkStart w:id="91" w:name="_Toc235910464"/>
      <w:r>
        <w:t>基于人工智能的温度场反演方法研究情况</w:t>
      </w:r>
      <w:bookmarkEnd w:id="91"/>
    </w:p>
    <w:p w14:paraId="42BACB30">
      <w:pPr>
        <w:pStyle w:val="33"/>
      </w:pP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t>3</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t>28</w:t>
      </w:r>
      <w:r>
        <w:rPr>
          <w:rFonts w:hint="eastAsia"/>
        </w:rPr>
        <w:fldChar w:fldCharType="end"/>
      </w:r>
      <w:r>
        <w:rPr>
          <w:rFonts w:hint="eastAsia"/>
        </w:rPr>
        <w:t>模块三技术指标对比表</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456"/>
        <w:gridCol w:w="2428"/>
        <w:gridCol w:w="4824"/>
        <w:gridCol w:w="556"/>
      </w:tblGrid>
      <w:tr w14:paraId="625B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vAlign w:val="center"/>
          </w:tcPr>
          <w:p w14:paraId="6203912A">
            <w:pPr>
              <w:pStyle w:val="33"/>
            </w:pPr>
            <w:r>
              <w:rPr>
                <w:rFonts w:hint="eastAsia"/>
              </w:rPr>
              <w:t>模块三</w:t>
            </w:r>
          </w:p>
        </w:tc>
        <w:tc>
          <w:tcPr>
            <w:tcW w:w="456" w:type="dxa"/>
            <w:vMerge w:val="restart"/>
            <w:vAlign w:val="center"/>
          </w:tcPr>
          <w:p w14:paraId="3DE4D0AC">
            <w:pPr>
              <w:pStyle w:val="33"/>
            </w:pPr>
            <w:r>
              <w:rPr>
                <w:rFonts w:hint="eastAsia"/>
              </w:rPr>
              <w:t>功能要求</w:t>
            </w:r>
          </w:p>
        </w:tc>
        <w:tc>
          <w:tcPr>
            <w:tcW w:w="3706" w:type="dxa"/>
            <w:vAlign w:val="center"/>
          </w:tcPr>
          <w:p w14:paraId="0E263D37">
            <w:pPr>
              <w:pStyle w:val="33"/>
            </w:pPr>
            <w:r>
              <w:t>(1)基于声学参数及多参数提取结果，构建AI驱动的温度场重构模型</w:t>
            </w:r>
          </w:p>
        </w:tc>
        <w:tc>
          <w:tcPr>
            <w:tcW w:w="8080" w:type="dxa"/>
            <w:vAlign w:val="center"/>
          </w:tcPr>
          <w:p w14:paraId="6C071B94">
            <w:pPr>
              <w:pStyle w:val="33"/>
            </w:pPr>
            <w:r>
              <w:t>项目在模块一声时</w:t>
            </w:r>
            <w:r>
              <w:rPr>
                <w:rFonts w:hint="eastAsia"/>
              </w:rPr>
              <w:t>信息等</w:t>
            </w:r>
            <w:r>
              <w:t>特征分析的基础上，构建了AI温度场重构模型。实际交付模型以预处理后的超声波形张量作为直接输入，由网络自动联合编码声时、</w:t>
            </w:r>
            <w:r>
              <w:rPr>
                <w:rFonts w:hint="eastAsia"/>
              </w:rPr>
              <w:t>材料信息</w:t>
            </w:r>
            <w:r>
              <w:t>等多参数信息，建立超声响应与温度场之间的非线性映射，输出完整二维温度场，并可从固定中心线提取一维温度分布。模型已完成训练、权重保存、预测和结果可视化，形成可调用的模型checkpoint。一维稳态、瞬态温度场误差分别为0.7221%和3.3637%，二维稳态、瞬态温度场误差分别为0.7095%和3.3221%，均低于10%，表明AI驱动温度场重构模型已构建并通过测试，本项指标达到要求。</w:t>
            </w:r>
            <w:r>
              <w:rPr>
                <w:rFonts w:hint="eastAsia"/>
              </w:rPr>
              <w:t>(</w:t>
            </w:r>
            <w:r>
              <w:fldChar w:fldCharType="begin"/>
            </w:r>
            <w:r>
              <w:instrText xml:space="preserve"> </w:instrText>
            </w:r>
            <w:r>
              <w:rPr>
                <w:rFonts w:hint="eastAsia"/>
              </w:rPr>
              <w:instrText xml:space="preserve">REF _Ref235904286 \r \h</w:instrText>
            </w:r>
            <w:r>
              <w:instrText xml:space="preserve"> </w:instrText>
            </w:r>
            <w:r>
              <w:fldChar w:fldCharType="separate"/>
            </w:r>
            <w:r>
              <w:t>3.4.2</w:t>
            </w:r>
            <w:r>
              <w:fldChar w:fldCharType="end"/>
            </w:r>
            <w:r>
              <w:rPr>
                <w:rFonts w:hint="eastAsia"/>
              </w:rPr>
              <w:t xml:space="preserve">, </w:t>
            </w:r>
            <w:r>
              <w:fldChar w:fldCharType="begin"/>
            </w:r>
            <w:r>
              <w:instrText xml:space="preserve"> </w:instrText>
            </w:r>
            <w:r>
              <w:rPr>
                <w:rFonts w:hint="eastAsia"/>
              </w:rPr>
              <w:instrText xml:space="preserve">REF _Ref235904306 \r \h</w:instrText>
            </w:r>
            <w:r>
              <w:instrText xml:space="preserve"> </w:instrText>
            </w:r>
            <w:r>
              <w:fldChar w:fldCharType="separate"/>
            </w:r>
            <w:r>
              <w:t>3.4.4.2</w:t>
            </w:r>
            <w:r>
              <w:fldChar w:fldCharType="end"/>
            </w:r>
            <w:r>
              <w:rPr>
                <w:rFonts w:hint="eastAsia"/>
              </w:rPr>
              <w:t xml:space="preserve">, </w:t>
            </w:r>
            <w:r>
              <w:fldChar w:fldCharType="begin"/>
            </w:r>
            <w:r>
              <w:instrText xml:space="preserve"> </w:instrText>
            </w:r>
            <w:r>
              <w:rPr>
                <w:rFonts w:hint="eastAsia"/>
              </w:rPr>
              <w:instrText xml:space="preserve">REF _Ref235904328 \r \h</w:instrText>
            </w:r>
            <w:r>
              <w:instrText xml:space="preserve"> </w:instrText>
            </w:r>
            <w:r>
              <w:fldChar w:fldCharType="separate"/>
            </w:r>
            <w:r>
              <w:t>3.4.5.1</w:t>
            </w:r>
            <w:r>
              <w:fldChar w:fldCharType="end"/>
            </w:r>
            <w:r>
              <w:rPr>
                <w:rFonts w:hint="eastAsia"/>
              </w:rPr>
              <w:t xml:space="preserve">, </w:t>
            </w:r>
            <w:r>
              <w:fldChar w:fldCharType="begin"/>
            </w:r>
            <w:r>
              <w:instrText xml:space="preserve"> </w:instrText>
            </w:r>
            <w:r>
              <w:rPr>
                <w:rFonts w:hint="eastAsia"/>
              </w:rPr>
              <w:instrText xml:space="preserve">REF _Ref235904335 \r \h</w:instrText>
            </w:r>
            <w:r>
              <w:instrText xml:space="preserve"> </w:instrText>
            </w:r>
            <w:r>
              <w:fldChar w:fldCharType="separate"/>
            </w:r>
            <w:r>
              <w:t>3.4.5.2</w:t>
            </w:r>
            <w:r>
              <w:fldChar w:fldCharType="end"/>
            </w:r>
            <w:r>
              <w:rPr>
                <w:rFonts w:hint="eastAsia"/>
              </w:rPr>
              <w:t xml:space="preserve">, </w:t>
            </w:r>
            <w:r>
              <w:fldChar w:fldCharType="begin"/>
            </w:r>
            <w:r>
              <w:instrText xml:space="preserve"> </w:instrText>
            </w:r>
            <w:r>
              <w:rPr>
                <w:rFonts w:hint="eastAsia"/>
              </w:rPr>
              <w:instrText xml:space="preserve">REF _Ref235904756 \h</w:instrText>
            </w:r>
            <w:r>
              <w:instrText xml:space="preserve"> </w:instrText>
            </w:r>
            <w:r>
              <w:fldChar w:fldCharType="separate"/>
            </w:r>
            <w:r>
              <w:rPr>
                <w:rFonts w:hint="eastAsia"/>
              </w:rPr>
              <w:t xml:space="preserve">图 </w:t>
            </w:r>
            <w:r>
              <w:t>3.46</w:t>
            </w:r>
            <w:r>
              <w:fldChar w:fldCharType="end"/>
            </w:r>
            <w:r>
              <w:rPr>
                <w:rFonts w:hint="eastAsia"/>
              </w:rPr>
              <w:t xml:space="preserve">, </w:t>
            </w:r>
            <w:r>
              <w:fldChar w:fldCharType="begin"/>
            </w:r>
            <w:r>
              <w:instrText xml:space="preserve"> </w:instrText>
            </w:r>
            <w:r>
              <w:rPr>
                <w:rFonts w:hint="eastAsia"/>
              </w:rPr>
              <w:instrText xml:space="preserve">REF _Ref235904613 \h</w:instrText>
            </w:r>
            <w:r>
              <w:instrText xml:space="preserve"> </w:instrText>
            </w:r>
            <w:r>
              <w:fldChar w:fldCharType="separate"/>
            </w:r>
            <w:r>
              <w:rPr>
                <w:rFonts w:hint="eastAsia"/>
              </w:rPr>
              <w:t xml:space="preserve">图 </w:t>
            </w:r>
            <w:r>
              <w:t>3.52</w:t>
            </w:r>
            <w:r>
              <w:fldChar w:fldCharType="end"/>
            </w:r>
            <w:r>
              <w:rPr>
                <w:rFonts w:hint="eastAsia"/>
              </w:rPr>
              <w:t xml:space="preserve">, </w:t>
            </w:r>
            <w:r>
              <w:fldChar w:fldCharType="begin"/>
            </w:r>
            <w:r>
              <w:instrText xml:space="preserve"> </w:instrText>
            </w:r>
            <w:r>
              <w:rPr>
                <w:rFonts w:hint="eastAsia"/>
              </w:rPr>
              <w:instrText xml:space="preserve">REF _Ref235904618 \h</w:instrText>
            </w:r>
            <w:r>
              <w:instrText xml:space="preserve"> </w:instrText>
            </w:r>
            <w:r>
              <w:fldChar w:fldCharType="separate"/>
            </w:r>
            <w:r>
              <w:rPr>
                <w:rFonts w:hint="eastAsia"/>
              </w:rPr>
              <w:t xml:space="preserve">图 </w:t>
            </w:r>
            <w:r>
              <w:t>3.53</w:t>
            </w:r>
            <w:r>
              <w:fldChar w:fldCharType="end"/>
            </w:r>
            <w:r>
              <w:rPr>
                <w:rFonts w:hint="eastAsia"/>
              </w:rPr>
              <w:t xml:space="preserve">, </w:t>
            </w:r>
            <w:r>
              <w:fldChar w:fldCharType="begin"/>
            </w:r>
            <w:r>
              <w:instrText xml:space="preserve"> </w:instrText>
            </w:r>
            <w:r>
              <w:rPr>
                <w:rFonts w:hint="eastAsia"/>
              </w:rPr>
              <w:instrText xml:space="preserve">REF _Ref235904623 \h</w:instrText>
            </w:r>
            <w:r>
              <w:instrText xml:space="preserve"> </w:instrText>
            </w:r>
            <w:r>
              <w:fldChar w:fldCharType="separate"/>
            </w:r>
            <w:r>
              <w:rPr>
                <w:rFonts w:hint="eastAsia"/>
              </w:rPr>
              <w:t xml:space="preserve">图 </w:t>
            </w:r>
            <w:r>
              <w:t>3.54</w:t>
            </w:r>
            <w:r>
              <w:fldChar w:fldCharType="end"/>
            </w:r>
            <w:r>
              <w:rPr>
                <w:rFonts w:hint="eastAsia"/>
              </w:rPr>
              <w:t>)</w:t>
            </w:r>
          </w:p>
        </w:tc>
        <w:tc>
          <w:tcPr>
            <w:tcW w:w="653" w:type="dxa"/>
            <w:vAlign w:val="center"/>
          </w:tcPr>
          <w:p w14:paraId="67B9EA3C">
            <w:pPr>
              <w:pStyle w:val="33"/>
            </w:pPr>
            <w:r>
              <w:rPr>
                <w:rFonts w:hint="eastAsia"/>
              </w:rPr>
              <w:t>完成</w:t>
            </w:r>
          </w:p>
        </w:tc>
      </w:tr>
      <w:tr w14:paraId="280D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7AE6BACB">
            <w:pPr>
              <w:pStyle w:val="33"/>
            </w:pPr>
          </w:p>
        </w:tc>
        <w:tc>
          <w:tcPr>
            <w:tcW w:w="456" w:type="dxa"/>
            <w:vMerge w:val="continue"/>
            <w:vAlign w:val="center"/>
          </w:tcPr>
          <w:p w14:paraId="009903A6">
            <w:pPr>
              <w:pStyle w:val="33"/>
            </w:pPr>
          </w:p>
        </w:tc>
        <w:tc>
          <w:tcPr>
            <w:tcW w:w="3706" w:type="dxa"/>
            <w:vAlign w:val="center"/>
          </w:tcPr>
          <w:p w14:paraId="092D9B33">
            <w:pPr>
              <w:pStyle w:val="33"/>
            </w:pPr>
            <w:r>
              <w:t>(2)构建三种材料的仿真训练集，三种材料任选其一构建实验测试集，构建温度–声学参数数据库，涵盖仿真与实验数据，至少包括1000组仿真波形和20组实验采集，温度覆盖室温至1500K</w:t>
            </w:r>
          </w:p>
        </w:tc>
        <w:tc>
          <w:tcPr>
            <w:tcW w:w="8080" w:type="dxa"/>
            <w:vAlign w:val="center"/>
          </w:tcPr>
          <w:p w14:paraId="35A7A73B">
            <w:pPr>
              <w:pStyle w:val="33"/>
            </w:pPr>
            <w:r>
              <w:t>项目分别针对两层W30Mo70多层材料、W基体/SiC纤维金属基复合材料和SiC纤维/CVI-SiC基体硅基复合材料建立仿真训练集，每类材料包含多组“超声波形—温度场”配对样本，其中W30Mo70多层材料1000条，W基体/SiC纤维金属基复合材料200条，SiC纤维/CVI-SiC基体硅基复合材料200条，合计1400条。实验测试集选用两层W30Mo70多层材料构建，收录实验采集波形55组。温度—声学参数数据库统一记录材料类型、稳态/瞬态工况、温度值、超声波形、及对应温度场路径，能够实现仿真数据和实验数据的分类存储与追溯。数据库温度范围覆盖室温至1500 K，仿真样本数量1400条，实验样本数量55组，本项指标达到并部分超过要求。</w:t>
            </w:r>
            <w:r>
              <w:rPr>
                <w:rFonts w:hint="eastAsia"/>
              </w:rPr>
              <w:t>(</w:t>
            </w:r>
            <w:r>
              <w:fldChar w:fldCharType="begin"/>
            </w:r>
            <w:r>
              <w:instrText xml:space="preserve"> </w:instrText>
            </w:r>
            <w:r>
              <w:rPr>
                <w:rFonts w:hint="eastAsia"/>
              </w:rPr>
              <w:instrText xml:space="preserve">REF _Ref235904351 \r \h</w:instrText>
            </w:r>
            <w:r>
              <w:instrText xml:space="preserve"> </w:instrText>
            </w:r>
            <w:r>
              <w:fldChar w:fldCharType="separate"/>
            </w:r>
            <w:r>
              <w:t>3.4.3</w:t>
            </w:r>
            <w:r>
              <w:fldChar w:fldCharType="end"/>
            </w:r>
            <w:r>
              <w:rPr>
                <w:rFonts w:hint="eastAsia"/>
              </w:rPr>
              <w:t xml:space="preserve">, </w:t>
            </w:r>
            <w:r>
              <w:fldChar w:fldCharType="begin"/>
            </w:r>
            <w:r>
              <w:instrText xml:space="preserve"> </w:instrText>
            </w:r>
            <w:r>
              <w:rPr>
                <w:rFonts w:hint="eastAsia"/>
              </w:rPr>
              <w:instrText xml:space="preserve">REF _Ref235904362 \r \h</w:instrText>
            </w:r>
            <w:r>
              <w:instrText xml:space="preserve"> </w:instrText>
            </w:r>
            <w:r>
              <w:fldChar w:fldCharType="separate"/>
            </w:r>
            <w:r>
              <w:t>3.4.6</w:t>
            </w:r>
            <w:r>
              <w:fldChar w:fldCharType="end"/>
            </w:r>
            <w:r>
              <w:rPr>
                <w:rFonts w:hint="eastAsia"/>
              </w:rPr>
              <w:t xml:space="preserve">, </w:t>
            </w:r>
            <w:r>
              <w:fldChar w:fldCharType="begin"/>
            </w:r>
            <w:r>
              <w:instrText xml:space="preserve"> </w:instrText>
            </w:r>
            <w:r>
              <w:rPr>
                <w:rFonts w:hint="eastAsia"/>
              </w:rPr>
              <w:instrText xml:space="preserve">REF _Ref235904371 \r \h</w:instrText>
            </w:r>
            <w:r>
              <w:instrText xml:space="preserve"> </w:instrText>
            </w:r>
            <w:r>
              <w:fldChar w:fldCharType="separate"/>
            </w:r>
            <w:r>
              <w:t>3.4.7</w:t>
            </w:r>
            <w:r>
              <w:fldChar w:fldCharType="end"/>
            </w:r>
            <w:r>
              <w:rPr>
                <w:rFonts w:hint="eastAsia"/>
              </w:rPr>
              <w:t>,</w:t>
            </w:r>
            <w:r>
              <w:fldChar w:fldCharType="begin"/>
            </w:r>
            <w:r>
              <w:instrText xml:space="preserve"> </w:instrText>
            </w:r>
            <w:r>
              <w:rPr>
                <w:rFonts w:hint="eastAsia"/>
              </w:rPr>
              <w:instrText xml:space="preserve">REF _Ref235904714 \h</w:instrText>
            </w:r>
            <w:r>
              <w:instrText xml:space="preserve"> </w:instrText>
            </w:r>
            <w:r>
              <w:fldChar w:fldCharType="separate"/>
            </w:r>
            <w:r>
              <w:rPr>
                <w:rFonts w:hint="eastAsia"/>
              </w:rPr>
              <w:t xml:space="preserve">图 </w:t>
            </w:r>
            <w:r>
              <w:t>3.47</w:t>
            </w:r>
            <w:r>
              <w:fldChar w:fldCharType="end"/>
            </w:r>
            <w:r>
              <w:rPr>
                <w:rFonts w:hint="eastAsia"/>
              </w:rPr>
              <w:t xml:space="preserve">, </w:t>
            </w:r>
            <w:r>
              <w:fldChar w:fldCharType="begin"/>
            </w:r>
            <w:r>
              <w:instrText xml:space="preserve"> </w:instrText>
            </w:r>
            <w:r>
              <w:rPr>
                <w:rFonts w:hint="eastAsia"/>
              </w:rPr>
              <w:instrText xml:space="preserve">REF _Ref235904720 \h</w:instrText>
            </w:r>
            <w:r>
              <w:instrText xml:space="preserve"> </w:instrText>
            </w:r>
            <w:r>
              <w:fldChar w:fldCharType="separate"/>
            </w:r>
            <w:r>
              <w:rPr>
                <w:rFonts w:hint="eastAsia"/>
              </w:rPr>
              <w:t xml:space="preserve">图 </w:t>
            </w:r>
            <w:r>
              <w:t>3.48</w:t>
            </w:r>
            <w:r>
              <w:fldChar w:fldCharType="end"/>
            </w:r>
            <w:r>
              <w:rPr>
                <w:rFonts w:hint="eastAsia"/>
              </w:rPr>
              <w:t xml:space="preserve">, </w:t>
            </w:r>
            <w:r>
              <w:fldChar w:fldCharType="begin"/>
            </w:r>
            <w:r>
              <w:instrText xml:space="preserve"> </w:instrText>
            </w:r>
            <w:r>
              <w:rPr>
                <w:rFonts w:hint="eastAsia"/>
              </w:rPr>
              <w:instrText xml:space="preserve">REF _Ref235904733 \h</w:instrText>
            </w:r>
            <w:r>
              <w:instrText xml:space="preserve"> </w:instrText>
            </w:r>
            <w:r>
              <w:fldChar w:fldCharType="separate"/>
            </w:r>
            <w:r>
              <w:rPr>
                <w:rFonts w:hint="eastAsia"/>
              </w:rPr>
              <w:t xml:space="preserve">图 </w:t>
            </w:r>
            <w:r>
              <w:t>3.57</w:t>
            </w:r>
            <w:r>
              <w:fldChar w:fldCharType="end"/>
            </w:r>
            <w:r>
              <w:rPr>
                <w:rFonts w:hint="eastAsia"/>
              </w:rPr>
              <w:t xml:space="preserve">, </w:t>
            </w:r>
            <w:r>
              <w:fldChar w:fldCharType="begin"/>
            </w:r>
            <w:r>
              <w:instrText xml:space="preserve"> </w:instrText>
            </w:r>
            <w:r>
              <w:rPr>
                <w:rFonts w:hint="eastAsia"/>
              </w:rPr>
              <w:instrText xml:space="preserve">REF _Ref235904739 \h</w:instrText>
            </w:r>
            <w:r>
              <w:instrText xml:space="preserve"> </w:instrText>
            </w:r>
            <w:r>
              <w:fldChar w:fldCharType="separate"/>
            </w:r>
            <w:r>
              <w:rPr>
                <w:rFonts w:hint="eastAsia"/>
              </w:rPr>
              <w:t xml:space="preserve">图 </w:t>
            </w:r>
            <w:r>
              <w:t>3.58</w:t>
            </w:r>
            <w:r>
              <w:fldChar w:fldCharType="end"/>
            </w:r>
            <w:r>
              <w:rPr>
                <w:rFonts w:hint="eastAsia"/>
              </w:rPr>
              <w:t>)</w:t>
            </w:r>
          </w:p>
        </w:tc>
        <w:tc>
          <w:tcPr>
            <w:tcW w:w="653" w:type="dxa"/>
            <w:vAlign w:val="center"/>
          </w:tcPr>
          <w:p w14:paraId="7BC74E25">
            <w:pPr>
              <w:pStyle w:val="33"/>
            </w:pPr>
            <w:r>
              <w:rPr>
                <w:rFonts w:hint="eastAsia"/>
              </w:rPr>
              <w:t>完成</w:t>
            </w:r>
          </w:p>
        </w:tc>
      </w:tr>
      <w:tr w14:paraId="1843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37DE2562">
            <w:pPr>
              <w:pStyle w:val="33"/>
            </w:pPr>
          </w:p>
        </w:tc>
        <w:tc>
          <w:tcPr>
            <w:tcW w:w="456" w:type="dxa"/>
            <w:vMerge w:val="continue"/>
            <w:vAlign w:val="center"/>
          </w:tcPr>
          <w:p w14:paraId="604CDFB1">
            <w:pPr>
              <w:pStyle w:val="33"/>
            </w:pPr>
          </w:p>
        </w:tc>
        <w:tc>
          <w:tcPr>
            <w:tcW w:w="3706" w:type="dxa"/>
            <w:vAlign w:val="center"/>
          </w:tcPr>
          <w:p w14:paraId="002E60E5">
            <w:pPr>
              <w:pStyle w:val="33"/>
            </w:pPr>
            <w:r>
              <w:t>(3)提供在线增量训练功能，支持模型在新增实验数据后自适应优化</w:t>
            </w:r>
          </w:p>
        </w:tc>
        <w:tc>
          <w:tcPr>
            <w:tcW w:w="8080" w:type="dxa"/>
            <w:vAlign w:val="center"/>
          </w:tcPr>
          <w:p w14:paraId="0E47F1A2">
            <w:pPr>
              <w:pStyle w:val="33"/>
            </w:pPr>
            <w:r>
              <w:t>项目已实现“基础模型加载—新增实验数据导入—增量训练—权重更新—新checkpoint保存”的在线更新流程。模型接收新增实验波形及对应温度数据后，可在原有模型参数基础上继续训练，并通过参数冻结机制保留已学习的通用特征，仅对</w:t>
            </w:r>
            <w:r>
              <w:rPr>
                <w:rFonts w:hint="eastAsia"/>
              </w:rPr>
              <w:t>对应材料</w:t>
            </w:r>
            <w:r>
              <w:t>参数进行自适应更新。测试过程中，新增实验数据能够正常载入，训练过程正常结束，非冻结参数完成更新，冻结参数保持不变，并成功生成可用于后续预测的新版本checkpoint。在线增量训练及新增实验数据自适应优化功能已实现，本项指标达到要求。</w:t>
            </w:r>
            <w:r>
              <w:rPr>
                <w:rFonts w:hint="eastAsia"/>
              </w:rPr>
              <w:t>(</w:t>
            </w:r>
            <w:r>
              <w:fldChar w:fldCharType="begin"/>
            </w:r>
            <w:r>
              <w:instrText xml:space="preserve"> </w:instrText>
            </w:r>
            <w:r>
              <w:rPr>
                <w:rFonts w:hint="eastAsia"/>
              </w:rPr>
              <w:instrText xml:space="preserve">REF _Ref235904395 \r \h</w:instrText>
            </w:r>
            <w:r>
              <w:instrText xml:space="preserve"> </w:instrText>
            </w:r>
            <w:r>
              <w:fldChar w:fldCharType="separate"/>
            </w:r>
            <w:r>
              <w:t>3.4.4.3</w:t>
            </w:r>
            <w:r>
              <w:fldChar w:fldCharType="end"/>
            </w:r>
            <w:r>
              <w:rPr>
                <w:rFonts w:hint="eastAsia"/>
              </w:rPr>
              <w:t>,</w:t>
            </w:r>
            <w:r>
              <w:fldChar w:fldCharType="begin"/>
            </w:r>
            <w:r>
              <w:instrText xml:space="preserve"> </w:instrText>
            </w:r>
            <w:r>
              <w:rPr>
                <w:rFonts w:hint="eastAsia"/>
              </w:rPr>
              <w:instrText xml:space="preserve">REF _Ref235904699 \h</w:instrText>
            </w:r>
            <w:r>
              <w:instrText xml:space="preserve"> </w:instrText>
            </w:r>
            <w:r>
              <w:fldChar w:fldCharType="separate"/>
            </w:r>
            <w:r>
              <w:rPr>
                <w:rFonts w:hint="eastAsia"/>
              </w:rPr>
              <w:t xml:space="preserve">图 </w:t>
            </w:r>
            <w:r>
              <w:t>3.50</w:t>
            </w:r>
            <w:r>
              <w:fldChar w:fldCharType="end"/>
            </w:r>
            <w:r>
              <w:rPr>
                <w:rFonts w:hint="eastAsia"/>
              </w:rPr>
              <w:t xml:space="preserve">, </w:t>
            </w:r>
            <w:r>
              <w:fldChar w:fldCharType="begin"/>
            </w:r>
            <w:r>
              <w:instrText xml:space="preserve"> </w:instrText>
            </w:r>
            <w:r>
              <w:rPr>
                <w:rFonts w:hint="eastAsia"/>
              </w:rPr>
              <w:instrText xml:space="preserve">REF _Ref235904705 \h</w:instrText>
            </w:r>
            <w:r>
              <w:instrText xml:space="preserve"> </w:instrText>
            </w:r>
            <w:r>
              <w:fldChar w:fldCharType="separate"/>
            </w:r>
            <w:r>
              <w:rPr>
                <w:rFonts w:hint="eastAsia"/>
              </w:rPr>
              <w:t xml:space="preserve">图 </w:t>
            </w:r>
            <w:r>
              <w:t>3.51</w:t>
            </w:r>
            <w:r>
              <w:fldChar w:fldCharType="end"/>
            </w:r>
            <w:r>
              <w:rPr>
                <w:rFonts w:hint="eastAsia"/>
              </w:rPr>
              <w:t>)</w:t>
            </w:r>
          </w:p>
        </w:tc>
        <w:tc>
          <w:tcPr>
            <w:tcW w:w="653" w:type="dxa"/>
            <w:vAlign w:val="center"/>
          </w:tcPr>
          <w:p w14:paraId="790D8F6B">
            <w:pPr>
              <w:pStyle w:val="33"/>
            </w:pPr>
            <w:r>
              <w:rPr>
                <w:rFonts w:hint="eastAsia"/>
              </w:rPr>
              <w:t>完成</w:t>
            </w:r>
          </w:p>
        </w:tc>
      </w:tr>
      <w:tr w14:paraId="4727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01E4AD51">
            <w:pPr>
              <w:pStyle w:val="33"/>
            </w:pPr>
          </w:p>
        </w:tc>
        <w:tc>
          <w:tcPr>
            <w:tcW w:w="456" w:type="dxa"/>
            <w:vMerge w:val="continue"/>
            <w:vAlign w:val="center"/>
          </w:tcPr>
          <w:p w14:paraId="3CD9BE83">
            <w:pPr>
              <w:pStyle w:val="33"/>
            </w:pPr>
          </w:p>
        </w:tc>
        <w:tc>
          <w:tcPr>
            <w:tcW w:w="3706" w:type="dxa"/>
            <w:vAlign w:val="center"/>
          </w:tcPr>
          <w:p w14:paraId="086E8961">
            <w:pPr>
              <w:pStyle w:val="33"/>
            </w:pPr>
            <w:r>
              <w:t>(4)完成基于人工智能的一维和二维稳态、瞬态温度场反演方法的实验验证</w:t>
            </w:r>
          </w:p>
        </w:tc>
        <w:tc>
          <w:tcPr>
            <w:tcW w:w="8080" w:type="dxa"/>
            <w:vAlign w:val="center"/>
          </w:tcPr>
          <w:p w14:paraId="1398F3EE">
            <w:pPr>
              <w:pStyle w:val="33"/>
            </w:pPr>
            <w:r>
              <w:t>项目将实验采集的超声波形输入AI温度场重构模型，分别完成一维稳态、一维瞬态、二维稳态和二维瞬态四类实验工况验证。其中，一维结果由二维重构温度场的固定中心线提取，二维结果采用固化的5个测点及node_id与热电偶数据进行比较，避免不同样本之间测点位置发生变化。测试结果显示，一维稳态和瞬态温度场反演误差分别为0.7221%和3.3637%，二维稳态和瞬态误差分别为0.7095%和3.3221%，均低于10%。AI模型在四类实验工况下均能正常完成温度场重构和结果输出，本项指标达到要求。</w:t>
            </w:r>
            <w:r>
              <w:rPr>
                <w:rFonts w:hint="eastAsia"/>
              </w:rPr>
              <w:t>(</w:t>
            </w:r>
            <w:r>
              <w:fldChar w:fldCharType="begin"/>
            </w:r>
            <w:r>
              <w:instrText xml:space="preserve"> </w:instrText>
            </w:r>
            <w:r>
              <w:rPr>
                <w:rFonts w:hint="eastAsia"/>
              </w:rPr>
              <w:instrText xml:space="preserve">REF _Ref235904328 \r \h</w:instrText>
            </w:r>
            <w:r>
              <w:instrText xml:space="preserve"> </w:instrText>
            </w:r>
            <w:r>
              <w:fldChar w:fldCharType="separate"/>
            </w:r>
            <w:r>
              <w:t>3.4.5.1</w:t>
            </w:r>
            <w:r>
              <w:fldChar w:fldCharType="end"/>
            </w:r>
            <w:r>
              <w:rPr>
                <w:rFonts w:hint="eastAsia"/>
              </w:rPr>
              <w:t xml:space="preserve">, </w:t>
            </w:r>
            <w:r>
              <w:fldChar w:fldCharType="begin"/>
            </w:r>
            <w:r>
              <w:instrText xml:space="preserve"> </w:instrText>
            </w:r>
            <w:r>
              <w:rPr>
                <w:rFonts w:hint="eastAsia"/>
              </w:rPr>
              <w:instrText xml:space="preserve">REF _Ref235904335 \r \h</w:instrText>
            </w:r>
            <w:r>
              <w:instrText xml:space="preserve"> </w:instrText>
            </w:r>
            <w:r>
              <w:fldChar w:fldCharType="separate"/>
            </w:r>
            <w:r>
              <w:t>3.4.5.2</w:t>
            </w:r>
            <w:r>
              <w:fldChar w:fldCharType="end"/>
            </w:r>
            <w:r>
              <w:rPr>
                <w:rFonts w:hint="eastAsia"/>
              </w:rPr>
              <w:t xml:space="preserve">, </w:t>
            </w:r>
            <w:r>
              <w:fldChar w:fldCharType="begin"/>
            </w:r>
            <w:r>
              <w:instrText xml:space="preserve"> </w:instrText>
            </w:r>
            <w:r>
              <w:rPr>
                <w:rFonts w:hint="eastAsia"/>
              </w:rPr>
              <w:instrText xml:space="preserve">REF _Ref235904613 \h</w:instrText>
            </w:r>
            <w:r>
              <w:instrText xml:space="preserve"> </w:instrText>
            </w:r>
            <w:r>
              <w:fldChar w:fldCharType="separate"/>
            </w:r>
            <w:r>
              <w:rPr>
                <w:rFonts w:hint="eastAsia"/>
              </w:rPr>
              <w:t xml:space="preserve">图 </w:t>
            </w:r>
            <w:r>
              <w:t>3.52</w:t>
            </w:r>
            <w:r>
              <w:fldChar w:fldCharType="end"/>
            </w:r>
            <w:r>
              <w:rPr>
                <w:rFonts w:hint="eastAsia"/>
              </w:rPr>
              <w:t xml:space="preserve">, </w:t>
            </w:r>
            <w:r>
              <w:fldChar w:fldCharType="begin"/>
            </w:r>
            <w:r>
              <w:instrText xml:space="preserve"> </w:instrText>
            </w:r>
            <w:r>
              <w:rPr>
                <w:rFonts w:hint="eastAsia"/>
              </w:rPr>
              <w:instrText xml:space="preserve">REF _Ref235904618 \h</w:instrText>
            </w:r>
            <w:r>
              <w:instrText xml:space="preserve"> </w:instrText>
            </w:r>
            <w:r>
              <w:fldChar w:fldCharType="separate"/>
            </w:r>
            <w:r>
              <w:rPr>
                <w:rFonts w:hint="eastAsia"/>
              </w:rPr>
              <w:t xml:space="preserve">图 </w:t>
            </w:r>
            <w:r>
              <w:t>3.53</w:t>
            </w:r>
            <w:r>
              <w:fldChar w:fldCharType="end"/>
            </w:r>
            <w:r>
              <w:rPr>
                <w:rFonts w:hint="eastAsia"/>
              </w:rPr>
              <w:t xml:space="preserve">, </w:t>
            </w:r>
            <w:r>
              <w:fldChar w:fldCharType="begin"/>
            </w:r>
            <w:r>
              <w:instrText xml:space="preserve"> </w:instrText>
            </w:r>
            <w:r>
              <w:rPr>
                <w:rFonts w:hint="eastAsia"/>
              </w:rPr>
              <w:instrText xml:space="preserve">REF _Ref235904623 \h</w:instrText>
            </w:r>
            <w:r>
              <w:instrText xml:space="preserve"> </w:instrText>
            </w:r>
            <w:r>
              <w:fldChar w:fldCharType="separate"/>
            </w:r>
            <w:r>
              <w:rPr>
                <w:rFonts w:hint="eastAsia"/>
              </w:rPr>
              <w:t xml:space="preserve">图 </w:t>
            </w:r>
            <w:r>
              <w:t>3.54</w:t>
            </w:r>
            <w:r>
              <w:fldChar w:fldCharType="end"/>
            </w:r>
            <w:r>
              <w:rPr>
                <w:rFonts w:hint="eastAsia"/>
              </w:rPr>
              <w:t>)</w:t>
            </w:r>
          </w:p>
        </w:tc>
        <w:tc>
          <w:tcPr>
            <w:tcW w:w="653" w:type="dxa"/>
            <w:vAlign w:val="center"/>
          </w:tcPr>
          <w:p w14:paraId="6DD2B2F2">
            <w:pPr>
              <w:pStyle w:val="33"/>
            </w:pPr>
            <w:r>
              <w:rPr>
                <w:rFonts w:hint="eastAsia"/>
              </w:rPr>
              <w:t>完成</w:t>
            </w:r>
          </w:p>
        </w:tc>
      </w:tr>
      <w:tr w14:paraId="61F75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607C96F0">
            <w:pPr>
              <w:pStyle w:val="33"/>
            </w:pPr>
          </w:p>
        </w:tc>
        <w:tc>
          <w:tcPr>
            <w:tcW w:w="456" w:type="dxa"/>
            <w:vMerge w:val="continue"/>
            <w:vAlign w:val="center"/>
          </w:tcPr>
          <w:p w14:paraId="26B76A14">
            <w:pPr>
              <w:pStyle w:val="33"/>
            </w:pPr>
          </w:p>
        </w:tc>
        <w:tc>
          <w:tcPr>
            <w:tcW w:w="3706" w:type="dxa"/>
            <w:vAlign w:val="center"/>
          </w:tcPr>
          <w:p w14:paraId="656D4287">
            <w:pPr>
              <w:pStyle w:val="33"/>
            </w:pPr>
            <w:r>
              <w:t>(5)兼容性：支持Windows系统，程序代码采用Fortran语言编写，可调用其他代码语言</w:t>
            </w:r>
          </w:p>
        </w:tc>
        <w:tc>
          <w:tcPr>
            <w:tcW w:w="8080" w:type="dxa"/>
            <w:vAlign w:val="center"/>
          </w:tcPr>
          <w:p w14:paraId="2B9E16E7">
            <w:pPr>
              <w:pStyle w:val="33"/>
            </w:pPr>
            <w:r>
              <w:t>项目软件已在Windows测试环境中完成数据导入、模型训练、增量更新、温度场预测及结果可视化等功能验证。核心模块采用Fortran语言编写，人工智能模型训练和推理模块采用Python实现，二者通过标准化配置文件、数据文件和程序调用接口完成数据交换与任务调度。测试过程中，Fortran模块能够正常</w:t>
            </w:r>
            <w:r>
              <w:rPr>
                <w:rFonts w:hint="eastAsia"/>
              </w:rPr>
              <w:t>使用且</w:t>
            </w:r>
            <w:r>
              <w:t>Python模型</w:t>
            </w:r>
            <w:r>
              <w:rPr>
                <w:rFonts w:hint="eastAsia"/>
              </w:rPr>
              <w:t>能</w:t>
            </w:r>
            <w:r>
              <w:t>接收温度场预测结果，跨语言输入、输出及异常返回均运行正常。程序具备Windows兼容性和跨语言调用能力，本项指标达到要求。</w:t>
            </w:r>
            <w:r>
              <w:rPr>
                <w:rFonts w:hint="eastAsia"/>
              </w:rPr>
              <w:t>(</w:t>
            </w:r>
            <w:r>
              <w:fldChar w:fldCharType="begin"/>
            </w:r>
            <w:r>
              <w:instrText xml:space="preserve"> </w:instrText>
            </w:r>
            <w:r>
              <w:rPr>
                <w:rFonts w:hint="eastAsia"/>
              </w:rPr>
              <w:instrText xml:space="preserve">REF _Ref235904437 \r \h</w:instrText>
            </w:r>
            <w:r>
              <w:instrText xml:space="preserve"> </w:instrText>
            </w:r>
            <w:r>
              <w:fldChar w:fldCharType="separate"/>
            </w:r>
            <w:r>
              <w:t>3.4.4.1</w:t>
            </w:r>
            <w:r>
              <w:fldChar w:fldCharType="end"/>
            </w:r>
            <w:r>
              <w:rPr>
                <w:rFonts w:hint="eastAsia"/>
              </w:rPr>
              <w:t xml:space="preserve">, </w:t>
            </w:r>
            <w:r>
              <w:fldChar w:fldCharType="begin"/>
            </w:r>
            <w:r>
              <w:instrText xml:space="preserve"> </w:instrText>
            </w:r>
            <w:r>
              <w:rPr>
                <w:rFonts w:hint="eastAsia"/>
              </w:rPr>
              <w:instrText xml:space="preserve">REF _Ref235904455 \r \h</w:instrText>
            </w:r>
            <w:r>
              <w:instrText xml:space="preserve"> </w:instrText>
            </w:r>
            <w:r>
              <w:fldChar w:fldCharType="separate"/>
            </w:r>
            <w:r>
              <w:t>3.4.5.3</w:t>
            </w:r>
            <w:r>
              <w:fldChar w:fldCharType="end"/>
            </w:r>
            <w:r>
              <w:rPr>
                <w:rFonts w:hint="eastAsia"/>
              </w:rPr>
              <w:t xml:space="preserve">, </w:t>
            </w:r>
            <w:r>
              <w:fldChar w:fldCharType="begin"/>
            </w:r>
            <w:r>
              <w:instrText xml:space="preserve"> </w:instrText>
            </w:r>
            <w:r>
              <w:rPr>
                <w:rFonts w:hint="eastAsia"/>
              </w:rPr>
              <w:instrText xml:space="preserve">REF _Ref235904651 \h</w:instrText>
            </w:r>
            <w:r>
              <w:instrText xml:space="preserve"> </w:instrText>
            </w:r>
            <w:r>
              <w:fldChar w:fldCharType="separate"/>
            </w:r>
            <w:r>
              <w:rPr>
                <w:rFonts w:hint="eastAsia"/>
              </w:rPr>
              <w:t xml:space="preserve">图 </w:t>
            </w:r>
            <w:r>
              <w:t>3.49</w:t>
            </w:r>
            <w:r>
              <w:fldChar w:fldCharType="end"/>
            </w:r>
            <w:r>
              <w:rPr>
                <w:rFonts w:hint="eastAsia"/>
              </w:rPr>
              <w:t xml:space="preserve">, </w:t>
            </w:r>
            <w:r>
              <w:fldChar w:fldCharType="begin"/>
            </w:r>
            <w:r>
              <w:instrText xml:space="preserve"> </w:instrText>
            </w:r>
            <w:r>
              <w:rPr>
                <w:rFonts w:hint="eastAsia"/>
              </w:rPr>
              <w:instrText xml:space="preserve">REF _Ref235904659 \h</w:instrText>
            </w:r>
            <w:r>
              <w:instrText xml:space="preserve"> </w:instrText>
            </w:r>
            <w:r>
              <w:fldChar w:fldCharType="separate"/>
            </w:r>
            <w:r>
              <w:rPr>
                <w:rFonts w:hint="eastAsia"/>
              </w:rPr>
              <w:t xml:space="preserve">图 </w:t>
            </w:r>
            <w:r>
              <w:t>3.56</w:t>
            </w:r>
            <w:r>
              <w:fldChar w:fldCharType="end"/>
            </w:r>
            <w:r>
              <w:rPr>
                <w:rFonts w:hint="eastAsia"/>
              </w:rPr>
              <w:t>)</w:t>
            </w:r>
          </w:p>
        </w:tc>
        <w:tc>
          <w:tcPr>
            <w:tcW w:w="653" w:type="dxa"/>
            <w:vAlign w:val="center"/>
          </w:tcPr>
          <w:p w14:paraId="6AE157EF">
            <w:pPr>
              <w:pStyle w:val="33"/>
            </w:pPr>
            <w:r>
              <w:rPr>
                <w:rFonts w:hint="eastAsia"/>
              </w:rPr>
              <w:t>完成</w:t>
            </w:r>
          </w:p>
        </w:tc>
      </w:tr>
      <w:tr w14:paraId="6F363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690F9BB5">
            <w:pPr>
              <w:pStyle w:val="33"/>
            </w:pPr>
          </w:p>
        </w:tc>
        <w:tc>
          <w:tcPr>
            <w:tcW w:w="456" w:type="dxa"/>
            <w:vMerge w:val="restart"/>
            <w:vAlign w:val="center"/>
          </w:tcPr>
          <w:p w14:paraId="16D567B1">
            <w:pPr>
              <w:pStyle w:val="33"/>
            </w:pPr>
            <w:r>
              <w:rPr>
                <w:rFonts w:hint="eastAsia"/>
              </w:rPr>
              <w:t>性能指标</w:t>
            </w:r>
          </w:p>
        </w:tc>
        <w:tc>
          <w:tcPr>
            <w:tcW w:w="3706" w:type="dxa"/>
            <w:vAlign w:val="center"/>
          </w:tcPr>
          <w:p w14:paraId="13F7AB39">
            <w:pPr>
              <w:pStyle w:val="33"/>
            </w:pPr>
            <w:r>
              <w:rPr>
                <w:rFonts w:hint="eastAsia"/>
              </w:rPr>
              <w:t>(6)在多层材料、金属基复合材料、硅基/碳基复合材料选择一种进行温度场反演的实验验证。一维条件下，多层材料至少达到5mm厚、金属基复合材料至少达到10mm厚、碳基/硅基复合材料至少达到5mm至8mm厚；二维条件下，多层材料至少达到5mm厚、宽度50mm，金属基复合材料至少达到10mm厚、宽度50mm，碳基/硅基复合材料至少达到5mm至8mm厚、宽度50mm。</w:t>
            </w:r>
          </w:p>
          <w:p w14:paraId="1F706CD8">
            <w:pPr>
              <w:pStyle w:val="33"/>
            </w:pPr>
            <w:r>
              <w:rPr>
                <w:rFonts w:hint="eastAsia"/>
              </w:rPr>
              <w:t>与高温光学测温仪器或热电偶等测温设备（测温范围：室温至1500K内的温度变化，测温精度1%FS）相比，以5个测点平均值计，一维和二维稳态、瞬态温度场反演相对误差温度场反演相对误差≤10%。</w:t>
            </w:r>
          </w:p>
        </w:tc>
        <w:tc>
          <w:tcPr>
            <w:tcW w:w="8080" w:type="dxa"/>
            <w:vAlign w:val="center"/>
          </w:tcPr>
          <w:p w14:paraId="370C6AB8">
            <w:pPr>
              <w:pStyle w:val="33"/>
            </w:pPr>
            <w:r>
              <w:t>项目选用两层W30Mo70多层材料试件开展人工智能温度场反演实验，试件尺寸为100 mm×100 mm×19.2 mm；一维反演沿厚度方向进行，二维反演区域宽度为100 mm，实际厚度和宽度均超过多层材料规定下限。实验温度覆盖室温至153</w:t>
            </w:r>
            <w:r>
              <w:rPr>
                <w:rFonts w:hint="eastAsia"/>
              </w:rPr>
              <w:t>1</w:t>
            </w:r>
            <w:r>
              <w:t xml:space="preserve"> K，并以5个固定热电偶测点及固化node_id作为温度对比基准。测试结果显示，一维稳态、一维瞬态、二维稳态和二维瞬态温度场的5测点平均相对误差分别为0.7221%、3.3637%、0.7095%和3.3221%，均低于10%。试件尺寸、实验温区及四类工况的反演精度均达到要求，本项指标完成。</w:t>
            </w:r>
            <w:r>
              <w:rPr>
                <w:rFonts w:hint="eastAsia"/>
              </w:rPr>
              <w:t>(</w:t>
            </w:r>
            <w:r>
              <w:fldChar w:fldCharType="begin"/>
            </w:r>
            <w:r>
              <w:instrText xml:space="preserve"> </w:instrText>
            </w:r>
            <w:r>
              <w:rPr>
                <w:rFonts w:hint="eastAsia"/>
              </w:rPr>
              <w:instrText xml:space="preserve">REF _Ref235904522 \r \h</w:instrText>
            </w:r>
            <w:r>
              <w:instrText xml:space="preserve"> </w:instrText>
            </w:r>
            <w:r>
              <w:fldChar w:fldCharType="separate"/>
            </w:r>
            <w:r>
              <w:t>3.3.3.1</w:t>
            </w:r>
            <w:r>
              <w:fldChar w:fldCharType="end"/>
            </w:r>
            <w:r>
              <w:rPr>
                <w:rFonts w:hint="eastAsia"/>
              </w:rPr>
              <w:t xml:space="preserve">, </w:t>
            </w:r>
            <w:r>
              <w:fldChar w:fldCharType="begin"/>
            </w:r>
            <w:r>
              <w:instrText xml:space="preserve"> </w:instrText>
            </w:r>
            <w:r>
              <w:rPr>
                <w:rFonts w:hint="eastAsia"/>
              </w:rPr>
              <w:instrText xml:space="preserve">REF _Ref235904437 \r \h</w:instrText>
            </w:r>
            <w:r>
              <w:instrText xml:space="preserve"> </w:instrText>
            </w:r>
            <w:r>
              <w:fldChar w:fldCharType="separate"/>
            </w:r>
            <w:r>
              <w:t>3.4.4.1</w:t>
            </w:r>
            <w:r>
              <w:fldChar w:fldCharType="end"/>
            </w:r>
            <w:r>
              <w:rPr>
                <w:rFonts w:hint="eastAsia"/>
              </w:rPr>
              <w:t xml:space="preserve">, </w:t>
            </w:r>
            <w:r>
              <w:fldChar w:fldCharType="begin"/>
            </w:r>
            <w:r>
              <w:instrText xml:space="preserve"> </w:instrText>
            </w:r>
            <w:r>
              <w:rPr>
                <w:rFonts w:hint="eastAsia"/>
              </w:rPr>
              <w:instrText xml:space="preserve">REF _Ref235904335 \r \h</w:instrText>
            </w:r>
            <w:r>
              <w:instrText xml:space="preserve"> </w:instrText>
            </w:r>
            <w:r>
              <w:fldChar w:fldCharType="separate"/>
            </w:r>
            <w:r>
              <w:t>3.4.5.2</w:t>
            </w:r>
            <w:r>
              <w:fldChar w:fldCharType="end"/>
            </w:r>
            <w:r>
              <w:rPr>
                <w:rFonts w:hint="eastAsia"/>
              </w:rPr>
              <w:t xml:space="preserve">, </w:t>
            </w:r>
            <w:r>
              <w:fldChar w:fldCharType="begin"/>
            </w:r>
            <w:r>
              <w:instrText xml:space="preserve"> </w:instrText>
            </w:r>
            <w:r>
              <w:rPr>
                <w:rFonts w:hint="eastAsia"/>
              </w:rPr>
              <w:instrText xml:space="preserve">REF _Ref235466967 \h</w:instrText>
            </w:r>
            <w:r>
              <w:instrText xml:space="preserve"> </w:instrText>
            </w:r>
            <w:r>
              <w:fldChar w:fldCharType="separate"/>
            </w:r>
            <w:r>
              <w:rPr>
                <w:rFonts w:hint="eastAsia"/>
              </w:rPr>
              <w:t xml:space="preserve">图 </w:t>
            </w:r>
            <w:r>
              <w:t>3.29</w:t>
            </w:r>
            <w:r>
              <w:fldChar w:fldCharType="end"/>
            </w:r>
            <w:r>
              <w:rPr>
                <w:rFonts w:hint="eastAsia"/>
              </w:rPr>
              <w:t xml:space="preserve">, </w:t>
            </w:r>
            <w:r>
              <w:fldChar w:fldCharType="begin"/>
            </w:r>
            <w:r>
              <w:instrText xml:space="preserve"> </w:instrText>
            </w:r>
            <w:r>
              <w:rPr>
                <w:rFonts w:hint="eastAsia"/>
              </w:rPr>
              <w:instrText xml:space="preserve">REF _Ref235904613 \h</w:instrText>
            </w:r>
            <w:r>
              <w:instrText xml:space="preserve"> </w:instrText>
            </w:r>
            <w:r>
              <w:fldChar w:fldCharType="separate"/>
            </w:r>
            <w:r>
              <w:rPr>
                <w:rFonts w:hint="eastAsia"/>
              </w:rPr>
              <w:t xml:space="preserve">图 </w:t>
            </w:r>
            <w:r>
              <w:t>3.52</w:t>
            </w:r>
            <w:r>
              <w:fldChar w:fldCharType="end"/>
            </w:r>
            <w:r>
              <w:rPr>
                <w:rFonts w:hint="eastAsia"/>
              </w:rPr>
              <w:t xml:space="preserve">, </w:t>
            </w:r>
            <w:r>
              <w:fldChar w:fldCharType="begin"/>
            </w:r>
            <w:r>
              <w:instrText xml:space="preserve"> </w:instrText>
            </w:r>
            <w:r>
              <w:rPr>
                <w:rFonts w:hint="eastAsia"/>
              </w:rPr>
              <w:instrText xml:space="preserve">REF _Ref235904618 \h</w:instrText>
            </w:r>
            <w:r>
              <w:instrText xml:space="preserve"> </w:instrText>
            </w:r>
            <w:r>
              <w:fldChar w:fldCharType="separate"/>
            </w:r>
            <w:r>
              <w:rPr>
                <w:rFonts w:hint="eastAsia"/>
              </w:rPr>
              <w:t xml:space="preserve">图 </w:t>
            </w:r>
            <w:r>
              <w:t>3.53</w:t>
            </w:r>
            <w:r>
              <w:fldChar w:fldCharType="end"/>
            </w:r>
            <w:r>
              <w:rPr>
                <w:rFonts w:hint="eastAsia"/>
              </w:rPr>
              <w:t xml:space="preserve">, </w:t>
            </w:r>
            <w:r>
              <w:fldChar w:fldCharType="begin"/>
            </w:r>
            <w:r>
              <w:instrText xml:space="preserve"> </w:instrText>
            </w:r>
            <w:r>
              <w:rPr>
                <w:rFonts w:hint="eastAsia"/>
              </w:rPr>
              <w:instrText xml:space="preserve">REF _Ref235904623 \h</w:instrText>
            </w:r>
            <w:r>
              <w:instrText xml:space="preserve"> </w:instrText>
            </w:r>
            <w:r>
              <w:fldChar w:fldCharType="separate"/>
            </w:r>
            <w:r>
              <w:rPr>
                <w:rFonts w:hint="eastAsia"/>
              </w:rPr>
              <w:t xml:space="preserve">图 </w:t>
            </w:r>
            <w:r>
              <w:t>3.54</w:t>
            </w:r>
            <w:r>
              <w:fldChar w:fldCharType="end"/>
            </w:r>
            <w:r>
              <w:rPr>
                <w:rFonts w:hint="eastAsia"/>
              </w:rPr>
              <w:t>)</w:t>
            </w:r>
          </w:p>
        </w:tc>
        <w:tc>
          <w:tcPr>
            <w:tcW w:w="653" w:type="dxa"/>
            <w:vAlign w:val="center"/>
          </w:tcPr>
          <w:p w14:paraId="7266DCEC">
            <w:pPr>
              <w:pStyle w:val="33"/>
            </w:pPr>
            <w:r>
              <w:rPr>
                <w:rFonts w:hint="eastAsia"/>
              </w:rPr>
              <w:t>完成</w:t>
            </w:r>
          </w:p>
        </w:tc>
      </w:tr>
      <w:tr w14:paraId="300DC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0F3E1F44">
            <w:pPr>
              <w:pStyle w:val="33"/>
            </w:pPr>
          </w:p>
        </w:tc>
        <w:tc>
          <w:tcPr>
            <w:tcW w:w="456" w:type="dxa"/>
            <w:vMerge w:val="continue"/>
            <w:vAlign w:val="center"/>
          </w:tcPr>
          <w:p w14:paraId="5D423CE8">
            <w:pPr>
              <w:pStyle w:val="33"/>
            </w:pPr>
          </w:p>
        </w:tc>
        <w:tc>
          <w:tcPr>
            <w:tcW w:w="3706" w:type="dxa"/>
            <w:vAlign w:val="center"/>
          </w:tcPr>
          <w:p w14:paraId="51277BE1">
            <w:pPr>
              <w:pStyle w:val="33"/>
            </w:pPr>
            <w:r>
              <w:t>(7)算法效率比共轭梯度法、灵敏度法、最速下降法等经典优化方法提高1个数量级</w:t>
            </w:r>
          </w:p>
        </w:tc>
        <w:tc>
          <w:tcPr>
            <w:tcW w:w="8080" w:type="dxa"/>
            <w:vAlign w:val="center"/>
          </w:tcPr>
          <w:p w14:paraId="72C83A48">
            <w:pPr>
              <w:pStyle w:val="33"/>
            </w:pPr>
            <w:r>
              <w:t>在相同温度场任务、输入数据、计算环境和精度判据下，对AI模型与共轭梯度法、灵敏度法和最速下降法进行计算时间比较。AI模型完成4个温度场重构任务的总耗时约为0.248766s，平均每个完整温度场推理耗时约0.0622s；共轭梯度法、灵敏度法和最速下降法的运行时间分别约为18.67s、11.10s和12.44s。AI模型相对三种经典方法的计算速度分别提高约300.2倍、178.5倍和200.0倍，且四类实验工况的温度场反演误差均低于10%。实际效率提升远高于10倍，本项指标完成。</w:t>
            </w:r>
            <w:r>
              <w:rPr>
                <w:rFonts w:hint="eastAsia"/>
              </w:rPr>
              <w:t>(</w:t>
            </w:r>
            <w:r>
              <w:fldChar w:fldCharType="begin"/>
            </w:r>
            <w:r>
              <w:instrText xml:space="preserve"> </w:instrText>
            </w:r>
            <w:r>
              <w:rPr>
                <w:rFonts w:hint="eastAsia"/>
              </w:rPr>
              <w:instrText xml:space="preserve">REF _Ref235904455 \r \h</w:instrText>
            </w:r>
            <w:r>
              <w:instrText xml:space="preserve"> </w:instrText>
            </w:r>
            <w:r>
              <w:fldChar w:fldCharType="separate"/>
            </w:r>
            <w:r>
              <w:t>3.4.5.3</w:t>
            </w:r>
            <w:r>
              <w:fldChar w:fldCharType="end"/>
            </w:r>
            <w:r>
              <w:rPr>
                <w:rFonts w:hint="eastAsia"/>
              </w:rPr>
              <w:t xml:space="preserve">, </w:t>
            </w:r>
            <w:r>
              <w:fldChar w:fldCharType="begin"/>
            </w:r>
            <w:r>
              <w:instrText xml:space="preserve"> </w:instrText>
            </w:r>
            <w:r>
              <w:rPr>
                <w:rFonts w:hint="eastAsia"/>
              </w:rPr>
              <w:instrText xml:space="preserve">REF _Ref235904571 \h</w:instrText>
            </w:r>
            <w:r>
              <w:instrText xml:space="preserve"> </w:instrText>
            </w:r>
            <w:r>
              <w:fldChar w:fldCharType="separate"/>
            </w:r>
            <w:r>
              <w:rPr>
                <w:rFonts w:hint="eastAsia"/>
              </w:rPr>
              <w:t xml:space="preserve">图 </w:t>
            </w:r>
            <w:r>
              <w:t>3.55</w:t>
            </w:r>
            <w:r>
              <w:fldChar w:fldCharType="end"/>
            </w:r>
            <w:r>
              <w:rPr>
                <w:rFonts w:hint="eastAsia"/>
              </w:rPr>
              <w:t>)</w:t>
            </w:r>
          </w:p>
        </w:tc>
        <w:tc>
          <w:tcPr>
            <w:tcW w:w="653" w:type="dxa"/>
            <w:vAlign w:val="center"/>
          </w:tcPr>
          <w:p w14:paraId="0670CA4E">
            <w:pPr>
              <w:pStyle w:val="33"/>
            </w:pPr>
            <w:r>
              <w:rPr>
                <w:rFonts w:hint="eastAsia"/>
              </w:rPr>
              <w:t>完成</w:t>
            </w:r>
          </w:p>
        </w:tc>
      </w:tr>
    </w:tbl>
    <w:p w14:paraId="2C9DF690">
      <w:pPr>
        <w:pStyle w:val="5"/>
      </w:pPr>
      <w:bookmarkStart w:id="92" w:name="_Toc235910465"/>
      <w:r>
        <w:t>研究目标与总体技术路线</w:t>
      </w:r>
      <w:bookmarkEnd w:id="92"/>
    </w:p>
    <w:p w14:paraId="4308AEDB">
      <w:pPr>
        <w:pStyle w:val="3"/>
      </w:pPr>
      <w:r>
        <w:rPr>
          <w:rFonts w:hint="eastAsia"/>
        </w:rPr>
        <w:t>本模块承担复合材料温度场重构系统中的快速智能解算任务。研究目标是以超声全波形为直接观测量，在保持声时、幅值、衰减、频谱及传播时序信息的基础上，学习超声响应与材料内部温度场之间的非线性映射，实现一维、二维、稳态和瞬态温度场的快速重构。与依赖迭代优化的传统反演过程相比，人工智能模型在完成训练后可直接输出固定物理节点上的完整温度场，并通过统一评价口径给出代表性测点误差和单场推理耗时。</w:t>
      </w:r>
    </w:p>
    <w:p w14:paraId="3F28D868">
      <w:pPr>
        <w:pStyle w:val="3"/>
      </w:pPr>
      <w:r>
        <w:rPr>
          <w:rFonts w:hint="eastAsia"/>
        </w:rPr>
        <w:t>研究对象覆盖两层W30Mo70钨钼合金多层材料、W基体/SiC纤维金属基复合材料和SiC纤维/CVI-SiC基体硅基复合材料。仿真数据由热声固耦合分析形成超声波形—温度场配对样本，实验数据由项目试验及多参数处理流程提供波形与测温记录。三类材料采用统一的数据格式和模型接口，通过材料标识、独立checkpoint和材料路由实现分类管理。</w:t>
      </w:r>
    </w:p>
    <w:p w14:paraId="1D02E740">
      <w:pPr>
        <w:pStyle w:val="3"/>
      </w:pPr>
      <w:r>
        <w:rPr>
          <w:rFonts w:hint="eastAsia"/>
        </w:rPr>
        <w:t>总体技术路线由数据构建、波形预处理、模型训练、温度场预测、精度与效率评价、在线增量训练六个环节组成。波形经裁剪、平滑、趋势校正和归一化后形成统一张量；CNN与LSTM分别提取局部形态和传播时序特征；BP全连接网络完成融合回归；MSE监督损失与PINN物理约束共同提高数值精度和空间连续性；预测结果以二维完整场、一维中心线、五测点统计和标准化文件形式输出。</w:t>
      </w:r>
    </w:p>
    <w:p w14:paraId="136E3115">
      <w:pPr>
        <w:pStyle w:val="33"/>
      </w:pPr>
      <w:r>
        <w:drawing>
          <wp:inline distT="0" distB="0" distL="0" distR="0">
            <wp:extent cx="5328285" cy="2993390"/>
            <wp:effectExtent l="0" t="0" r="5715" b="0"/>
            <wp:docPr id="423254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54243" name="图片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328285" cy="2993390"/>
                    </a:xfrm>
                    <a:prstGeom prst="rect">
                      <a:avLst/>
                    </a:prstGeom>
                    <a:noFill/>
                  </pic:spPr>
                </pic:pic>
              </a:graphicData>
            </a:graphic>
          </wp:inline>
        </w:drawing>
      </w:r>
    </w:p>
    <w:p w14:paraId="055DBA44">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45</w:t>
      </w:r>
      <w:r>
        <w:fldChar w:fldCharType="end"/>
      </w:r>
      <w:r>
        <w:rPr>
          <w:rFonts w:hint="eastAsia"/>
        </w:rPr>
        <w:t xml:space="preserve"> </w:t>
      </w:r>
      <w:r>
        <w:t>人工智能温度场反演总体技术路线</w:t>
      </w:r>
    </w:p>
    <w:p w14:paraId="77BF68B0">
      <w:pPr>
        <w:pStyle w:val="33"/>
      </w:pPr>
    </w:p>
    <w:p w14:paraId="05202BAA">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29</w:t>
      </w:r>
      <w:r>
        <w:fldChar w:fldCharType="end"/>
      </w:r>
      <w:r>
        <w:t>模块三主要输入、处理过程和输出</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7"/>
        <w:gridCol w:w="2422"/>
        <w:gridCol w:w="2663"/>
        <w:gridCol w:w="2592"/>
      </w:tblGrid>
      <w:tr w14:paraId="7E1E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10" w:type="pct"/>
            <w:tcMar>
              <w:top w:w="90" w:type="dxa"/>
              <w:left w:w="120" w:type="dxa"/>
              <w:bottom w:w="90" w:type="dxa"/>
              <w:right w:w="120" w:type="dxa"/>
            </w:tcMar>
            <w:vAlign w:val="center"/>
          </w:tcPr>
          <w:p w14:paraId="3E37D8D2">
            <w:pPr>
              <w:pStyle w:val="33"/>
            </w:pPr>
            <w:r>
              <w:rPr>
                <w:b/>
              </w:rPr>
              <w:t>层级</w:t>
            </w:r>
          </w:p>
        </w:tc>
        <w:tc>
          <w:tcPr>
            <w:tcW w:w="1385" w:type="pct"/>
            <w:tcMar>
              <w:top w:w="90" w:type="dxa"/>
              <w:left w:w="120" w:type="dxa"/>
              <w:bottom w:w="90" w:type="dxa"/>
              <w:right w:w="120" w:type="dxa"/>
            </w:tcMar>
            <w:vAlign w:val="center"/>
          </w:tcPr>
          <w:p w14:paraId="7F85D5BD">
            <w:pPr>
              <w:pStyle w:val="33"/>
            </w:pPr>
            <w:r>
              <w:rPr>
                <w:b/>
              </w:rPr>
              <w:t>主要输入</w:t>
            </w:r>
          </w:p>
        </w:tc>
        <w:tc>
          <w:tcPr>
            <w:tcW w:w="1523" w:type="pct"/>
            <w:tcMar>
              <w:top w:w="90" w:type="dxa"/>
              <w:left w:w="120" w:type="dxa"/>
              <w:bottom w:w="90" w:type="dxa"/>
              <w:right w:w="120" w:type="dxa"/>
            </w:tcMar>
            <w:vAlign w:val="center"/>
          </w:tcPr>
          <w:p w14:paraId="4C65B19D">
            <w:pPr>
              <w:pStyle w:val="33"/>
            </w:pPr>
            <w:r>
              <w:rPr>
                <w:b/>
              </w:rPr>
              <w:t>处理过程</w:t>
            </w:r>
          </w:p>
        </w:tc>
        <w:tc>
          <w:tcPr>
            <w:tcW w:w="1482" w:type="pct"/>
            <w:tcMar>
              <w:top w:w="90" w:type="dxa"/>
              <w:left w:w="120" w:type="dxa"/>
              <w:bottom w:w="90" w:type="dxa"/>
              <w:right w:w="120" w:type="dxa"/>
            </w:tcMar>
            <w:vAlign w:val="center"/>
          </w:tcPr>
          <w:p w14:paraId="745BBAE9">
            <w:pPr>
              <w:pStyle w:val="33"/>
            </w:pPr>
            <w:r>
              <w:rPr>
                <w:b/>
              </w:rPr>
              <w:t>主要输出</w:t>
            </w:r>
          </w:p>
        </w:tc>
      </w:tr>
      <w:tr w14:paraId="751A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10" w:type="pct"/>
            <w:tcMar>
              <w:top w:w="90" w:type="dxa"/>
              <w:left w:w="120" w:type="dxa"/>
              <w:bottom w:w="90" w:type="dxa"/>
              <w:right w:w="120" w:type="dxa"/>
            </w:tcMar>
            <w:vAlign w:val="center"/>
          </w:tcPr>
          <w:p w14:paraId="6F2A6AB9">
            <w:pPr>
              <w:pStyle w:val="33"/>
            </w:pPr>
            <w:r>
              <w:t>数据层</w:t>
            </w:r>
          </w:p>
        </w:tc>
        <w:tc>
          <w:tcPr>
            <w:tcW w:w="1385" w:type="pct"/>
            <w:tcMar>
              <w:top w:w="90" w:type="dxa"/>
              <w:left w:w="120" w:type="dxa"/>
              <w:bottom w:w="90" w:type="dxa"/>
              <w:right w:w="120" w:type="dxa"/>
            </w:tcMar>
            <w:vAlign w:val="center"/>
          </w:tcPr>
          <w:p w14:paraId="494D2455">
            <w:pPr>
              <w:pStyle w:val="33"/>
            </w:pPr>
            <w:r>
              <w:t>仿真/实验超声波形、温度场、材料与工况信息</w:t>
            </w:r>
          </w:p>
        </w:tc>
        <w:tc>
          <w:tcPr>
            <w:tcW w:w="1523" w:type="pct"/>
            <w:tcMar>
              <w:top w:w="90" w:type="dxa"/>
              <w:left w:w="120" w:type="dxa"/>
              <w:bottom w:w="90" w:type="dxa"/>
              <w:right w:w="120" w:type="dxa"/>
            </w:tcMar>
            <w:vAlign w:val="center"/>
          </w:tcPr>
          <w:p w14:paraId="2F77A4BA">
            <w:pPr>
              <w:pStyle w:val="33"/>
            </w:pPr>
            <w:r>
              <w:t>波形—温度场配对、数据划分、固定节点采样</w:t>
            </w:r>
          </w:p>
        </w:tc>
        <w:tc>
          <w:tcPr>
            <w:tcW w:w="1482" w:type="pct"/>
            <w:tcMar>
              <w:top w:w="90" w:type="dxa"/>
              <w:left w:w="120" w:type="dxa"/>
              <w:bottom w:w="90" w:type="dxa"/>
              <w:right w:w="120" w:type="dxa"/>
            </w:tcMar>
            <w:vAlign w:val="center"/>
          </w:tcPr>
          <w:p w14:paraId="1BF730DD">
            <w:pPr>
              <w:pStyle w:val="33"/>
            </w:pPr>
            <w:r>
              <w:t>manifest、训练/验证/测试清单</w:t>
            </w:r>
          </w:p>
        </w:tc>
      </w:tr>
      <w:tr w14:paraId="0B89E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10" w:type="pct"/>
            <w:tcMar>
              <w:top w:w="90" w:type="dxa"/>
              <w:left w:w="120" w:type="dxa"/>
              <w:bottom w:w="90" w:type="dxa"/>
              <w:right w:w="120" w:type="dxa"/>
            </w:tcMar>
            <w:vAlign w:val="center"/>
          </w:tcPr>
          <w:p w14:paraId="0EB240FA">
            <w:pPr>
              <w:pStyle w:val="33"/>
            </w:pPr>
            <w:r>
              <w:t>特征层</w:t>
            </w:r>
          </w:p>
        </w:tc>
        <w:tc>
          <w:tcPr>
            <w:tcW w:w="1385" w:type="pct"/>
            <w:tcMar>
              <w:top w:w="90" w:type="dxa"/>
              <w:left w:w="120" w:type="dxa"/>
              <w:bottom w:w="90" w:type="dxa"/>
              <w:right w:w="120" w:type="dxa"/>
            </w:tcMar>
            <w:vAlign w:val="center"/>
          </w:tcPr>
          <w:p w14:paraId="67736965">
            <w:pPr>
              <w:pStyle w:val="33"/>
            </w:pPr>
            <w:r>
              <w:t>统一长度超声全波形张量</w:t>
            </w:r>
          </w:p>
        </w:tc>
        <w:tc>
          <w:tcPr>
            <w:tcW w:w="1523" w:type="pct"/>
            <w:tcMar>
              <w:top w:w="90" w:type="dxa"/>
              <w:left w:w="120" w:type="dxa"/>
              <w:bottom w:w="90" w:type="dxa"/>
              <w:right w:w="120" w:type="dxa"/>
            </w:tcMar>
            <w:vAlign w:val="center"/>
          </w:tcPr>
          <w:p w14:paraId="519F38D5">
            <w:pPr>
              <w:pStyle w:val="33"/>
            </w:pPr>
            <w:r>
              <w:t>CNN局部编码与LSTM时序编码</w:t>
            </w:r>
          </w:p>
        </w:tc>
        <w:tc>
          <w:tcPr>
            <w:tcW w:w="1482" w:type="pct"/>
            <w:tcMar>
              <w:top w:w="90" w:type="dxa"/>
              <w:left w:w="120" w:type="dxa"/>
              <w:bottom w:w="90" w:type="dxa"/>
              <w:right w:w="120" w:type="dxa"/>
            </w:tcMar>
            <w:vAlign w:val="center"/>
          </w:tcPr>
          <w:p w14:paraId="645427DB">
            <w:pPr>
              <w:pStyle w:val="33"/>
            </w:pPr>
            <w:r>
              <w:t>局部形态、幅值/频域与传播时序特征</w:t>
            </w:r>
          </w:p>
        </w:tc>
      </w:tr>
      <w:tr w14:paraId="6361F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10" w:type="pct"/>
            <w:tcMar>
              <w:top w:w="90" w:type="dxa"/>
              <w:left w:w="120" w:type="dxa"/>
              <w:bottom w:w="90" w:type="dxa"/>
              <w:right w:w="120" w:type="dxa"/>
            </w:tcMar>
            <w:vAlign w:val="center"/>
          </w:tcPr>
          <w:p w14:paraId="45489251">
            <w:pPr>
              <w:pStyle w:val="33"/>
            </w:pPr>
            <w:r>
              <w:t>模型层</w:t>
            </w:r>
          </w:p>
        </w:tc>
        <w:tc>
          <w:tcPr>
            <w:tcW w:w="1385" w:type="pct"/>
            <w:tcMar>
              <w:top w:w="90" w:type="dxa"/>
              <w:left w:w="120" w:type="dxa"/>
              <w:bottom w:w="90" w:type="dxa"/>
              <w:right w:w="120" w:type="dxa"/>
            </w:tcMar>
            <w:vAlign w:val="center"/>
          </w:tcPr>
          <w:p w14:paraId="0C220A7D">
            <w:pPr>
              <w:pStyle w:val="33"/>
            </w:pPr>
            <w:r>
              <w:t>双分支特征、节点坐标与材料邻接关系</w:t>
            </w:r>
          </w:p>
        </w:tc>
        <w:tc>
          <w:tcPr>
            <w:tcW w:w="1523" w:type="pct"/>
            <w:tcMar>
              <w:top w:w="90" w:type="dxa"/>
              <w:left w:w="120" w:type="dxa"/>
              <w:bottom w:w="90" w:type="dxa"/>
              <w:right w:w="120" w:type="dxa"/>
            </w:tcMar>
            <w:vAlign w:val="center"/>
          </w:tcPr>
          <w:p w14:paraId="10F927D1">
            <w:pPr>
              <w:pStyle w:val="33"/>
            </w:pPr>
            <w:r>
              <w:t>BP融合回归、MSE+PINN联合训练</w:t>
            </w:r>
          </w:p>
        </w:tc>
        <w:tc>
          <w:tcPr>
            <w:tcW w:w="1482" w:type="pct"/>
            <w:tcMar>
              <w:top w:w="90" w:type="dxa"/>
              <w:left w:w="120" w:type="dxa"/>
              <w:bottom w:w="90" w:type="dxa"/>
              <w:right w:w="120" w:type="dxa"/>
            </w:tcMar>
            <w:vAlign w:val="center"/>
          </w:tcPr>
          <w:p w14:paraId="41793E90">
            <w:pPr>
              <w:pStyle w:val="33"/>
            </w:pPr>
            <w:r>
              <w:t>版本化checkpoint与材料路由</w:t>
            </w:r>
          </w:p>
        </w:tc>
      </w:tr>
      <w:tr w14:paraId="1FD1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10" w:type="pct"/>
            <w:tcMar>
              <w:top w:w="90" w:type="dxa"/>
              <w:left w:w="120" w:type="dxa"/>
              <w:bottom w:w="90" w:type="dxa"/>
              <w:right w:w="120" w:type="dxa"/>
            </w:tcMar>
            <w:vAlign w:val="center"/>
          </w:tcPr>
          <w:p w14:paraId="408CC615">
            <w:pPr>
              <w:pStyle w:val="33"/>
            </w:pPr>
            <w:r>
              <w:t>重构层</w:t>
            </w:r>
          </w:p>
        </w:tc>
        <w:tc>
          <w:tcPr>
            <w:tcW w:w="1385" w:type="pct"/>
            <w:tcMar>
              <w:top w:w="90" w:type="dxa"/>
              <w:left w:w="120" w:type="dxa"/>
              <w:bottom w:w="90" w:type="dxa"/>
              <w:right w:w="120" w:type="dxa"/>
            </w:tcMar>
            <w:vAlign w:val="center"/>
          </w:tcPr>
          <w:p w14:paraId="7397DBEF">
            <w:pPr>
              <w:pStyle w:val="33"/>
            </w:pPr>
            <w:r>
              <w:t>待测波形、模型权重与任务配置</w:t>
            </w:r>
          </w:p>
        </w:tc>
        <w:tc>
          <w:tcPr>
            <w:tcW w:w="1523" w:type="pct"/>
            <w:tcMar>
              <w:top w:w="90" w:type="dxa"/>
              <w:left w:w="120" w:type="dxa"/>
              <w:bottom w:w="90" w:type="dxa"/>
              <w:right w:w="120" w:type="dxa"/>
            </w:tcMar>
            <w:vAlign w:val="center"/>
          </w:tcPr>
          <w:p w14:paraId="23DD4488">
            <w:pPr>
              <w:pStyle w:val="33"/>
            </w:pPr>
            <w:r>
              <w:t>GPU推理、中心线提取、测点映射</w:t>
            </w:r>
          </w:p>
        </w:tc>
        <w:tc>
          <w:tcPr>
            <w:tcW w:w="1482" w:type="pct"/>
            <w:tcMar>
              <w:top w:w="90" w:type="dxa"/>
              <w:left w:w="120" w:type="dxa"/>
              <w:bottom w:w="90" w:type="dxa"/>
              <w:right w:w="120" w:type="dxa"/>
            </w:tcMar>
            <w:vAlign w:val="center"/>
          </w:tcPr>
          <w:p w14:paraId="7A9ACDAD">
            <w:pPr>
              <w:pStyle w:val="33"/>
            </w:pPr>
            <w:r>
              <w:t>二维完整温度场、一维温度曲线</w:t>
            </w:r>
          </w:p>
        </w:tc>
      </w:tr>
      <w:tr w14:paraId="3003F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10" w:type="pct"/>
            <w:tcMar>
              <w:top w:w="90" w:type="dxa"/>
              <w:left w:w="120" w:type="dxa"/>
              <w:bottom w:w="90" w:type="dxa"/>
              <w:right w:w="120" w:type="dxa"/>
            </w:tcMar>
            <w:vAlign w:val="center"/>
          </w:tcPr>
          <w:p w14:paraId="3BE39979">
            <w:pPr>
              <w:pStyle w:val="33"/>
            </w:pPr>
            <w:r>
              <w:t>评价层</w:t>
            </w:r>
          </w:p>
        </w:tc>
        <w:tc>
          <w:tcPr>
            <w:tcW w:w="1385" w:type="pct"/>
            <w:tcMar>
              <w:top w:w="90" w:type="dxa"/>
              <w:left w:w="120" w:type="dxa"/>
              <w:bottom w:w="90" w:type="dxa"/>
              <w:right w:w="120" w:type="dxa"/>
            </w:tcMar>
            <w:vAlign w:val="center"/>
          </w:tcPr>
          <w:p w14:paraId="258384BC">
            <w:pPr>
              <w:pStyle w:val="33"/>
            </w:pPr>
            <w:r>
              <w:t>参考温度、预测温度和运行日志</w:t>
            </w:r>
          </w:p>
        </w:tc>
        <w:tc>
          <w:tcPr>
            <w:tcW w:w="1523" w:type="pct"/>
            <w:tcMar>
              <w:top w:w="90" w:type="dxa"/>
              <w:left w:w="120" w:type="dxa"/>
              <w:bottom w:w="90" w:type="dxa"/>
              <w:right w:w="120" w:type="dxa"/>
            </w:tcMar>
            <w:vAlign w:val="center"/>
          </w:tcPr>
          <w:p w14:paraId="4187E89A">
            <w:pPr>
              <w:pStyle w:val="33"/>
            </w:pPr>
            <w:r>
              <w:t>五测点误差、全场误差与效率统计</w:t>
            </w:r>
          </w:p>
        </w:tc>
        <w:tc>
          <w:tcPr>
            <w:tcW w:w="1482" w:type="pct"/>
            <w:tcMar>
              <w:top w:w="90" w:type="dxa"/>
              <w:left w:w="120" w:type="dxa"/>
              <w:bottom w:w="90" w:type="dxa"/>
              <w:right w:w="120" w:type="dxa"/>
            </w:tcMar>
            <w:vAlign w:val="center"/>
          </w:tcPr>
          <w:p w14:paraId="15F340A7">
            <w:pPr>
              <w:pStyle w:val="33"/>
            </w:pPr>
            <w:r>
              <w:t>精度指标、加速比和可追溯结果文件</w:t>
            </w:r>
          </w:p>
        </w:tc>
      </w:tr>
    </w:tbl>
    <w:p w14:paraId="245826D7">
      <w:pPr>
        <w:pStyle w:val="5"/>
      </w:pPr>
      <w:bookmarkStart w:id="93" w:name="_Toc235910466"/>
      <w:bookmarkStart w:id="94" w:name="_Ref235904286"/>
      <w:r>
        <w:t>人工智能温度场重构模型与训练方法</w:t>
      </w:r>
      <w:bookmarkEnd w:id="93"/>
      <w:bookmarkEnd w:id="94"/>
    </w:p>
    <w:p w14:paraId="64D6BDED">
      <w:pPr>
        <w:pStyle w:val="6"/>
      </w:pPr>
      <w:r>
        <w:t>超声全波形输入与预处理</w:t>
      </w:r>
    </w:p>
    <w:p w14:paraId="1D41134D">
      <w:pPr>
        <w:pStyle w:val="3"/>
      </w:pPr>
      <w:r>
        <w:rPr>
          <w:rFonts w:hint="eastAsia"/>
        </w:rPr>
        <w:t>模型以超声波形张量作为直接输入。每个样本由时间列和超声信号幅值列组成，数据导入时完成列识别、有效区间裁剪、长度对齐和张量化。训练、预测和增量训练使用一致的预处理规则，典型处理包括脉冲峰值裁剪、滑动窗口平滑、基线趋势消除和稳健归一化，使不同采集批次和不同工况下的波形保持统一尺度。</w:t>
      </w:r>
    </w:p>
    <w:p w14:paraId="648E4185">
      <w:pPr>
        <w:pStyle w:val="3"/>
      </w:pPr>
      <w:r>
        <w:rPr>
          <w:rFonts w:hint="eastAsia"/>
        </w:rPr>
        <w:t>声时、回波幅值、衰减、振幅谱和中心频率不作为相互独立的人工输入，而是保留在全波形中，由网络联合编码。CNN分支重点表征局部波包形态、幅值变化和频域相关模式，LSTM分支重点表征回波到达顺序、传播演化及长短期依赖，因此模型能够同时利用时域、频域和传播时序中的温度敏感信息。</w:t>
      </w:r>
    </w:p>
    <w:p w14:paraId="40746F45">
      <w:pPr>
        <w:pStyle w:val="6"/>
      </w:pPr>
      <w:r>
        <w:t>CNN–LSTM–BP融合网络</w:t>
      </w:r>
    </w:p>
    <w:p w14:paraId="4DDD8FBE">
      <w:pPr>
        <w:pStyle w:val="3"/>
      </w:pPr>
      <w:r>
        <w:rPr>
          <w:rFonts w:hint="eastAsia"/>
        </w:rPr>
        <w:t>模型采用CNN、LSTM与BP神经网络拼接融合结构。CNN分支使用一维卷积、GELU激活、池化和自适应平均池化提取局部特征；LSTM分支按时间顺序处理波形序列，形成包含传播历史和长短期依赖的时序特征。两路特征分别加权后进行拼接，再由BP全连接网络完成非线性特征融合和温度场回归。</w:t>
      </w:r>
    </w:p>
    <w:p w14:paraId="47E05885">
      <w:pPr>
        <w:pStyle w:val="3"/>
      </w:pPr>
      <w:r>
        <w:rPr>
          <w:rFonts w:hint="eastAsia"/>
        </w:rPr>
        <w:t>输出端面向固定物理节点生成二维完整温度场，同时保留声学参数和标量温度等辅助输出。二维结果可以直接形成温度云图，也可在归一化x=0.50处提取固定中心线，按纵向坐标排序后得到一维厚度方向温度分布。统一输出结构使一维和二维任务共享同一套波形编码和模型管理机制。</w:t>
      </w:r>
    </w:p>
    <w:p w14:paraId="04B0C0C2">
      <w:pPr>
        <w:pStyle w:val="33"/>
      </w:pPr>
      <w:r>
        <w:drawing>
          <wp:inline distT="0" distB="0" distL="114300" distR="114300">
            <wp:extent cx="5327650" cy="2280285"/>
            <wp:effectExtent l="0" t="0" r="6350" b="5715"/>
            <wp:docPr id="1420116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16785" name="Picture 2"/>
                    <pic:cNvPicPr>
                      <a:picLocks noChangeAspect="1"/>
                    </pic:cNvPicPr>
                  </pic:nvPicPr>
                  <pic:blipFill>
                    <a:blip r:embed="rId59"/>
                    <a:stretch>
                      <a:fillRect/>
                    </a:stretch>
                  </pic:blipFill>
                  <pic:spPr>
                    <a:xfrm>
                      <a:off x="0" y="0"/>
                      <a:ext cx="5328000" cy="2280620"/>
                    </a:xfrm>
                    <a:prstGeom prst="rect">
                      <a:avLst/>
                    </a:prstGeom>
                  </pic:spPr>
                </pic:pic>
              </a:graphicData>
            </a:graphic>
          </wp:inline>
        </w:drawing>
      </w:r>
    </w:p>
    <w:p w14:paraId="0BDF8F2C">
      <w:pPr>
        <w:pStyle w:val="33"/>
      </w:pPr>
      <w:bookmarkStart w:id="95" w:name="_Ref2359047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46</w:t>
      </w:r>
      <w:r>
        <w:fldChar w:fldCharType="end"/>
      </w:r>
      <w:bookmarkEnd w:id="95"/>
      <w:r>
        <w:rPr>
          <w:rFonts w:hint="eastAsia"/>
        </w:rPr>
        <w:t xml:space="preserve"> </w:t>
      </w:r>
      <w:r>
        <w:t>CNN–LSTM–BP融合模型结构与MSE+PINN联合训练模式</w:t>
      </w:r>
    </w:p>
    <w:p w14:paraId="1A844368">
      <w:pPr>
        <w:pStyle w:val="3"/>
      </w:pPr>
    </w:p>
    <w:p w14:paraId="5F1ABE00">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30</w:t>
      </w:r>
      <w:r>
        <w:fldChar w:fldCharType="end"/>
      </w:r>
      <w:r>
        <w:rPr>
          <w:rFonts w:hint="eastAsia"/>
        </w:rPr>
        <w:t xml:space="preserve"> </w:t>
      </w:r>
      <w:r>
        <w:t>AI温度场重构模型结构与作用</w:t>
      </w:r>
    </w:p>
    <w:tbl>
      <w:tblPr>
        <w:tblStyle w:val="22"/>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200"/>
        <w:gridCol w:w="3026"/>
      </w:tblGrid>
      <w:tr w14:paraId="1C39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00" w:type="dxa"/>
            <w:tcMar>
              <w:top w:w="90" w:type="dxa"/>
              <w:left w:w="120" w:type="dxa"/>
              <w:bottom w:w="90" w:type="dxa"/>
              <w:right w:w="120" w:type="dxa"/>
            </w:tcMar>
            <w:vAlign w:val="center"/>
          </w:tcPr>
          <w:p w14:paraId="1FF8024F">
            <w:pPr>
              <w:pStyle w:val="33"/>
            </w:pPr>
            <w:r>
              <w:rPr>
                <w:b/>
              </w:rPr>
              <w:t>组成部分</w:t>
            </w:r>
          </w:p>
        </w:tc>
        <w:tc>
          <w:tcPr>
            <w:tcW w:w="4200" w:type="dxa"/>
            <w:tcMar>
              <w:top w:w="90" w:type="dxa"/>
              <w:left w:w="120" w:type="dxa"/>
              <w:bottom w:w="90" w:type="dxa"/>
              <w:right w:w="120" w:type="dxa"/>
            </w:tcMar>
            <w:vAlign w:val="center"/>
          </w:tcPr>
          <w:p w14:paraId="087D514B">
            <w:pPr>
              <w:pStyle w:val="33"/>
            </w:pPr>
            <w:r>
              <w:rPr>
                <w:b/>
              </w:rPr>
              <w:t>主要处理</w:t>
            </w:r>
          </w:p>
        </w:tc>
        <w:tc>
          <w:tcPr>
            <w:tcW w:w="3026" w:type="dxa"/>
            <w:tcMar>
              <w:top w:w="90" w:type="dxa"/>
              <w:left w:w="120" w:type="dxa"/>
              <w:bottom w:w="90" w:type="dxa"/>
              <w:right w:w="120" w:type="dxa"/>
            </w:tcMar>
            <w:vAlign w:val="center"/>
          </w:tcPr>
          <w:p w14:paraId="4AA44D63">
            <w:pPr>
              <w:pStyle w:val="33"/>
            </w:pPr>
            <w:r>
              <w:rPr>
                <w:b/>
              </w:rPr>
              <w:t>输出或作用</w:t>
            </w:r>
          </w:p>
        </w:tc>
      </w:tr>
      <w:tr w14:paraId="32095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90" w:type="dxa"/>
              <w:left w:w="120" w:type="dxa"/>
              <w:bottom w:w="90" w:type="dxa"/>
              <w:right w:w="120" w:type="dxa"/>
            </w:tcMar>
            <w:vAlign w:val="center"/>
          </w:tcPr>
          <w:p w14:paraId="6C248BF6">
            <w:pPr>
              <w:pStyle w:val="33"/>
            </w:pPr>
            <w:r>
              <w:t>波形预处理</w:t>
            </w:r>
          </w:p>
        </w:tc>
        <w:tc>
          <w:tcPr>
            <w:tcW w:w="4200" w:type="dxa"/>
            <w:tcMar>
              <w:top w:w="90" w:type="dxa"/>
              <w:left w:w="120" w:type="dxa"/>
              <w:bottom w:w="90" w:type="dxa"/>
              <w:right w:w="120" w:type="dxa"/>
            </w:tcMar>
            <w:vAlign w:val="center"/>
          </w:tcPr>
          <w:p w14:paraId="511A4C02">
            <w:pPr>
              <w:pStyle w:val="33"/>
            </w:pPr>
            <w:r>
              <w:t>读取时间列和幅值列，完成裁剪、平滑、趋势校正、归一化和张量化。</w:t>
            </w:r>
          </w:p>
        </w:tc>
        <w:tc>
          <w:tcPr>
            <w:tcW w:w="3026" w:type="dxa"/>
            <w:tcMar>
              <w:top w:w="90" w:type="dxa"/>
              <w:left w:w="120" w:type="dxa"/>
              <w:bottom w:w="90" w:type="dxa"/>
              <w:right w:w="120" w:type="dxa"/>
            </w:tcMar>
            <w:vAlign w:val="center"/>
          </w:tcPr>
          <w:p w14:paraId="78E2DB70">
            <w:pPr>
              <w:pStyle w:val="33"/>
            </w:pPr>
            <w:r>
              <w:t>形成统一长度波形张量</w:t>
            </w:r>
          </w:p>
        </w:tc>
      </w:tr>
      <w:tr w14:paraId="48F1F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90" w:type="dxa"/>
              <w:left w:w="120" w:type="dxa"/>
              <w:bottom w:w="90" w:type="dxa"/>
              <w:right w:w="120" w:type="dxa"/>
            </w:tcMar>
            <w:vAlign w:val="center"/>
          </w:tcPr>
          <w:p w14:paraId="2C04B193">
            <w:pPr>
              <w:pStyle w:val="33"/>
            </w:pPr>
            <w:r>
              <w:t>CNN分支</w:t>
            </w:r>
          </w:p>
        </w:tc>
        <w:tc>
          <w:tcPr>
            <w:tcW w:w="4200" w:type="dxa"/>
            <w:tcMar>
              <w:top w:w="90" w:type="dxa"/>
              <w:left w:w="120" w:type="dxa"/>
              <w:bottom w:w="90" w:type="dxa"/>
              <w:right w:w="120" w:type="dxa"/>
            </w:tcMar>
            <w:vAlign w:val="center"/>
          </w:tcPr>
          <w:p w14:paraId="4B1D137E">
            <w:pPr>
              <w:pStyle w:val="33"/>
            </w:pPr>
            <w:r>
              <w:t>一维卷积、激活与池化，提取局部形态、幅值变化和频域相关特征。</w:t>
            </w:r>
          </w:p>
        </w:tc>
        <w:tc>
          <w:tcPr>
            <w:tcW w:w="3026" w:type="dxa"/>
            <w:tcMar>
              <w:top w:w="90" w:type="dxa"/>
              <w:left w:w="120" w:type="dxa"/>
              <w:bottom w:w="90" w:type="dxa"/>
              <w:right w:w="120" w:type="dxa"/>
            </w:tcMar>
            <w:vAlign w:val="center"/>
          </w:tcPr>
          <w:p w14:paraId="3581A05E">
            <w:pPr>
              <w:pStyle w:val="33"/>
            </w:pPr>
            <w:r>
              <w:t>CNN特征向量</w:t>
            </w:r>
          </w:p>
        </w:tc>
      </w:tr>
      <w:tr w14:paraId="0184F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90" w:type="dxa"/>
              <w:left w:w="120" w:type="dxa"/>
              <w:bottom w:w="90" w:type="dxa"/>
              <w:right w:w="120" w:type="dxa"/>
            </w:tcMar>
            <w:vAlign w:val="center"/>
          </w:tcPr>
          <w:p w14:paraId="058DBA6D">
            <w:pPr>
              <w:pStyle w:val="33"/>
            </w:pPr>
            <w:r>
              <w:t>LSTM分支</w:t>
            </w:r>
          </w:p>
        </w:tc>
        <w:tc>
          <w:tcPr>
            <w:tcW w:w="4200" w:type="dxa"/>
            <w:tcMar>
              <w:top w:w="90" w:type="dxa"/>
              <w:left w:w="120" w:type="dxa"/>
              <w:bottom w:w="90" w:type="dxa"/>
              <w:right w:w="120" w:type="dxa"/>
            </w:tcMar>
            <w:vAlign w:val="center"/>
          </w:tcPr>
          <w:p w14:paraId="2935AA96">
            <w:pPr>
              <w:pStyle w:val="33"/>
            </w:pPr>
            <w:r>
              <w:t>按时间序列提取回波顺序、传播演化和长短期依赖。</w:t>
            </w:r>
          </w:p>
        </w:tc>
        <w:tc>
          <w:tcPr>
            <w:tcW w:w="3026" w:type="dxa"/>
            <w:tcMar>
              <w:top w:w="90" w:type="dxa"/>
              <w:left w:w="120" w:type="dxa"/>
              <w:bottom w:w="90" w:type="dxa"/>
              <w:right w:w="120" w:type="dxa"/>
            </w:tcMar>
            <w:vAlign w:val="center"/>
          </w:tcPr>
          <w:p w14:paraId="0ADDFECF">
            <w:pPr>
              <w:pStyle w:val="33"/>
            </w:pPr>
            <w:r>
              <w:t>LSTM特征向量</w:t>
            </w:r>
          </w:p>
        </w:tc>
      </w:tr>
      <w:tr w14:paraId="7C6C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90" w:type="dxa"/>
              <w:left w:w="120" w:type="dxa"/>
              <w:bottom w:w="90" w:type="dxa"/>
              <w:right w:w="120" w:type="dxa"/>
            </w:tcMar>
            <w:vAlign w:val="center"/>
          </w:tcPr>
          <w:p w14:paraId="64BDF4F1">
            <w:pPr>
              <w:pStyle w:val="33"/>
            </w:pPr>
            <w:r>
              <w:t>BP融合与回归</w:t>
            </w:r>
          </w:p>
        </w:tc>
        <w:tc>
          <w:tcPr>
            <w:tcW w:w="4200" w:type="dxa"/>
            <w:tcMar>
              <w:top w:w="90" w:type="dxa"/>
              <w:left w:w="120" w:type="dxa"/>
              <w:bottom w:w="90" w:type="dxa"/>
              <w:right w:w="120" w:type="dxa"/>
            </w:tcMar>
            <w:vAlign w:val="center"/>
          </w:tcPr>
          <w:p w14:paraId="666AB397">
            <w:pPr>
              <w:pStyle w:val="33"/>
            </w:pPr>
            <w:r>
              <w:t>加权拼接双分支特征并完成非线性融合。</w:t>
            </w:r>
          </w:p>
        </w:tc>
        <w:tc>
          <w:tcPr>
            <w:tcW w:w="3026" w:type="dxa"/>
            <w:tcMar>
              <w:top w:w="90" w:type="dxa"/>
              <w:left w:w="120" w:type="dxa"/>
              <w:bottom w:w="90" w:type="dxa"/>
              <w:right w:w="120" w:type="dxa"/>
            </w:tcMar>
            <w:vAlign w:val="center"/>
          </w:tcPr>
          <w:p w14:paraId="26789EB2">
            <w:pPr>
              <w:pStyle w:val="33"/>
            </w:pPr>
            <w:r>
              <w:t>固定节点二维温度场及一维中心线结果</w:t>
            </w:r>
          </w:p>
        </w:tc>
      </w:tr>
      <w:tr w14:paraId="45C0C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90" w:type="dxa"/>
              <w:left w:w="120" w:type="dxa"/>
              <w:bottom w:w="90" w:type="dxa"/>
              <w:right w:w="120" w:type="dxa"/>
            </w:tcMar>
            <w:vAlign w:val="center"/>
          </w:tcPr>
          <w:p w14:paraId="7472DF51">
            <w:pPr>
              <w:pStyle w:val="33"/>
            </w:pPr>
            <w:r>
              <w:t>训练约束</w:t>
            </w:r>
          </w:p>
        </w:tc>
        <w:tc>
          <w:tcPr>
            <w:tcW w:w="4200" w:type="dxa"/>
            <w:tcMar>
              <w:top w:w="90" w:type="dxa"/>
              <w:left w:w="120" w:type="dxa"/>
              <w:bottom w:w="90" w:type="dxa"/>
              <w:right w:w="120" w:type="dxa"/>
            </w:tcMar>
            <w:vAlign w:val="center"/>
          </w:tcPr>
          <w:p w14:paraId="75EE128B">
            <w:pPr>
              <w:pStyle w:val="33"/>
            </w:pPr>
            <w:r>
              <w:t>以MSE为主要监督损失，叠加PINN物理残差与平滑约束。</w:t>
            </w:r>
          </w:p>
        </w:tc>
        <w:tc>
          <w:tcPr>
            <w:tcW w:w="3026" w:type="dxa"/>
            <w:tcMar>
              <w:top w:w="90" w:type="dxa"/>
              <w:left w:w="120" w:type="dxa"/>
              <w:bottom w:w="90" w:type="dxa"/>
              <w:right w:w="120" w:type="dxa"/>
            </w:tcMar>
            <w:vAlign w:val="center"/>
          </w:tcPr>
          <w:p w14:paraId="494A62E5">
            <w:pPr>
              <w:pStyle w:val="33"/>
            </w:pPr>
            <w:r>
              <w:t>更新模型权重并改善空间连续性</w:t>
            </w:r>
          </w:p>
        </w:tc>
      </w:tr>
    </w:tbl>
    <w:p w14:paraId="0F1A182B">
      <w:pPr>
        <w:pStyle w:val="6"/>
      </w:pPr>
      <w:r>
        <w:t>PINN物理约束与联合训练</w:t>
      </w:r>
    </w:p>
    <w:p w14:paraId="771DE257">
      <w:pPr>
        <w:pStyle w:val="3"/>
      </w:pPr>
      <w:r>
        <w:t>训练目标以预测温度场与参考温度场之间的均方误差为主要监督项，并结合固定物理节点的真实坐标、材料分区和空间邻接关系构造物理约束。相邻节点温度差形成空间平滑先验，离散空间拉普拉斯残差用于约束局部场分布的一致性；接触界面两侧节点保留独立材料和界面身份，避免将不同材料或界面两侧节点作为普通连续节点直接平滑。</w:t>
      </w:r>
    </w:p>
    <w:p w14:paraId="508110B3">
      <w:pPr>
        <w:pStyle w:val="36"/>
      </w:pPr>
      <w:r>
        <w:tab/>
      </w:r>
      <w:r>
        <w:rPr>
          <w:rFonts w:eastAsia="Cambria Math"/>
          <w:sz w:val="22"/>
        </w:rPr>
        <w:t>L = L_MSE + λₚ L_phys + λₛ L_smooth</w:t>
      </w:r>
      <w:r>
        <w:tab/>
      </w: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公式 \* ARABIC \s 1</w:instrText>
      </w:r>
      <w:r>
        <w:instrText xml:space="preserve"> </w:instrText>
      </w:r>
      <w:r>
        <w:fldChar w:fldCharType="separate"/>
      </w:r>
      <w:r>
        <w:t>32</w:t>
      </w:r>
      <w:r>
        <w:fldChar w:fldCharType="end"/>
      </w:r>
      <w:r>
        <w:rPr>
          <w:rFonts w:hint="eastAsia"/>
        </w:rPr>
        <w:t>)</w:t>
      </w:r>
    </w:p>
    <w:p w14:paraId="026A8EDA">
      <w:pPr>
        <w:pStyle w:val="31"/>
      </w:pPr>
      <w:r>
        <w:t>式中，L_MSE为固定物理节点温度场监督损失，L_phys为基于空间邻接关系构造的物理残差，L_smooth为场分布平滑损失，λₚ和λₛ为相应权重。联合训练通过反向传播共同更新CNN、LSTM和BP融合网络参数，使预测结果在满足测温精度要求的同时保持合理的空间连续性。</w:t>
      </w:r>
    </w:p>
    <w:p w14:paraId="4CF70348">
      <w:pPr>
        <w:pStyle w:val="6"/>
      </w:pPr>
      <w:r>
        <w:t>固定物理节点温度场表示</w:t>
      </w:r>
    </w:p>
    <w:p w14:paraId="3B45C2F1">
      <w:pPr>
        <w:pStyle w:val="3"/>
      </w:pPr>
      <w:r>
        <w:rPr>
          <w:rFonts w:hint="eastAsia"/>
        </w:rPr>
        <w:t>二维有限元温度场包含约23万个原始节点。系统采用确定性的空间分层采样形成10,000个固定物理节点，并保留原始节点编号、物理坐标、温度标签、材料组分、边界身份以及接触界面两侧身份。固定采样索引在训练、验证、测试和工程预测中保持一致，确保模型输出与真实空间位置一一对应。</w:t>
      </w:r>
    </w:p>
    <w:p w14:paraId="7E546399">
      <w:pPr>
        <w:pStyle w:val="3"/>
      </w:pPr>
      <w:r>
        <w:rPr>
          <w:rFonts w:hint="eastAsia"/>
        </w:rPr>
        <w:t>固定节点表示将高维有限元场转化为可重复调用的统一模型输出，同时保留边界、界面和材料分区信息，可用于全场绘图、中心线提取、代表性测点映射和分区域误差统计。一维结果由二维场归一化x=0.50中心线提取，不改变二维模型的波形输入和基础网络结构。</w:t>
      </w:r>
    </w:p>
    <w:p w14:paraId="067DF2CD">
      <w:pPr>
        <w:pStyle w:val="5"/>
      </w:pPr>
      <w:bookmarkStart w:id="96" w:name="_Ref235904351"/>
      <w:bookmarkStart w:id="97" w:name="_Toc235910467"/>
      <w:r>
        <w:rPr>
          <w:rFonts w:hint="eastAsia"/>
        </w:rPr>
        <w:t>温度—声学参数数据库构建</w:t>
      </w:r>
      <w:bookmarkEnd w:id="96"/>
      <w:bookmarkEnd w:id="97"/>
    </w:p>
    <w:p w14:paraId="28D84CA9">
      <w:pPr>
        <w:pStyle w:val="6"/>
      </w:pPr>
      <w:r>
        <w:t>三类材料数据组织</w:t>
      </w:r>
    </w:p>
    <w:p w14:paraId="0D01ACFD">
      <w:pPr>
        <w:pStyle w:val="3"/>
      </w:pPr>
      <w:r>
        <w:t>数据库按多层材料、金属基复合材料和硅基复合材料分类组织。三类材料共形成1400组仿真超声波形—温度场配对样本，其中两层W30Mo70钨钼合金多层材料1000组、W基体/SiC纤维金属基复合材料200组、SiC纤维/CVI-SiC基体硅基复合材料200组，温度范围均为300～1500K。W30Mo70实验数据不少于20组，作为模型验证、增量更新和实测数据适配的重要数据来源。</w:t>
      </w:r>
    </w:p>
    <w:p w14:paraId="1456253A">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31</w:t>
      </w:r>
      <w:r>
        <w:fldChar w:fldCharType="end"/>
      </w:r>
      <w:r>
        <w:rPr>
          <w:rFonts w:hint="eastAsia"/>
        </w:rPr>
        <w:t>三类材料温度—声学数据资源</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3"/>
        <w:gridCol w:w="3391"/>
        <w:gridCol w:w="1453"/>
        <w:gridCol w:w="2447"/>
      </w:tblGrid>
      <w:tr w14:paraId="7F1D7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31" w:type="pct"/>
            <w:tcMar>
              <w:top w:w="90" w:type="dxa"/>
              <w:left w:w="120" w:type="dxa"/>
              <w:bottom w:w="90" w:type="dxa"/>
              <w:right w:w="120" w:type="dxa"/>
            </w:tcMar>
            <w:vAlign w:val="center"/>
          </w:tcPr>
          <w:p w14:paraId="47DEE834">
            <w:pPr>
              <w:pStyle w:val="33"/>
            </w:pPr>
            <w:r>
              <w:rPr>
                <w:b/>
              </w:rPr>
              <w:t>数据类别</w:t>
            </w:r>
          </w:p>
        </w:tc>
        <w:tc>
          <w:tcPr>
            <w:tcW w:w="1939" w:type="pct"/>
            <w:tcMar>
              <w:top w:w="90" w:type="dxa"/>
              <w:left w:w="120" w:type="dxa"/>
              <w:bottom w:w="90" w:type="dxa"/>
              <w:right w:w="120" w:type="dxa"/>
            </w:tcMar>
            <w:vAlign w:val="center"/>
          </w:tcPr>
          <w:p w14:paraId="4D7EED54">
            <w:pPr>
              <w:pStyle w:val="33"/>
            </w:pPr>
            <w:r>
              <w:rPr>
                <w:b/>
              </w:rPr>
              <w:t>材料体系</w:t>
            </w:r>
          </w:p>
        </w:tc>
        <w:tc>
          <w:tcPr>
            <w:tcW w:w="831" w:type="pct"/>
            <w:tcMar>
              <w:top w:w="90" w:type="dxa"/>
              <w:left w:w="120" w:type="dxa"/>
              <w:bottom w:w="90" w:type="dxa"/>
              <w:right w:w="120" w:type="dxa"/>
            </w:tcMar>
            <w:vAlign w:val="center"/>
          </w:tcPr>
          <w:p w14:paraId="19639293">
            <w:pPr>
              <w:pStyle w:val="33"/>
            </w:pPr>
            <w:r>
              <w:rPr>
                <w:b/>
              </w:rPr>
              <w:t>数据量</w:t>
            </w:r>
          </w:p>
        </w:tc>
        <w:tc>
          <w:tcPr>
            <w:tcW w:w="1399" w:type="pct"/>
            <w:tcMar>
              <w:top w:w="90" w:type="dxa"/>
              <w:left w:w="120" w:type="dxa"/>
              <w:bottom w:w="90" w:type="dxa"/>
              <w:right w:w="120" w:type="dxa"/>
            </w:tcMar>
            <w:vAlign w:val="center"/>
          </w:tcPr>
          <w:p w14:paraId="1BFAC9D3">
            <w:pPr>
              <w:pStyle w:val="33"/>
            </w:pPr>
            <w:r>
              <w:rPr>
                <w:b/>
              </w:rPr>
              <w:t>温度范围</w:t>
            </w:r>
          </w:p>
        </w:tc>
      </w:tr>
      <w:tr w14:paraId="7AD7A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1" w:type="pct"/>
            <w:tcMar>
              <w:top w:w="90" w:type="dxa"/>
              <w:left w:w="120" w:type="dxa"/>
              <w:bottom w:w="90" w:type="dxa"/>
              <w:right w:w="120" w:type="dxa"/>
            </w:tcMar>
            <w:vAlign w:val="center"/>
          </w:tcPr>
          <w:p w14:paraId="28198B52">
            <w:pPr>
              <w:pStyle w:val="33"/>
            </w:pPr>
            <w:r>
              <w:t>仿真数据</w:t>
            </w:r>
          </w:p>
        </w:tc>
        <w:tc>
          <w:tcPr>
            <w:tcW w:w="1939" w:type="pct"/>
            <w:tcMar>
              <w:top w:w="90" w:type="dxa"/>
              <w:left w:w="120" w:type="dxa"/>
              <w:bottom w:w="90" w:type="dxa"/>
              <w:right w:w="120" w:type="dxa"/>
            </w:tcMar>
            <w:vAlign w:val="center"/>
          </w:tcPr>
          <w:p w14:paraId="77028973">
            <w:pPr>
              <w:pStyle w:val="33"/>
            </w:pPr>
            <w:r>
              <w:t>两层W30Mo70钨钼合金多层材料</w:t>
            </w:r>
          </w:p>
        </w:tc>
        <w:tc>
          <w:tcPr>
            <w:tcW w:w="831" w:type="pct"/>
            <w:tcMar>
              <w:top w:w="90" w:type="dxa"/>
              <w:left w:w="120" w:type="dxa"/>
              <w:bottom w:w="90" w:type="dxa"/>
              <w:right w:w="120" w:type="dxa"/>
            </w:tcMar>
            <w:vAlign w:val="center"/>
          </w:tcPr>
          <w:p w14:paraId="375FF79D">
            <w:pPr>
              <w:pStyle w:val="33"/>
            </w:pPr>
            <w:r>
              <w:t>1000组</w:t>
            </w:r>
          </w:p>
        </w:tc>
        <w:tc>
          <w:tcPr>
            <w:tcW w:w="1399" w:type="pct"/>
            <w:tcMar>
              <w:top w:w="90" w:type="dxa"/>
              <w:left w:w="120" w:type="dxa"/>
              <w:bottom w:w="90" w:type="dxa"/>
              <w:right w:w="120" w:type="dxa"/>
            </w:tcMar>
            <w:vAlign w:val="center"/>
          </w:tcPr>
          <w:p w14:paraId="77AB1F2B">
            <w:pPr>
              <w:pStyle w:val="33"/>
            </w:pPr>
            <w:r>
              <w:t>300～1500 K</w:t>
            </w:r>
          </w:p>
        </w:tc>
      </w:tr>
      <w:tr w14:paraId="15ADC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1" w:type="pct"/>
            <w:tcMar>
              <w:top w:w="90" w:type="dxa"/>
              <w:left w:w="120" w:type="dxa"/>
              <w:bottom w:w="90" w:type="dxa"/>
              <w:right w:w="120" w:type="dxa"/>
            </w:tcMar>
            <w:vAlign w:val="center"/>
          </w:tcPr>
          <w:p w14:paraId="3EFC0317">
            <w:pPr>
              <w:pStyle w:val="33"/>
            </w:pPr>
            <w:r>
              <w:t>仿真数据</w:t>
            </w:r>
          </w:p>
        </w:tc>
        <w:tc>
          <w:tcPr>
            <w:tcW w:w="1939" w:type="pct"/>
            <w:tcMar>
              <w:top w:w="90" w:type="dxa"/>
              <w:left w:w="120" w:type="dxa"/>
              <w:bottom w:w="90" w:type="dxa"/>
              <w:right w:w="120" w:type="dxa"/>
            </w:tcMar>
            <w:vAlign w:val="center"/>
          </w:tcPr>
          <w:p w14:paraId="650F4FB6">
            <w:pPr>
              <w:pStyle w:val="33"/>
            </w:pPr>
            <w:r>
              <w:t>W基体/SiC纤维金属基复合材料</w:t>
            </w:r>
          </w:p>
        </w:tc>
        <w:tc>
          <w:tcPr>
            <w:tcW w:w="831" w:type="pct"/>
            <w:tcMar>
              <w:top w:w="90" w:type="dxa"/>
              <w:left w:w="120" w:type="dxa"/>
              <w:bottom w:w="90" w:type="dxa"/>
              <w:right w:w="120" w:type="dxa"/>
            </w:tcMar>
            <w:vAlign w:val="center"/>
          </w:tcPr>
          <w:p w14:paraId="1771E877">
            <w:pPr>
              <w:pStyle w:val="33"/>
            </w:pPr>
            <w:r>
              <w:t>200组</w:t>
            </w:r>
          </w:p>
        </w:tc>
        <w:tc>
          <w:tcPr>
            <w:tcW w:w="1399" w:type="pct"/>
            <w:tcMar>
              <w:top w:w="90" w:type="dxa"/>
              <w:left w:w="120" w:type="dxa"/>
              <w:bottom w:w="90" w:type="dxa"/>
              <w:right w:w="120" w:type="dxa"/>
            </w:tcMar>
            <w:vAlign w:val="center"/>
          </w:tcPr>
          <w:p w14:paraId="07EFCD90">
            <w:pPr>
              <w:pStyle w:val="33"/>
            </w:pPr>
            <w:r>
              <w:t>300～1500 K</w:t>
            </w:r>
          </w:p>
        </w:tc>
      </w:tr>
      <w:tr w14:paraId="4472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1" w:type="pct"/>
            <w:tcMar>
              <w:top w:w="90" w:type="dxa"/>
              <w:left w:w="120" w:type="dxa"/>
              <w:bottom w:w="90" w:type="dxa"/>
              <w:right w:w="120" w:type="dxa"/>
            </w:tcMar>
            <w:vAlign w:val="center"/>
          </w:tcPr>
          <w:p w14:paraId="46B2AC94">
            <w:pPr>
              <w:pStyle w:val="33"/>
            </w:pPr>
            <w:r>
              <w:t>仿真数据</w:t>
            </w:r>
          </w:p>
        </w:tc>
        <w:tc>
          <w:tcPr>
            <w:tcW w:w="1939" w:type="pct"/>
            <w:tcMar>
              <w:top w:w="90" w:type="dxa"/>
              <w:left w:w="120" w:type="dxa"/>
              <w:bottom w:w="90" w:type="dxa"/>
              <w:right w:w="120" w:type="dxa"/>
            </w:tcMar>
            <w:vAlign w:val="center"/>
          </w:tcPr>
          <w:p w14:paraId="4F938E9E">
            <w:pPr>
              <w:pStyle w:val="33"/>
            </w:pPr>
            <w:r>
              <w:t>SiC纤维/CVI-SiC基体硅基复合材料</w:t>
            </w:r>
          </w:p>
        </w:tc>
        <w:tc>
          <w:tcPr>
            <w:tcW w:w="831" w:type="pct"/>
            <w:tcMar>
              <w:top w:w="90" w:type="dxa"/>
              <w:left w:w="120" w:type="dxa"/>
              <w:bottom w:w="90" w:type="dxa"/>
              <w:right w:w="120" w:type="dxa"/>
            </w:tcMar>
            <w:vAlign w:val="center"/>
          </w:tcPr>
          <w:p w14:paraId="6AD32FF8">
            <w:pPr>
              <w:pStyle w:val="33"/>
            </w:pPr>
            <w:r>
              <w:t>200组</w:t>
            </w:r>
          </w:p>
        </w:tc>
        <w:tc>
          <w:tcPr>
            <w:tcW w:w="1399" w:type="pct"/>
            <w:tcMar>
              <w:top w:w="90" w:type="dxa"/>
              <w:left w:w="120" w:type="dxa"/>
              <w:bottom w:w="90" w:type="dxa"/>
              <w:right w:w="120" w:type="dxa"/>
            </w:tcMar>
            <w:vAlign w:val="center"/>
          </w:tcPr>
          <w:p w14:paraId="42E41E80">
            <w:pPr>
              <w:pStyle w:val="33"/>
            </w:pPr>
            <w:r>
              <w:t>300～1500 K</w:t>
            </w:r>
          </w:p>
        </w:tc>
      </w:tr>
      <w:tr w14:paraId="74164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1" w:type="pct"/>
            <w:tcMar>
              <w:top w:w="90" w:type="dxa"/>
              <w:left w:w="120" w:type="dxa"/>
              <w:bottom w:w="90" w:type="dxa"/>
              <w:right w:w="120" w:type="dxa"/>
            </w:tcMar>
            <w:vAlign w:val="center"/>
          </w:tcPr>
          <w:p w14:paraId="08F1C87D">
            <w:pPr>
              <w:pStyle w:val="33"/>
            </w:pPr>
            <w:r>
              <w:t>仿真合计</w:t>
            </w:r>
          </w:p>
        </w:tc>
        <w:tc>
          <w:tcPr>
            <w:tcW w:w="1939" w:type="pct"/>
            <w:tcMar>
              <w:top w:w="90" w:type="dxa"/>
              <w:left w:w="120" w:type="dxa"/>
              <w:bottom w:w="90" w:type="dxa"/>
              <w:right w:w="120" w:type="dxa"/>
            </w:tcMar>
            <w:vAlign w:val="center"/>
          </w:tcPr>
          <w:p w14:paraId="3EA50ABF">
            <w:pPr>
              <w:pStyle w:val="33"/>
            </w:pPr>
            <w:r>
              <w:t>三类材料波形—温度场配对数据</w:t>
            </w:r>
          </w:p>
        </w:tc>
        <w:tc>
          <w:tcPr>
            <w:tcW w:w="831" w:type="pct"/>
            <w:tcMar>
              <w:top w:w="90" w:type="dxa"/>
              <w:left w:w="120" w:type="dxa"/>
              <w:bottom w:w="90" w:type="dxa"/>
              <w:right w:w="120" w:type="dxa"/>
            </w:tcMar>
            <w:vAlign w:val="center"/>
          </w:tcPr>
          <w:p w14:paraId="5C9A2916">
            <w:pPr>
              <w:pStyle w:val="33"/>
            </w:pPr>
            <w:r>
              <w:t>1400组</w:t>
            </w:r>
          </w:p>
        </w:tc>
        <w:tc>
          <w:tcPr>
            <w:tcW w:w="1399" w:type="pct"/>
            <w:tcMar>
              <w:top w:w="90" w:type="dxa"/>
              <w:left w:w="120" w:type="dxa"/>
              <w:bottom w:w="90" w:type="dxa"/>
              <w:right w:w="120" w:type="dxa"/>
            </w:tcMar>
            <w:vAlign w:val="center"/>
          </w:tcPr>
          <w:p w14:paraId="212719D2">
            <w:pPr>
              <w:pStyle w:val="33"/>
            </w:pPr>
            <w:r>
              <w:t>300～1500 K</w:t>
            </w:r>
          </w:p>
        </w:tc>
      </w:tr>
      <w:tr w14:paraId="299B9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1" w:type="pct"/>
            <w:tcMar>
              <w:top w:w="90" w:type="dxa"/>
              <w:left w:w="120" w:type="dxa"/>
              <w:bottom w:w="90" w:type="dxa"/>
              <w:right w:w="120" w:type="dxa"/>
            </w:tcMar>
            <w:vAlign w:val="center"/>
          </w:tcPr>
          <w:p w14:paraId="1569093F">
            <w:pPr>
              <w:pStyle w:val="33"/>
            </w:pPr>
            <w:r>
              <w:t>实验数据</w:t>
            </w:r>
          </w:p>
        </w:tc>
        <w:tc>
          <w:tcPr>
            <w:tcW w:w="1939" w:type="pct"/>
            <w:tcMar>
              <w:top w:w="90" w:type="dxa"/>
              <w:left w:w="120" w:type="dxa"/>
              <w:bottom w:w="90" w:type="dxa"/>
              <w:right w:w="120" w:type="dxa"/>
            </w:tcMar>
            <w:vAlign w:val="center"/>
          </w:tcPr>
          <w:p w14:paraId="79948263">
            <w:pPr>
              <w:pStyle w:val="33"/>
            </w:pPr>
            <w:r>
              <w:t>两层W30Mo70钨钼合金多层材料</w:t>
            </w:r>
          </w:p>
        </w:tc>
        <w:tc>
          <w:tcPr>
            <w:tcW w:w="831" w:type="pct"/>
            <w:tcMar>
              <w:top w:w="90" w:type="dxa"/>
              <w:left w:w="120" w:type="dxa"/>
              <w:bottom w:w="90" w:type="dxa"/>
              <w:right w:w="120" w:type="dxa"/>
            </w:tcMar>
            <w:vAlign w:val="center"/>
          </w:tcPr>
          <w:p w14:paraId="515AFB43">
            <w:pPr>
              <w:pStyle w:val="33"/>
            </w:pPr>
            <w:r>
              <w:t>不少于20组</w:t>
            </w:r>
          </w:p>
        </w:tc>
        <w:tc>
          <w:tcPr>
            <w:tcW w:w="1399" w:type="pct"/>
            <w:tcMar>
              <w:top w:w="90" w:type="dxa"/>
              <w:left w:w="120" w:type="dxa"/>
              <w:bottom w:w="90" w:type="dxa"/>
              <w:right w:w="120" w:type="dxa"/>
            </w:tcMar>
            <w:vAlign w:val="center"/>
          </w:tcPr>
          <w:p w14:paraId="2A661760">
            <w:pPr>
              <w:pStyle w:val="33"/>
            </w:pPr>
            <w:r>
              <w:t>室温至1500 K</w:t>
            </w:r>
          </w:p>
        </w:tc>
      </w:tr>
    </w:tbl>
    <w:p w14:paraId="50DBBBDE">
      <w:pPr>
        <w:pStyle w:val="33"/>
      </w:pPr>
    </w:p>
    <w:p w14:paraId="18C316DB">
      <w:pPr>
        <w:pStyle w:val="33"/>
      </w:pPr>
      <w:r>
        <w:drawing>
          <wp:inline distT="0" distB="0" distL="114300" distR="114300">
            <wp:extent cx="5327650" cy="2385060"/>
            <wp:effectExtent l="0" t="0" r="6350" b="7620"/>
            <wp:docPr id="1677306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06746" name="Picture 3"/>
                    <pic:cNvPicPr>
                      <a:picLocks noChangeAspect="1"/>
                    </pic:cNvPicPr>
                  </pic:nvPicPr>
                  <pic:blipFill>
                    <a:blip r:embed="rId60"/>
                    <a:stretch>
                      <a:fillRect/>
                    </a:stretch>
                  </pic:blipFill>
                  <pic:spPr>
                    <a:xfrm>
                      <a:off x="0" y="0"/>
                      <a:ext cx="5328000" cy="2385081"/>
                    </a:xfrm>
                    <a:prstGeom prst="rect">
                      <a:avLst/>
                    </a:prstGeom>
                  </pic:spPr>
                </pic:pic>
              </a:graphicData>
            </a:graphic>
          </wp:inline>
        </w:drawing>
      </w:r>
    </w:p>
    <w:p w14:paraId="0F5095EB">
      <w:pPr>
        <w:pStyle w:val="33"/>
      </w:pPr>
      <w:bookmarkStart w:id="98" w:name="_Ref23590471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47</w:t>
      </w:r>
      <w:r>
        <w:fldChar w:fldCharType="end"/>
      </w:r>
      <w:bookmarkEnd w:id="98"/>
      <w:r>
        <w:rPr>
          <w:rFonts w:hint="eastAsia"/>
        </w:rPr>
        <w:t xml:space="preserve"> </w:t>
      </w:r>
      <w:r>
        <w:t>W30Mo70多层材料训练数据目录及manifest记录</w:t>
      </w:r>
    </w:p>
    <w:p w14:paraId="2194215A">
      <w:pPr>
        <w:pStyle w:val="6"/>
      </w:pPr>
      <w:r>
        <w:t>波形—温度场配对与数据划分</w:t>
      </w:r>
    </w:p>
    <w:p w14:paraId="4AD05063">
      <w:pPr>
        <w:pStyle w:val="3"/>
      </w:pPr>
      <w:r>
        <w:rPr>
          <w:rFonts w:hint="eastAsia"/>
        </w:rPr>
        <w:t>标准样本以case为基本单位保存超声接收波形、温度场节点数据及配置文件。建库程序自动发现样本，读取时间列和幅值列，统一温度与坐标单位，完成波形—温度场配对，并将约23万个原始有限元节点映射为10,000个固定物理节点。训练集、验证集和测试集按材料独立配置，验证清单用于每轮模型评估和最佳权重选择。</w:t>
      </w:r>
    </w:p>
    <w:p w14:paraId="34A8C5E0">
      <w:pPr>
        <w:pStyle w:val="3"/>
      </w:pPr>
      <w:r>
        <w:rPr>
          <w:rFonts w:hint="eastAsia"/>
        </w:rPr>
        <w:t>处理后的数据目录包括manifest.json、train_manifest.json、validation_manifest.json、test_manifest.json、split_config.json、mesh_audit.json、sampling_index.npz以及波形和温度场数组。多材料集合通过material_collection.json统一记录各材料清单、数据划分和模型路由关系，使单材料与多材料任务能够采用一致的建库和调用方式。</w:t>
      </w:r>
    </w:p>
    <w:p w14:paraId="49BBE908">
      <w:pPr>
        <w:pStyle w:val="33"/>
      </w:pPr>
      <w:r>
        <w:drawing>
          <wp:inline distT="0" distB="0" distL="114300" distR="114300">
            <wp:extent cx="2971165" cy="2651760"/>
            <wp:effectExtent l="0" t="0" r="635" b="0"/>
            <wp:docPr id="1703755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55578" name="Picture 4"/>
                    <pic:cNvPicPr>
                      <a:picLocks noChangeAspect="1"/>
                    </pic:cNvPicPr>
                  </pic:nvPicPr>
                  <pic:blipFill>
                    <a:blip r:embed="rId61"/>
                    <a:stretch>
                      <a:fillRect/>
                    </a:stretch>
                  </pic:blipFill>
                  <pic:spPr>
                    <a:xfrm>
                      <a:off x="0" y="0"/>
                      <a:ext cx="2982355" cy="2661220"/>
                    </a:xfrm>
                    <a:prstGeom prst="rect">
                      <a:avLst/>
                    </a:prstGeom>
                  </pic:spPr>
                </pic:pic>
              </a:graphicData>
            </a:graphic>
          </wp:inline>
        </w:drawing>
      </w:r>
    </w:p>
    <w:p w14:paraId="48E7BCC2">
      <w:pPr>
        <w:pStyle w:val="33"/>
      </w:pPr>
      <w:bookmarkStart w:id="99" w:name="_Ref23590472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48</w:t>
      </w:r>
      <w:r>
        <w:fldChar w:fldCharType="end"/>
      </w:r>
      <w:bookmarkEnd w:id="99"/>
      <w:r>
        <w:rPr>
          <w:rFonts w:hint="eastAsia"/>
        </w:rPr>
        <w:t>数据库、结果目录及数据库构建图形化界面</w:t>
      </w:r>
    </w:p>
    <w:p w14:paraId="7D414B0B">
      <w:pPr>
        <w:pStyle w:val="6"/>
      </w:pPr>
      <w:r>
        <w:rPr>
          <w:rFonts w:hint="eastAsia"/>
        </w:rPr>
        <w:t>实验数据接入与全过程追溯</w:t>
      </w:r>
    </w:p>
    <w:p w14:paraId="4CE8ECC4">
      <w:pPr>
        <w:pStyle w:val="3"/>
      </w:pPr>
      <w:r>
        <w:rPr>
          <w:rFonts w:hint="eastAsia"/>
        </w:rPr>
        <w:t>实验波形与温度记录采用与仿真数据一致的索引方式进入数据库。登记信息包括样本编号、材料类型、试件几何、采集工况、稳态/瞬态类别、参考温度、原始波形路径、处理后波形路径和数据来源。统一字段使实验数据能够直接用于模型预测、测点对比和在线增量训练。</w:t>
      </w:r>
    </w:p>
    <w:p w14:paraId="1ECFFA24">
      <w:pPr>
        <w:pStyle w:val="3"/>
      </w:pPr>
      <w:r>
        <w:rPr>
          <w:rFonts w:hint="eastAsia"/>
        </w:rPr>
        <w:t>数据库以raw目录保存原始实验数据，以data_process目录保存预处理结果、索引和配对记录，以result目录保存模型训练、预测和评估结果。数据清单、模型元数据、checkpoint、运行日志及结果文件共同构成全过程追溯链路，可从温度场预测结果回溯至所用模型、采样索引、预处理参数和原始波形。</w:t>
      </w:r>
    </w:p>
    <w:p w14:paraId="2BBBEFE0">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32</w:t>
      </w:r>
      <w:r>
        <w:fldChar w:fldCharType="end"/>
      </w:r>
      <w:r>
        <w:rPr>
          <w:rFonts w:hint="eastAsia"/>
        </w:rPr>
        <w:t>数据文件与全过程追溯关系</w:t>
      </w:r>
    </w:p>
    <w:tbl>
      <w:tblPr>
        <w:tblStyle w:val="22"/>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0"/>
        <w:gridCol w:w="3000"/>
        <w:gridCol w:w="2200"/>
        <w:gridCol w:w="2426"/>
      </w:tblGrid>
      <w:tr w14:paraId="6974F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400" w:type="dxa"/>
            <w:tcMar>
              <w:top w:w="90" w:type="dxa"/>
              <w:left w:w="120" w:type="dxa"/>
              <w:bottom w:w="90" w:type="dxa"/>
              <w:right w:w="120" w:type="dxa"/>
            </w:tcMar>
            <w:vAlign w:val="center"/>
          </w:tcPr>
          <w:p w14:paraId="63EE3213">
            <w:pPr>
              <w:pStyle w:val="33"/>
            </w:pPr>
            <w:r>
              <w:t>类别</w:t>
            </w:r>
          </w:p>
        </w:tc>
        <w:tc>
          <w:tcPr>
            <w:tcW w:w="3000" w:type="dxa"/>
            <w:tcMar>
              <w:top w:w="90" w:type="dxa"/>
              <w:left w:w="120" w:type="dxa"/>
              <w:bottom w:w="90" w:type="dxa"/>
              <w:right w:w="120" w:type="dxa"/>
            </w:tcMar>
            <w:vAlign w:val="center"/>
          </w:tcPr>
          <w:p w14:paraId="4403EA9A">
            <w:pPr>
              <w:pStyle w:val="33"/>
            </w:pPr>
            <w:r>
              <w:t>主要内容</w:t>
            </w:r>
          </w:p>
        </w:tc>
        <w:tc>
          <w:tcPr>
            <w:tcW w:w="2200" w:type="dxa"/>
            <w:tcMar>
              <w:top w:w="90" w:type="dxa"/>
              <w:left w:w="120" w:type="dxa"/>
              <w:bottom w:w="90" w:type="dxa"/>
              <w:right w:w="120" w:type="dxa"/>
            </w:tcMar>
            <w:vAlign w:val="center"/>
          </w:tcPr>
          <w:p w14:paraId="654BFEC5">
            <w:pPr>
              <w:pStyle w:val="33"/>
            </w:pPr>
            <w:r>
              <w:t>形成文件</w:t>
            </w:r>
          </w:p>
        </w:tc>
        <w:tc>
          <w:tcPr>
            <w:tcW w:w="2426" w:type="dxa"/>
            <w:tcMar>
              <w:top w:w="90" w:type="dxa"/>
              <w:left w:w="120" w:type="dxa"/>
              <w:bottom w:w="90" w:type="dxa"/>
              <w:right w:w="120" w:type="dxa"/>
            </w:tcMar>
            <w:vAlign w:val="center"/>
          </w:tcPr>
          <w:p w14:paraId="2F79A9D4">
            <w:pPr>
              <w:pStyle w:val="33"/>
            </w:pPr>
            <w:r>
              <w:t>作用</w:t>
            </w:r>
          </w:p>
        </w:tc>
      </w:tr>
      <w:tr w14:paraId="51E8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Mar>
              <w:top w:w="90" w:type="dxa"/>
              <w:left w:w="120" w:type="dxa"/>
              <w:bottom w:w="90" w:type="dxa"/>
              <w:right w:w="120" w:type="dxa"/>
            </w:tcMar>
            <w:vAlign w:val="center"/>
          </w:tcPr>
          <w:p w14:paraId="46479B14">
            <w:pPr>
              <w:pStyle w:val="33"/>
            </w:pPr>
            <w:r>
              <w:t>原始数据</w:t>
            </w:r>
          </w:p>
        </w:tc>
        <w:tc>
          <w:tcPr>
            <w:tcW w:w="3000" w:type="dxa"/>
            <w:tcMar>
              <w:top w:w="90" w:type="dxa"/>
              <w:left w:w="120" w:type="dxa"/>
              <w:bottom w:w="90" w:type="dxa"/>
              <w:right w:w="120" w:type="dxa"/>
            </w:tcMar>
            <w:vAlign w:val="center"/>
          </w:tcPr>
          <w:p w14:paraId="44153298">
            <w:pPr>
              <w:pStyle w:val="33"/>
            </w:pPr>
            <w:r>
              <w:t>仿真/实验波形、温度场及配置</w:t>
            </w:r>
          </w:p>
        </w:tc>
        <w:tc>
          <w:tcPr>
            <w:tcW w:w="2200" w:type="dxa"/>
            <w:tcMar>
              <w:top w:w="90" w:type="dxa"/>
              <w:left w:w="120" w:type="dxa"/>
              <w:bottom w:w="90" w:type="dxa"/>
              <w:right w:w="120" w:type="dxa"/>
            </w:tcMar>
            <w:vAlign w:val="center"/>
          </w:tcPr>
          <w:p w14:paraId="7C42D35F">
            <w:pPr>
              <w:pStyle w:val="33"/>
            </w:pPr>
            <w:r>
              <w:t>raw、case目录</w:t>
            </w:r>
          </w:p>
        </w:tc>
        <w:tc>
          <w:tcPr>
            <w:tcW w:w="2426" w:type="dxa"/>
            <w:tcMar>
              <w:top w:w="90" w:type="dxa"/>
              <w:left w:w="120" w:type="dxa"/>
              <w:bottom w:w="90" w:type="dxa"/>
              <w:right w:w="120" w:type="dxa"/>
            </w:tcMar>
            <w:vAlign w:val="center"/>
          </w:tcPr>
          <w:p w14:paraId="2AB3E1C4">
            <w:pPr>
              <w:pStyle w:val="33"/>
            </w:pPr>
            <w:r>
              <w:t>保留数据来源和原始工况</w:t>
            </w:r>
          </w:p>
        </w:tc>
      </w:tr>
      <w:tr w14:paraId="590D1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Mar>
              <w:top w:w="90" w:type="dxa"/>
              <w:left w:w="120" w:type="dxa"/>
              <w:bottom w:w="90" w:type="dxa"/>
              <w:right w:w="120" w:type="dxa"/>
            </w:tcMar>
            <w:vAlign w:val="center"/>
          </w:tcPr>
          <w:p w14:paraId="71959145">
            <w:pPr>
              <w:pStyle w:val="33"/>
            </w:pPr>
            <w:r>
              <w:t>处理数据</w:t>
            </w:r>
          </w:p>
        </w:tc>
        <w:tc>
          <w:tcPr>
            <w:tcW w:w="3000" w:type="dxa"/>
            <w:tcMar>
              <w:top w:w="90" w:type="dxa"/>
              <w:left w:w="120" w:type="dxa"/>
              <w:bottom w:w="90" w:type="dxa"/>
              <w:right w:w="120" w:type="dxa"/>
            </w:tcMar>
            <w:vAlign w:val="center"/>
          </w:tcPr>
          <w:p w14:paraId="11F2EACC">
            <w:pPr>
              <w:pStyle w:val="33"/>
            </w:pPr>
            <w:r>
              <w:t>波形数组、固定节点温度场、采样索引</w:t>
            </w:r>
          </w:p>
        </w:tc>
        <w:tc>
          <w:tcPr>
            <w:tcW w:w="2200" w:type="dxa"/>
            <w:tcMar>
              <w:top w:w="90" w:type="dxa"/>
              <w:left w:w="120" w:type="dxa"/>
              <w:bottom w:w="90" w:type="dxa"/>
              <w:right w:w="120" w:type="dxa"/>
            </w:tcMar>
            <w:vAlign w:val="center"/>
          </w:tcPr>
          <w:p w14:paraId="2F2648C9">
            <w:pPr>
              <w:pStyle w:val="33"/>
            </w:pPr>
            <w:r>
              <w:t>waveforms、temperature_fields、sampling_index</w:t>
            </w:r>
          </w:p>
        </w:tc>
        <w:tc>
          <w:tcPr>
            <w:tcW w:w="2426" w:type="dxa"/>
            <w:tcMar>
              <w:top w:w="90" w:type="dxa"/>
              <w:left w:w="120" w:type="dxa"/>
              <w:bottom w:w="90" w:type="dxa"/>
              <w:right w:w="120" w:type="dxa"/>
            </w:tcMar>
            <w:vAlign w:val="center"/>
          </w:tcPr>
          <w:p w14:paraId="6AC31518">
            <w:pPr>
              <w:pStyle w:val="33"/>
            </w:pPr>
            <w:r>
              <w:t>形成统一模型输入输出</w:t>
            </w:r>
          </w:p>
        </w:tc>
      </w:tr>
      <w:tr w14:paraId="0A26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Mar>
              <w:top w:w="90" w:type="dxa"/>
              <w:left w:w="120" w:type="dxa"/>
              <w:bottom w:w="90" w:type="dxa"/>
              <w:right w:w="120" w:type="dxa"/>
            </w:tcMar>
            <w:vAlign w:val="center"/>
          </w:tcPr>
          <w:p w14:paraId="6740D4C6">
            <w:pPr>
              <w:pStyle w:val="33"/>
            </w:pPr>
            <w:r>
              <w:t>数据清单</w:t>
            </w:r>
          </w:p>
        </w:tc>
        <w:tc>
          <w:tcPr>
            <w:tcW w:w="3000" w:type="dxa"/>
            <w:tcMar>
              <w:top w:w="90" w:type="dxa"/>
              <w:left w:w="120" w:type="dxa"/>
              <w:bottom w:w="90" w:type="dxa"/>
              <w:right w:w="120" w:type="dxa"/>
            </w:tcMar>
            <w:vAlign w:val="center"/>
          </w:tcPr>
          <w:p w14:paraId="3D2F9010">
            <w:pPr>
              <w:pStyle w:val="33"/>
            </w:pPr>
            <w:r>
              <w:t>材料、温度、路径、划分和来源字段</w:t>
            </w:r>
          </w:p>
        </w:tc>
        <w:tc>
          <w:tcPr>
            <w:tcW w:w="2200" w:type="dxa"/>
            <w:tcMar>
              <w:top w:w="90" w:type="dxa"/>
              <w:left w:w="120" w:type="dxa"/>
              <w:bottom w:w="90" w:type="dxa"/>
              <w:right w:w="120" w:type="dxa"/>
            </w:tcMar>
            <w:vAlign w:val="center"/>
          </w:tcPr>
          <w:p w14:paraId="64B6915F">
            <w:pPr>
              <w:pStyle w:val="33"/>
            </w:pPr>
            <w:r>
              <w:t>manifest、material_collection</w:t>
            </w:r>
          </w:p>
        </w:tc>
        <w:tc>
          <w:tcPr>
            <w:tcW w:w="2426" w:type="dxa"/>
            <w:tcMar>
              <w:top w:w="90" w:type="dxa"/>
              <w:left w:w="120" w:type="dxa"/>
              <w:bottom w:w="90" w:type="dxa"/>
              <w:right w:w="120" w:type="dxa"/>
            </w:tcMar>
            <w:vAlign w:val="center"/>
          </w:tcPr>
          <w:p w14:paraId="4AF3E85D">
            <w:pPr>
              <w:pStyle w:val="33"/>
            </w:pPr>
            <w:r>
              <w:t>样本调用与多材料管理</w:t>
            </w:r>
          </w:p>
        </w:tc>
      </w:tr>
      <w:tr w14:paraId="20B3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Mar>
              <w:top w:w="90" w:type="dxa"/>
              <w:left w:w="120" w:type="dxa"/>
              <w:bottom w:w="90" w:type="dxa"/>
              <w:right w:w="120" w:type="dxa"/>
            </w:tcMar>
            <w:vAlign w:val="center"/>
          </w:tcPr>
          <w:p w14:paraId="7478B686">
            <w:pPr>
              <w:pStyle w:val="33"/>
            </w:pPr>
            <w:r>
              <w:t>模型记录</w:t>
            </w:r>
          </w:p>
        </w:tc>
        <w:tc>
          <w:tcPr>
            <w:tcW w:w="3000" w:type="dxa"/>
            <w:tcMar>
              <w:top w:w="90" w:type="dxa"/>
              <w:left w:w="120" w:type="dxa"/>
              <w:bottom w:w="90" w:type="dxa"/>
              <w:right w:w="120" w:type="dxa"/>
            </w:tcMar>
            <w:vAlign w:val="center"/>
          </w:tcPr>
          <w:p w14:paraId="55FF2086">
            <w:pPr>
              <w:pStyle w:val="33"/>
            </w:pPr>
            <w:r>
              <w:t>结构、统计量、预处理参数和节点指纹</w:t>
            </w:r>
          </w:p>
        </w:tc>
        <w:tc>
          <w:tcPr>
            <w:tcW w:w="2200" w:type="dxa"/>
            <w:tcMar>
              <w:top w:w="90" w:type="dxa"/>
              <w:left w:w="120" w:type="dxa"/>
              <w:bottom w:w="90" w:type="dxa"/>
              <w:right w:w="120" w:type="dxa"/>
            </w:tcMar>
            <w:vAlign w:val="center"/>
          </w:tcPr>
          <w:p w14:paraId="378F999C">
            <w:pPr>
              <w:pStyle w:val="33"/>
            </w:pPr>
            <w:r>
              <w:t>checkpoint、规则文件</w:t>
            </w:r>
          </w:p>
        </w:tc>
        <w:tc>
          <w:tcPr>
            <w:tcW w:w="2426" w:type="dxa"/>
            <w:tcMar>
              <w:top w:w="90" w:type="dxa"/>
              <w:left w:w="120" w:type="dxa"/>
              <w:bottom w:w="90" w:type="dxa"/>
              <w:right w:w="120" w:type="dxa"/>
            </w:tcMar>
            <w:vAlign w:val="center"/>
          </w:tcPr>
          <w:p w14:paraId="1B04C2DA">
            <w:pPr>
              <w:pStyle w:val="33"/>
            </w:pPr>
            <w:r>
              <w:t>保证训练与预测一致</w:t>
            </w:r>
          </w:p>
        </w:tc>
      </w:tr>
      <w:tr w14:paraId="2A41E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Mar>
              <w:top w:w="90" w:type="dxa"/>
              <w:left w:w="120" w:type="dxa"/>
              <w:bottom w:w="90" w:type="dxa"/>
              <w:right w:w="120" w:type="dxa"/>
            </w:tcMar>
            <w:vAlign w:val="center"/>
          </w:tcPr>
          <w:p w14:paraId="2F104A35">
            <w:pPr>
              <w:pStyle w:val="33"/>
            </w:pPr>
            <w:r>
              <w:t>结果记录</w:t>
            </w:r>
          </w:p>
        </w:tc>
        <w:tc>
          <w:tcPr>
            <w:tcW w:w="3000" w:type="dxa"/>
            <w:tcMar>
              <w:top w:w="90" w:type="dxa"/>
              <w:left w:w="120" w:type="dxa"/>
              <w:bottom w:w="90" w:type="dxa"/>
              <w:right w:w="120" w:type="dxa"/>
            </w:tcMar>
            <w:vAlign w:val="center"/>
          </w:tcPr>
          <w:p w14:paraId="1EFBAEE5">
            <w:pPr>
              <w:pStyle w:val="33"/>
            </w:pPr>
            <w:r>
              <w:t>预测温度、指标、图像和运行环境</w:t>
            </w:r>
          </w:p>
        </w:tc>
        <w:tc>
          <w:tcPr>
            <w:tcW w:w="2200" w:type="dxa"/>
            <w:tcMar>
              <w:top w:w="90" w:type="dxa"/>
              <w:left w:w="120" w:type="dxa"/>
              <w:bottom w:w="90" w:type="dxa"/>
              <w:right w:w="120" w:type="dxa"/>
            </w:tcMar>
            <w:vAlign w:val="center"/>
          </w:tcPr>
          <w:p w14:paraId="3871404A">
            <w:pPr>
              <w:pStyle w:val="33"/>
            </w:pPr>
            <w:r>
              <w:t>CSV、NPZ、JSON、PNG</w:t>
            </w:r>
          </w:p>
        </w:tc>
        <w:tc>
          <w:tcPr>
            <w:tcW w:w="2426" w:type="dxa"/>
            <w:tcMar>
              <w:top w:w="90" w:type="dxa"/>
              <w:left w:w="120" w:type="dxa"/>
              <w:bottom w:w="90" w:type="dxa"/>
              <w:right w:w="120" w:type="dxa"/>
            </w:tcMar>
            <w:vAlign w:val="center"/>
          </w:tcPr>
          <w:p w14:paraId="6BBC1A17">
            <w:pPr>
              <w:pStyle w:val="33"/>
            </w:pPr>
            <w:r>
              <w:t>精度评价与工程追溯</w:t>
            </w:r>
          </w:p>
        </w:tc>
      </w:tr>
    </w:tbl>
    <w:p w14:paraId="3C857826">
      <w:pPr>
        <w:pStyle w:val="5"/>
      </w:pPr>
      <w:bookmarkStart w:id="100" w:name="_Toc235910468"/>
      <w:r>
        <w:t>程序开发及智能重构流程</w:t>
      </w:r>
      <w:bookmarkEnd w:id="100"/>
    </w:p>
    <w:p w14:paraId="675F19FA">
      <w:pPr>
        <w:pStyle w:val="6"/>
      </w:pPr>
      <w:bookmarkStart w:id="101" w:name="_Ref235904437"/>
      <w:r>
        <w:rPr>
          <w:rFonts w:hint="eastAsia"/>
        </w:rPr>
        <w:t>Windows图形化与命令行操作</w:t>
      </w:r>
      <w:bookmarkEnd w:id="101"/>
    </w:p>
    <w:p w14:paraId="4674734C">
      <w:pPr>
        <w:pStyle w:val="3"/>
      </w:pPr>
      <w:r>
        <w:rPr>
          <w:rFonts w:hint="eastAsia"/>
        </w:rPr>
        <w:t>系统运行于Windows环境，采用Python组织图形化界面、数据处理、深度学习训练、模型推理和结果导出，并与Fortran数值计算模块协同运行。图形界面依次提供路径设置、构建数据库、训练模型、预测对比、校验数据、增量训练、一键演示和项目清理等操作入口；命令行接口用于服务器批量任务和自动化执行。</w:t>
      </w:r>
    </w:p>
    <w:p w14:paraId="7C77FE87">
      <w:pPr>
        <w:pStyle w:val="3"/>
      </w:pPr>
      <w:r>
        <w:rPr>
          <w:rFonts w:hint="eastAsia"/>
        </w:rPr>
        <w:t>图形化与命令行两种入口共用同一数据格式、模型规则和结果目录。运行任务时，系统核查checkpoint中的模型类型、节点数量、采样指纹、波形长度、温度统计量和预处理参数，保证建库、训练、预测和增量训练过程采用一致的物理节点定义与数据处理规则。</w:t>
      </w:r>
    </w:p>
    <w:p w14:paraId="226C6BAB">
      <w:pPr>
        <w:pStyle w:val="33"/>
      </w:pPr>
      <w:r>
        <w:drawing>
          <wp:inline distT="0" distB="0" distL="114300" distR="114300">
            <wp:extent cx="5327650" cy="2892425"/>
            <wp:effectExtent l="0" t="0" r="6350" b="3175"/>
            <wp:docPr id="814960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60751" name="Picture 5"/>
                    <pic:cNvPicPr>
                      <a:picLocks noChangeAspect="1"/>
                    </pic:cNvPicPr>
                  </pic:nvPicPr>
                  <pic:blipFill>
                    <a:blip r:embed="rId62"/>
                    <a:stretch>
                      <a:fillRect/>
                    </a:stretch>
                  </pic:blipFill>
                  <pic:spPr>
                    <a:xfrm>
                      <a:off x="0" y="0"/>
                      <a:ext cx="5328000" cy="2892907"/>
                    </a:xfrm>
                    <a:prstGeom prst="rect">
                      <a:avLst/>
                    </a:prstGeom>
                  </pic:spPr>
                </pic:pic>
              </a:graphicData>
            </a:graphic>
          </wp:inline>
        </w:drawing>
      </w:r>
    </w:p>
    <w:p w14:paraId="346B44E1">
      <w:pPr>
        <w:pStyle w:val="33"/>
      </w:pPr>
      <w:bookmarkStart w:id="102" w:name="_Ref2359046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49</w:t>
      </w:r>
      <w:r>
        <w:fldChar w:fldCharType="end"/>
      </w:r>
      <w:bookmarkEnd w:id="102"/>
      <w:r>
        <w:rPr>
          <w:rFonts w:hint="eastAsia"/>
        </w:rPr>
        <w:t xml:space="preserve"> AI温度场预测图形化界面</w:t>
      </w:r>
    </w:p>
    <w:p w14:paraId="123E49B4">
      <w:pPr>
        <w:pStyle w:val="6"/>
      </w:pPr>
      <w:bookmarkStart w:id="103" w:name="_Ref235904306"/>
      <w:r>
        <w:rPr>
          <w:rFonts w:hint="eastAsia"/>
        </w:rPr>
        <w:t>模型训练、预测与结果输出</w:t>
      </w:r>
      <w:bookmarkEnd w:id="103"/>
    </w:p>
    <w:p w14:paraId="7A9E2952">
      <w:pPr>
        <w:pStyle w:val="3"/>
      </w:pPr>
      <w:r>
        <w:rPr>
          <w:rFonts w:hint="eastAsia"/>
        </w:rPr>
        <w:t>训练任务可选择单材料数据集或多材料集合，设置任务维度、稳态/瞬态模式、设备、训练轮数和早停参数。分材料训练为每种材料生成独立checkpoint和材料路由文件，验证清单用于最佳模型选择。预测阶段读取材料集合和材料路由，根据样本材料标识自动选择对应模型，输出10,000个固定节点的二维温度场或x=0.50中心线的一维结果。</w:t>
      </w:r>
    </w:p>
    <w:p w14:paraId="20A43211">
      <w:pPr>
        <w:pStyle w:val="3"/>
      </w:pPr>
      <w:r>
        <w:rPr>
          <w:rFonts w:hint="eastAsia"/>
        </w:rPr>
        <w:t>预测结果包括节点编号、坐标、预测温度、参考温度、材料和界面身份；同时形成完整温度场数组、全场与分区误差指标、模型和运行环境元数据、温度场对比图、中心线温度曲线以及独立测速记录。模型文件、数据清单、预测日志和评价结果按任务目录归档。</w:t>
      </w:r>
    </w:p>
    <w:p w14:paraId="562172A4">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33</w:t>
      </w:r>
      <w:r>
        <w:fldChar w:fldCharType="end"/>
      </w:r>
      <w:r>
        <w:rPr>
          <w:rFonts w:hint="eastAsia"/>
        </w:rPr>
        <w:t>程序主要功能与研究输出</w:t>
      </w:r>
    </w:p>
    <w:tbl>
      <w:tblPr>
        <w:tblStyle w:val="22"/>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200"/>
        <w:gridCol w:w="3026"/>
      </w:tblGrid>
      <w:tr w14:paraId="2EE2B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00" w:type="dxa"/>
            <w:tcMar>
              <w:top w:w="90" w:type="dxa"/>
              <w:left w:w="120" w:type="dxa"/>
              <w:bottom w:w="90" w:type="dxa"/>
              <w:right w:w="120" w:type="dxa"/>
            </w:tcMar>
            <w:vAlign w:val="center"/>
          </w:tcPr>
          <w:p w14:paraId="5C37EDD2">
            <w:pPr>
              <w:pStyle w:val="33"/>
            </w:pPr>
            <w:r>
              <w:rPr>
                <w:b/>
              </w:rPr>
              <w:t>功能</w:t>
            </w:r>
          </w:p>
        </w:tc>
        <w:tc>
          <w:tcPr>
            <w:tcW w:w="4200" w:type="dxa"/>
            <w:tcMar>
              <w:top w:w="90" w:type="dxa"/>
              <w:left w:w="120" w:type="dxa"/>
              <w:bottom w:w="90" w:type="dxa"/>
              <w:right w:w="120" w:type="dxa"/>
            </w:tcMar>
            <w:vAlign w:val="center"/>
          </w:tcPr>
          <w:p w14:paraId="68AB6EDF">
            <w:pPr>
              <w:pStyle w:val="33"/>
            </w:pPr>
            <w:r>
              <w:rPr>
                <w:b/>
              </w:rPr>
              <w:t>主要处理</w:t>
            </w:r>
          </w:p>
        </w:tc>
        <w:tc>
          <w:tcPr>
            <w:tcW w:w="3026" w:type="dxa"/>
            <w:tcMar>
              <w:top w:w="90" w:type="dxa"/>
              <w:left w:w="120" w:type="dxa"/>
              <w:bottom w:w="90" w:type="dxa"/>
              <w:right w:w="120" w:type="dxa"/>
            </w:tcMar>
            <w:vAlign w:val="center"/>
          </w:tcPr>
          <w:p w14:paraId="13C95C32">
            <w:pPr>
              <w:pStyle w:val="33"/>
            </w:pPr>
            <w:r>
              <w:rPr>
                <w:b/>
              </w:rPr>
              <w:t>形成内容</w:t>
            </w:r>
          </w:p>
        </w:tc>
      </w:tr>
      <w:tr w14:paraId="29CD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90" w:type="dxa"/>
              <w:left w:w="120" w:type="dxa"/>
              <w:bottom w:w="90" w:type="dxa"/>
              <w:right w:w="120" w:type="dxa"/>
            </w:tcMar>
            <w:vAlign w:val="center"/>
          </w:tcPr>
          <w:p w14:paraId="4A52C562">
            <w:pPr>
              <w:pStyle w:val="33"/>
            </w:pPr>
            <w:r>
              <w:t>构建数据库</w:t>
            </w:r>
          </w:p>
        </w:tc>
        <w:tc>
          <w:tcPr>
            <w:tcW w:w="4200" w:type="dxa"/>
            <w:tcMar>
              <w:top w:w="90" w:type="dxa"/>
              <w:left w:w="120" w:type="dxa"/>
              <w:bottom w:w="90" w:type="dxa"/>
              <w:right w:w="120" w:type="dxa"/>
            </w:tcMar>
            <w:vAlign w:val="center"/>
          </w:tcPr>
          <w:p w14:paraId="646B1C16">
            <w:pPr>
              <w:pStyle w:val="33"/>
            </w:pPr>
            <w:r>
              <w:t>样本发现、波形—温度场配对、固定节点采样和数据划分</w:t>
            </w:r>
          </w:p>
        </w:tc>
        <w:tc>
          <w:tcPr>
            <w:tcW w:w="3026" w:type="dxa"/>
            <w:tcMar>
              <w:top w:w="90" w:type="dxa"/>
              <w:left w:w="120" w:type="dxa"/>
              <w:bottom w:w="90" w:type="dxa"/>
              <w:right w:w="120" w:type="dxa"/>
            </w:tcMar>
            <w:vAlign w:val="center"/>
          </w:tcPr>
          <w:p w14:paraId="7C216FE0">
            <w:pPr>
              <w:pStyle w:val="33"/>
            </w:pPr>
            <w:r>
              <w:t>材料数据集、清单与采样索引</w:t>
            </w:r>
          </w:p>
        </w:tc>
      </w:tr>
      <w:tr w14:paraId="5F8E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90" w:type="dxa"/>
              <w:left w:w="120" w:type="dxa"/>
              <w:bottom w:w="90" w:type="dxa"/>
              <w:right w:w="120" w:type="dxa"/>
            </w:tcMar>
            <w:vAlign w:val="center"/>
          </w:tcPr>
          <w:p w14:paraId="589EEC57">
            <w:pPr>
              <w:pStyle w:val="33"/>
            </w:pPr>
            <w:r>
              <w:t>训练模型</w:t>
            </w:r>
          </w:p>
        </w:tc>
        <w:tc>
          <w:tcPr>
            <w:tcW w:w="4200" w:type="dxa"/>
            <w:tcMar>
              <w:top w:w="90" w:type="dxa"/>
              <w:left w:w="120" w:type="dxa"/>
              <w:bottom w:w="90" w:type="dxa"/>
              <w:right w:w="120" w:type="dxa"/>
            </w:tcMar>
            <w:vAlign w:val="center"/>
          </w:tcPr>
          <w:p w14:paraId="63DDBDF0">
            <w:pPr>
              <w:pStyle w:val="33"/>
            </w:pPr>
            <w:r>
              <w:t>CNN–LSTM–BP训练、MSE+PINN约束和验证评估</w:t>
            </w:r>
          </w:p>
        </w:tc>
        <w:tc>
          <w:tcPr>
            <w:tcW w:w="3026" w:type="dxa"/>
            <w:tcMar>
              <w:top w:w="90" w:type="dxa"/>
              <w:left w:w="120" w:type="dxa"/>
              <w:bottom w:w="90" w:type="dxa"/>
              <w:right w:w="120" w:type="dxa"/>
            </w:tcMar>
            <w:vAlign w:val="center"/>
          </w:tcPr>
          <w:p w14:paraId="4CCC9573">
            <w:pPr>
              <w:pStyle w:val="33"/>
            </w:pPr>
            <w:r>
              <w:t>checkpoint、损失曲线与训练报告</w:t>
            </w:r>
          </w:p>
        </w:tc>
      </w:tr>
      <w:tr w14:paraId="5A417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90" w:type="dxa"/>
              <w:left w:w="120" w:type="dxa"/>
              <w:bottom w:w="90" w:type="dxa"/>
              <w:right w:w="120" w:type="dxa"/>
            </w:tcMar>
            <w:vAlign w:val="center"/>
          </w:tcPr>
          <w:p w14:paraId="6F5BEB5A">
            <w:pPr>
              <w:pStyle w:val="33"/>
            </w:pPr>
            <w:r>
              <w:t>温度场预测</w:t>
            </w:r>
          </w:p>
        </w:tc>
        <w:tc>
          <w:tcPr>
            <w:tcW w:w="4200" w:type="dxa"/>
            <w:tcMar>
              <w:top w:w="90" w:type="dxa"/>
              <w:left w:w="120" w:type="dxa"/>
              <w:bottom w:w="90" w:type="dxa"/>
              <w:right w:w="120" w:type="dxa"/>
            </w:tcMar>
            <w:vAlign w:val="center"/>
          </w:tcPr>
          <w:p w14:paraId="3460BFF3">
            <w:pPr>
              <w:pStyle w:val="33"/>
            </w:pPr>
            <w:r>
              <w:t>材料路由、GPU推理、二维场输出和一维中心线提取</w:t>
            </w:r>
          </w:p>
        </w:tc>
        <w:tc>
          <w:tcPr>
            <w:tcW w:w="3026" w:type="dxa"/>
            <w:tcMar>
              <w:top w:w="90" w:type="dxa"/>
              <w:left w:w="120" w:type="dxa"/>
              <w:bottom w:w="90" w:type="dxa"/>
              <w:right w:w="120" w:type="dxa"/>
            </w:tcMar>
            <w:vAlign w:val="center"/>
          </w:tcPr>
          <w:p w14:paraId="7EB0A89D">
            <w:pPr>
              <w:pStyle w:val="33"/>
            </w:pPr>
            <w:r>
              <w:t>预测场、测点结果与对比图</w:t>
            </w:r>
          </w:p>
        </w:tc>
      </w:tr>
      <w:tr w14:paraId="449A8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90" w:type="dxa"/>
              <w:left w:w="120" w:type="dxa"/>
              <w:bottom w:w="90" w:type="dxa"/>
              <w:right w:w="120" w:type="dxa"/>
            </w:tcMar>
            <w:vAlign w:val="center"/>
          </w:tcPr>
          <w:p w14:paraId="1CCB2F65">
            <w:pPr>
              <w:pStyle w:val="33"/>
            </w:pPr>
            <w:r>
              <w:t>数据校验</w:t>
            </w:r>
          </w:p>
        </w:tc>
        <w:tc>
          <w:tcPr>
            <w:tcW w:w="4200" w:type="dxa"/>
            <w:tcMar>
              <w:top w:w="90" w:type="dxa"/>
              <w:left w:w="120" w:type="dxa"/>
              <w:bottom w:w="90" w:type="dxa"/>
              <w:right w:w="120" w:type="dxa"/>
            </w:tcMar>
            <w:vAlign w:val="center"/>
          </w:tcPr>
          <w:p w14:paraId="39E5F2FC">
            <w:pPr>
              <w:pStyle w:val="33"/>
            </w:pPr>
            <w:r>
              <w:t>规模、格式、温度范围、网格和采样一致性检查</w:t>
            </w:r>
          </w:p>
        </w:tc>
        <w:tc>
          <w:tcPr>
            <w:tcW w:w="3026" w:type="dxa"/>
            <w:tcMar>
              <w:top w:w="90" w:type="dxa"/>
              <w:left w:w="120" w:type="dxa"/>
              <w:bottom w:w="90" w:type="dxa"/>
              <w:right w:w="120" w:type="dxa"/>
            </w:tcMar>
            <w:vAlign w:val="center"/>
          </w:tcPr>
          <w:p w14:paraId="45A7775A">
            <w:pPr>
              <w:pStyle w:val="33"/>
            </w:pPr>
            <w:r>
              <w:t>数据核查报告</w:t>
            </w:r>
          </w:p>
        </w:tc>
      </w:tr>
      <w:tr w14:paraId="03B4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90" w:type="dxa"/>
              <w:left w:w="120" w:type="dxa"/>
              <w:bottom w:w="90" w:type="dxa"/>
              <w:right w:w="120" w:type="dxa"/>
            </w:tcMar>
            <w:vAlign w:val="center"/>
          </w:tcPr>
          <w:p w14:paraId="78526C00">
            <w:pPr>
              <w:pStyle w:val="33"/>
            </w:pPr>
            <w:r>
              <w:t>结果管理</w:t>
            </w:r>
          </w:p>
        </w:tc>
        <w:tc>
          <w:tcPr>
            <w:tcW w:w="4200" w:type="dxa"/>
            <w:tcMar>
              <w:top w:w="90" w:type="dxa"/>
              <w:left w:w="120" w:type="dxa"/>
              <w:bottom w:w="90" w:type="dxa"/>
              <w:right w:w="120" w:type="dxa"/>
            </w:tcMar>
            <w:vAlign w:val="center"/>
          </w:tcPr>
          <w:p w14:paraId="0D062D25">
            <w:pPr>
              <w:pStyle w:val="33"/>
            </w:pPr>
            <w:r>
              <w:t>模型、配置、日志、CSV/NPZ/JSON/PNG统一归档</w:t>
            </w:r>
          </w:p>
        </w:tc>
        <w:tc>
          <w:tcPr>
            <w:tcW w:w="3026" w:type="dxa"/>
            <w:tcMar>
              <w:top w:w="90" w:type="dxa"/>
              <w:left w:w="120" w:type="dxa"/>
              <w:bottom w:w="90" w:type="dxa"/>
              <w:right w:w="120" w:type="dxa"/>
            </w:tcMar>
            <w:vAlign w:val="center"/>
          </w:tcPr>
          <w:p w14:paraId="40FEA2B5">
            <w:pPr>
              <w:pStyle w:val="33"/>
            </w:pPr>
            <w:r>
              <w:t>全过程可追溯交付目录</w:t>
            </w:r>
          </w:p>
        </w:tc>
      </w:tr>
    </w:tbl>
    <w:p w14:paraId="4AD2E3A4">
      <w:pPr>
        <w:pStyle w:val="6"/>
      </w:pPr>
      <w:bookmarkStart w:id="104" w:name="_Ref235904395"/>
      <w:r>
        <w:rPr>
          <w:rFonts w:hint="eastAsia"/>
        </w:rPr>
        <w:t>在线增量训练与迁移学习</w:t>
      </w:r>
      <w:bookmarkEnd w:id="104"/>
    </w:p>
    <w:p w14:paraId="1773E864">
      <w:pPr>
        <w:pStyle w:val="3"/>
      </w:pPr>
      <w:r>
        <w:rPr>
          <w:rFonts w:hint="eastAsia"/>
        </w:rPr>
        <w:t>在线增量训练以基础checkpoint为起点，导入新增实验波形及对应温度记录，根据任务配置执行权重更新，并在训练结束后保存新的checkpoint。增量模型与基础模型分别保留，训练日志、损失变化、配置和版本信息写入独立结果目录，便于比较模型更新前后的性能。</w:t>
      </w:r>
    </w:p>
    <w:p w14:paraId="54A707B0">
      <w:pPr>
        <w:pStyle w:val="3"/>
      </w:pPr>
      <w:r>
        <w:rPr>
          <w:rFonts w:hint="eastAsia"/>
        </w:rPr>
        <w:t>迁移学习采用参数冻结与部分权重更新机制。CNN和LSTM形成的通用波形表示可按配置保留，BP融合层或指定参数根据新增材料和新增工况数据进行调整。材料路由将数据集、模型权重和材料标识关联起来，使三类材料在共享统一模型框架的同时保持独立的模型版本和调用关系。</w:t>
      </w:r>
    </w:p>
    <w:p w14:paraId="26DED018">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34</w:t>
      </w:r>
      <w:r>
        <w:fldChar w:fldCharType="end"/>
      </w:r>
      <w:r>
        <w:rPr>
          <w:rFonts w:hint="eastAsia"/>
        </w:rPr>
        <w:t xml:space="preserve"> </w:t>
      </w:r>
      <w:r>
        <w:t>在线增量训练与模型更新机制</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4069"/>
        <w:gridCol w:w="2931"/>
      </w:tblGrid>
      <w:tr w14:paraId="0A9E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97" w:type="pct"/>
            <w:tcMar>
              <w:top w:w="90" w:type="dxa"/>
              <w:left w:w="120" w:type="dxa"/>
              <w:bottom w:w="90" w:type="dxa"/>
              <w:right w:w="120" w:type="dxa"/>
            </w:tcMar>
            <w:vAlign w:val="center"/>
          </w:tcPr>
          <w:p w14:paraId="4CE1E470">
            <w:pPr>
              <w:pStyle w:val="33"/>
            </w:pPr>
            <w:r>
              <w:rPr>
                <w:b/>
              </w:rPr>
              <w:t>环节</w:t>
            </w:r>
          </w:p>
        </w:tc>
        <w:tc>
          <w:tcPr>
            <w:tcW w:w="2327" w:type="pct"/>
            <w:tcMar>
              <w:top w:w="90" w:type="dxa"/>
              <w:left w:w="120" w:type="dxa"/>
              <w:bottom w:w="90" w:type="dxa"/>
              <w:right w:w="120" w:type="dxa"/>
            </w:tcMar>
            <w:vAlign w:val="center"/>
          </w:tcPr>
          <w:p w14:paraId="11056D9D">
            <w:pPr>
              <w:pStyle w:val="33"/>
            </w:pPr>
            <w:r>
              <w:rPr>
                <w:b/>
              </w:rPr>
              <w:t>处理逻辑</w:t>
            </w:r>
          </w:p>
        </w:tc>
        <w:tc>
          <w:tcPr>
            <w:tcW w:w="1676" w:type="pct"/>
            <w:tcMar>
              <w:top w:w="90" w:type="dxa"/>
              <w:left w:w="120" w:type="dxa"/>
              <w:bottom w:w="90" w:type="dxa"/>
              <w:right w:w="120" w:type="dxa"/>
            </w:tcMar>
            <w:vAlign w:val="center"/>
          </w:tcPr>
          <w:p w14:paraId="184ADA1B">
            <w:pPr>
              <w:pStyle w:val="33"/>
            </w:pPr>
            <w:r>
              <w:rPr>
                <w:b/>
              </w:rPr>
              <w:t>形成内容</w:t>
            </w:r>
          </w:p>
        </w:tc>
      </w:tr>
      <w:tr w14:paraId="3726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7" w:type="pct"/>
            <w:tcMar>
              <w:top w:w="90" w:type="dxa"/>
              <w:left w:w="120" w:type="dxa"/>
              <w:bottom w:w="90" w:type="dxa"/>
              <w:right w:w="120" w:type="dxa"/>
            </w:tcMar>
            <w:vAlign w:val="center"/>
          </w:tcPr>
          <w:p w14:paraId="6CADBC1B">
            <w:pPr>
              <w:pStyle w:val="33"/>
            </w:pPr>
            <w:r>
              <w:t>基础模型加载</w:t>
            </w:r>
          </w:p>
        </w:tc>
        <w:tc>
          <w:tcPr>
            <w:tcW w:w="2327" w:type="pct"/>
            <w:tcMar>
              <w:top w:w="90" w:type="dxa"/>
              <w:left w:w="120" w:type="dxa"/>
              <w:bottom w:w="90" w:type="dxa"/>
              <w:right w:w="120" w:type="dxa"/>
            </w:tcMar>
            <w:vAlign w:val="center"/>
          </w:tcPr>
          <w:p w14:paraId="60164700">
            <w:pPr>
              <w:pStyle w:val="33"/>
            </w:pPr>
            <w:r>
              <w:t>读取基础checkpoint、数据统计量和任务配置。</w:t>
            </w:r>
          </w:p>
        </w:tc>
        <w:tc>
          <w:tcPr>
            <w:tcW w:w="1676" w:type="pct"/>
            <w:tcMar>
              <w:top w:w="90" w:type="dxa"/>
              <w:left w:w="120" w:type="dxa"/>
              <w:bottom w:w="90" w:type="dxa"/>
              <w:right w:w="120" w:type="dxa"/>
            </w:tcMar>
            <w:vAlign w:val="center"/>
          </w:tcPr>
          <w:p w14:paraId="51AEBA1E">
            <w:pPr>
              <w:pStyle w:val="33"/>
            </w:pPr>
            <w:r>
              <w:t>初始模型与一致的数据处理规则</w:t>
            </w:r>
          </w:p>
        </w:tc>
      </w:tr>
      <w:tr w14:paraId="2FAC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7" w:type="pct"/>
            <w:tcMar>
              <w:top w:w="90" w:type="dxa"/>
              <w:left w:w="120" w:type="dxa"/>
              <w:bottom w:w="90" w:type="dxa"/>
              <w:right w:w="120" w:type="dxa"/>
            </w:tcMar>
            <w:vAlign w:val="center"/>
          </w:tcPr>
          <w:p w14:paraId="6D2D2DA1">
            <w:pPr>
              <w:pStyle w:val="33"/>
            </w:pPr>
            <w:r>
              <w:t>增量数据导入</w:t>
            </w:r>
          </w:p>
        </w:tc>
        <w:tc>
          <w:tcPr>
            <w:tcW w:w="2327" w:type="pct"/>
            <w:tcMar>
              <w:top w:w="90" w:type="dxa"/>
              <w:left w:w="120" w:type="dxa"/>
              <w:bottom w:w="90" w:type="dxa"/>
              <w:right w:w="120" w:type="dxa"/>
            </w:tcMar>
            <w:vAlign w:val="center"/>
          </w:tcPr>
          <w:p w14:paraId="793C6562">
            <w:pPr>
              <w:pStyle w:val="33"/>
            </w:pPr>
            <w:r>
              <w:t>导入新增实验波形及温度记录，并关联材料、维度和工况。</w:t>
            </w:r>
          </w:p>
        </w:tc>
        <w:tc>
          <w:tcPr>
            <w:tcW w:w="1676" w:type="pct"/>
            <w:tcMar>
              <w:top w:w="90" w:type="dxa"/>
              <w:left w:w="120" w:type="dxa"/>
              <w:bottom w:w="90" w:type="dxa"/>
              <w:right w:w="120" w:type="dxa"/>
            </w:tcMar>
            <w:vAlign w:val="center"/>
          </w:tcPr>
          <w:p w14:paraId="1D0A5006">
            <w:pPr>
              <w:pStyle w:val="33"/>
            </w:pPr>
            <w:r>
              <w:t>增量训练数据集</w:t>
            </w:r>
          </w:p>
        </w:tc>
      </w:tr>
      <w:tr w14:paraId="2639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7" w:type="pct"/>
            <w:tcMar>
              <w:top w:w="90" w:type="dxa"/>
              <w:left w:w="120" w:type="dxa"/>
              <w:bottom w:w="90" w:type="dxa"/>
              <w:right w:w="120" w:type="dxa"/>
            </w:tcMar>
            <w:vAlign w:val="center"/>
          </w:tcPr>
          <w:p w14:paraId="0E8ADCFB">
            <w:pPr>
              <w:pStyle w:val="33"/>
            </w:pPr>
            <w:r>
              <w:t>参数更新与冻结</w:t>
            </w:r>
          </w:p>
        </w:tc>
        <w:tc>
          <w:tcPr>
            <w:tcW w:w="2327" w:type="pct"/>
            <w:tcMar>
              <w:top w:w="90" w:type="dxa"/>
              <w:left w:w="120" w:type="dxa"/>
              <w:bottom w:w="90" w:type="dxa"/>
              <w:right w:w="120" w:type="dxa"/>
            </w:tcMar>
            <w:vAlign w:val="center"/>
          </w:tcPr>
          <w:p w14:paraId="004C4C19">
            <w:pPr>
              <w:pStyle w:val="33"/>
            </w:pPr>
            <w:r>
              <w:t>更新指定参数，保留无需调整的通用特征参数。</w:t>
            </w:r>
          </w:p>
        </w:tc>
        <w:tc>
          <w:tcPr>
            <w:tcW w:w="1676" w:type="pct"/>
            <w:tcMar>
              <w:top w:w="90" w:type="dxa"/>
              <w:left w:w="120" w:type="dxa"/>
              <w:bottom w:w="90" w:type="dxa"/>
              <w:right w:w="120" w:type="dxa"/>
            </w:tcMar>
            <w:vAlign w:val="center"/>
          </w:tcPr>
          <w:p w14:paraId="0A10166E">
            <w:pPr>
              <w:pStyle w:val="33"/>
            </w:pPr>
            <w:r>
              <w:t>冻结配置和权重更新记录</w:t>
            </w:r>
          </w:p>
        </w:tc>
      </w:tr>
      <w:tr w14:paraId="15AAB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7" w:type="pct"/>
            <w:tcMar>
              <w:top w:w="90" w:type="dxa"/>
              <w:left w:w="120" w:type="dxa"/>
              <w:bottom w:w="90" w:type="dxa"/>
              <w:right w:w="120" w:type="dxa"/>
            </w:tcMar>
            <w:vAlign w:val="center"/>
          </w:tcPr>
          <w:p w14:paraId="79C20B0B">
            <w:pPr>
              <w:pStyle w:val="33"/>
            </w:pPr>
            <w:r>
              <w:t>新权重保存</w:t>
            </w:r>
          </w:p>
        </w:tc>
        <w:tc>
          <w:tcPr>
            <w:tcW w:w="2327" w:type="pct"/>
            <w:tcMar>
              <w:top w:w="90" w:type="dxa"/>
              <w:left w:w="120" w:type="dxa"/>
              <w:bottom w:w="90" w:type="dxa"/>
              <w:right w:w="120" w:type="dxa"/>
            </w:tcMar>
            <w:vAlign w:val="center"/>
          </w:tcPr>
          <w:p w14:paraId="242EACE1">
            <w:pPr>
              <w:pStyle w:val="33"/>
            </w:pPr>
            <w:r>
              <w:t>保存新checkpoint、损失日志和版本信息。</w:t>
            </w:r>
          </w:p>
        </w:tc>
        <w:tc>
          <w:tcPr>
            <w:tcW w:w="1676" w:type="pct"/>
            <w:tcMar>
              <w:top w:w="90" w:type="dxa"/>
              <w:left w:w="120" w:type="dxa"/>
              <w:bottom w:w="90" w:type="dxa"/>
              <w:right w:w="120" w:type="dxa"/>
            </w:tcMar>
            <w:vAlign w:val="center"/>
          </w:tcPr>
          <w:p w14:paraId="2DAB09FB">
            <w:pPr>
              <w:pStyle w:val="33"/>
            </w:pPr>
            <w:r>
              <w:t>可独立加载的增量模型</w:t>
            </w:r>
          </w:p>
        </w:tc>
      </w:tr>
    </w:tbl>
    <w:p w14:paraId="52609F53">
      <w:pPr>
        <w:pStyle w:val="33"/>
      </w:pPr>
      <w:r>
        <w:drawing>
          <wp:inline distT="0" distB="0" distL="114300" distR="114300">
            <wp:extent cx="3282950" cy="2232660"/>
            <wp:effectExtent l="0" t="0" r="0" b="0"/>
            <wp:docPr id="1659014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14144" name="Picture 6"/>
                    <pic:cNvPicPr>
                      <a:picLocks noChangeAspect="1"/>
                    </pic:cNvPicPr>
                  </pic:nvPicPr>
                  <pic:blipFill>
                    <a:blip r:embed="rId63"/>
                    <a:stretch>
                      <a:fillRect/>
                    </a:stretch>
                  </pic:blipFill>
                  <pic:spPr>
                    <a:xfrm>
                      <a:off x="0" y="0"/>
                      <a:ext cx="3291678" cy="2238571"/>
                    </a:xfrm>
                    <a:prstGeom prst="rect">
                      <a:avLst/>
                    </a:prstGeom>
                  </pic:spPr>
                </pic:pic>
              </a:graphicData>
            </a:graphic>
          </wp:inline>
        </w:drawing>
      </w:r>
    </w:p>
    <w:p w14:paraId="5FCD15C2">
      <w:pPr>
        <w:pStyle w:val="33"/>
      </w:pPr>
      <w:bookmarkStart w:id="105" w:name="_Ref23590469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50</w:t>
      </w:r>
      <w:r>
        <w:fldChar w:fldCharType="end"/>
      </w:r>
      <w:bookmarkEnd w:id="105"/>
      <w:r>
        <w:t>在线增量训练图形化界面</w:t>
      </w:r>
    </w:p>
    <w:p w14:paraId="7E1BAB82">
      <w:pPr>
        <w:pStyle w:val="33"/>
      </w:pPr>
      <w:r>
        <w:drawing>
          <wp:inline distT="0" distB="0" distL="114300" distR="114300">
            <wp:extent cx="2449830" cy="2699385"/>
            <wp:effectExtent l="0" t="0" r="3810" b="13335"/>
            <wp:docPr id="682944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44768" name="Picture 7"/>
                    <pic:cNvPicPr>
                      <a:picLocks noChangeAspect="1"/>
                    </pic:cNvPicPr>
                  </pic:nvPicPr>
                  <pic:blipFill>
                    <a:blip r:embed="rId64"/>
                    <a:stretch>
                      <a:fillRect/>
                    </a:stretch>
                  </pic:blipFill>
                  <pic:spPr>
                    <a:xfrm>
                      <a:off x="0" y="0"/>
                      <a:ext cx="2450289" cy="2700000"/>
                    </a:xfrm>
                    <a:prstGeom prst="rect">
                      <a:avLst/>
                    </a:prstGeom>
                  </pic:spPr>
                </pic:pic>
              </a:graphicData>
            </a:graphic>
          </wp:inline>
        </w:drawing>
      </w:r>
    </w:p>
    <w:p w14:paraId="068F944A">
      <w:pPr>
        <w:pStyle w:val="33"/>
      </w:pPr>
      <w:bookmarkStart w:id="106" w:name="_Ref23590470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51</w:t>
      </w:r>
      <w:r>
        <w:fldChar w:fldCharType="end"/>
      </w:r>
      <w:bookmarkEnd w:id="106"/>
      <w:r>
        <w:rPr>
          <w:rFonts w:hint="eastAsia"/>
        </w:rPr>
        <w:t xml:space="preserve"> checkpoint更新与参数冻结机制配置</w:t>
      </w:r>
    </w:p>
    <w:p w14:paraId="4D388A50">
      <w:pPr>
        <w:pStyle w:val="5"/>
      </w:pPr>
      <w:bookmarkStart w:id="107" w:name="_Toc235910469"/>
      <w:r>
        <w:rPr>
          <w:rFonts w:hint="eastAsia"/>
        </w:rPr>
        <w:t>两层W30Mo70多层材料研究</w:t>
      </w:r>
      <w:bookmarkEnd w:id="107"/>
    </w:p>
    <w:p w14:paraId="0D1EF815">
      <w:pPr>
        <w:pStyle w:val="3"/>
      </w:pPr>
      <w:r>
        <w:t>两层W30Mo70钨钼合金多层材料用于人工智能温度场重构的实验验证。实验波形与测温记录按照统一数据入口进入模型，二维模型输出固定节点完整温度场，一维结果由x=0.50中心线提取。精度评价采用五个代表性测点的平均温度：先分别计算参考温度与AI预测温度的五点算术平均值，再计算两者的相对误差。</w:t>
      </w:r>
    </w:p>
    <w:p w14:paraId="781FE902">
      <w:pPr>
        <w:pStyle w:val="36"/>
      </w:pPr>
      <w:r>
        <w:tab/>
      </w:r>
      <w:r>
        <w:rPr>
          <w:rFonts w:eastAsia="Cambria Math"/>
          <w:sz w:val="22"/>
        </w:rPr>
        <w:t>δT = |T̄AI − T̄ref| / max(|T̄ref|, ε) × 100%</w:t>
      </w:r>
      <w:r>
        <w:tab/>
      </w:r>
      <w:r>
        <w:rPr>
          <w:rFonts w:hint="eastAsia"/>
        </w:rPr>
        <w:t>(</w:t>
      </w:r>
      <w:r>
        <w:rPr>
          <w:rFonts w:hint="eastAsia"/>
        </w:rPr>
        <w:fldChar w:fldCharType="begin"/>
      </w:r>
      <w:r>
        <w:rPr>
          <w:rFonts w:hint="eastAsia"/>
        </w:rPr>
        <w:instrText xml:space="preserve"> STYLEREF 1 \s </w:instrText>
      </w:r>
      <w:r>
        <w:rPr>
          <w:rFonts w:hint="eastAsia"/>
        </w:rPr>
        <w:fldChar w:fldCharType="separate"/>
      </w:r>
      <w:r>
        <w:t>3</w:t>
      </w:r>
      <w:r>
        <w:rPr>
          <w:rFonts w:hint="eastAsia"/>
        </w:rPr>
        <w:fldChar w:fldCharType="end"/>
      </w:r>
      <w:r>
        <w:rPr>
          <w:rFonts w:hint="eastAsia"/>
        </w:rPr>
        <w:noBreakHyphen/>
      </w:r>
      <w:r>
        <w:rPr>
          <w:rFonts w:hint="eastAsia"/>
        </w:rPr>
        <w:fldChar w:fldCharType="begin"/>
      </w:r>
      <w:r>
        <w:rPr>
          <w:rFonts w:hint="eastAsia"/>
        </w:rPr>
        <w:instrText xml:space="preserve"> SEQ 公式 \* ARABIC \s 1 </w:instrText>
      </w:r>
      <w:r>
        <w:rPr>
          <w:rFonts w:hint="eastAsia"/>
        </w:rPr>
        <w:fldChar w:fldCharType="separate"/>
      </w:r>
      <w:r>
        <w:t>33</w:t>
      </w:r>
      <w:r>
        <w:rPr>
          <w:rFonts w:hint="eastAsia"/>
        </w:rPr>
        <w:fldChar w:fldCharType="end"/>
      </w:r>
      <w:r>
        <w:rPr>
          <w:rFonts w:hint="eastAsia"/>
        </w:rPr>
        <w:t>)</w:t>
      </w:r>
    </w:p>
    <w:p w14:paraId="7B3AF872">
      <w:pPr>
        <w:pStyle w:val="31"/>
      </w:pPr>
      <w:bookmarkStart w:id="108" w:name="_Ref235908709"/>
      <w:r>
        <w:t>式中，T̄_AI为五个测点AI预测温度的平均值，T̄_ref为五个测点参考温度的平均值，ε为防止参考平均温度接近零时出现零分母的正数。固定测点采用归一化坐标，并在固定物理节点中选择最近节点后固化node_id，以保证全部工况采用一致的空间位置。</w:t>
      </w:r>
      <w:bookmarkEnd w:id="108"/>
    </w:p>
    <w:p w14:paraId="205A1E09">
      <w:pPr>
        <w:pStyle w:val="6"/>
      </w:pPr>
      <w:bookmarkStart w:id="109" w:name="_Ref235904328"/>
      <w:r>
        <w:t>一维稳态与瞬态温度场重构</w:t>
      </w:r>
      <w:bookmarkEnd w:id="109"/>
    </w:p>
    <w:p w14:paraId="3C3EF30C">
      <w:pPr>
        <w:pStyle w:val="3"/>
      </w:pPr>
      <w:r>
        <w:t>一维稳态和瞬态结果均由二维预测场的固定中心线提取。稳态五点参考平均温度为301.1999 K，AI预测平均温度为303.3749 K，相对误差为0.7221%；瞬态五点参考平均温度为301.1999 K，AI预测平均温度为311.3313 K，相对误差为3.3637%。两种工况的平均温度相对误差均不大于10%。</w:t>
      </w:r>
    </w:p>
    <w:p w14:paraId="55FEDA8A">
      <w:pPr>
        <w:pStyle w:val="33"/>
      </w:pPr>
      <w:r>
        <w:drawing>
          <wp:inline distT="0" distB="0" distL="114300" distR="114300">
            <wp:extent cx="5327650" cy="3348355"/>
            <wp:effectExtent l="0" t="0" r="6350" b="4445"/>
            <wp:docPr id="1336133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3089" name="Picture 8"/>
                    <pic:cNvPicPr>
                      <a:picLocks noChangeAspect="1"/>
                    </pic:cNvPicPr>
                  </pic:nvPicPr>
                  <pic:blipFill>
                    <a:blip r:embed="rId65"/>
                    <a:stretch>
                      <a:fillRect/>
                    </a:stretch>
                  </pic:blipFill>
                  <pic:spPr>
                    <a:xfrm>
                      <a:off x="0" y="0"/>
                      <a:ext cx="5328000" cy="3348629"/>
                    </a:xfrm>
                    <a:prstGeom prst="rect">
                      <a:avLst/>
                    </a:prstGeom>
                  </pic:spPr>
                </pic:pic>
              </a:graphicData>
            </a:graphic>
          </wp:inline>
        </w:drawing>
      </w:r>
    </w:p>
    <w:p w14:paraId="2D12CF67">
      <w:pPr>
        <w:pStyle w:val="33"/>
      </w:pPr>
      <w:bookmarkStart w:id="110" w:name="_Ref23590461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52</w:t>
      </w:r>
      <w:r>
        <w:fldChar w:fldCharType="end"/>
      </w:r>
      <w:bookmarkEnd w:id="110"/>
      <w:r>
        <w:rPr>
          <w:rFonts w:hint="eastAsia"/>
        </w:rPr>
        <w:t>一维稳态与瞬态实验测温验证结果</w:t>
      </w:r>
    </w:p>
    <w:p w14:paraId="45AB7224">
      <w:pPr>
        <w:pStyle w:val="6"/>
      </w:pPr>
      <w:bookmarkStart w:id="111" w:name="_Ref235904335"/>
      <w:r>
        <w:rPr>
          <w:rFonts w:hint="eastAsia"/>
        </w:rPr>
        <w:t>二维稳态与瞬态温度场重构</w:t>
      </w:r>
      <w:bookmarkEnd w:id="111"/>
    </w:p>
    <w:p w14:paraId="5D46B31B">
      <w:pPr>
        <w:pStyle w:val="3"/>
      </w:pPr>
      <w:r>
        <w:t>二维稳态和瞬态任务直接输出固定物理节点完整温度场。稳态五点参考平均温度为301.1998 K，AI预测平均温度为303.3369 K，相对误差为0.7095%；瞬态五点参考平均温度为301.1998 K，AI预测平均温度为311.2059 K，相对误差为3.3221%。二维预测图同时给出参考温度场、AI预测温度场和空间误差分布，可用于观察场分布的一致性和局部误差位置。</w:t>
      </w:r>
    </w:p>
    <w:p w14:paraId="7C51FF74">
      <w:pPr>
        <w:pStyle w:val="33"/>
      </w:pPr>
      <w:r>
        <w:drawing>
          <wp:inline distT="0" distB="0" distL="114300" distR="114300">
            <wp:extent cx="5327650" cy="1637030"/>
            <wp:effectExtent l="0" t="0" r="6350" b="8890"/>
            <wp:docPr id="19061533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53328" name="Picture 9"/>
                    <pic:cNvPicPr>
                      <a:picLocks noChangeAspect="1"/>
                    </pic:cNvPicPr>
                  </pic:nvPicPr>
                  <pic:blipFill>
                    <a:blip r:embed="rId66"/>
                    <a:stretch>
                      <a:fillRect/>
                    </a:stretch>
                  </pic:blipFill>
                  <pic:spPr>
                    <a:xfrm>
                      <a:off x="0" y="0"/>
                      <a:ext cx="5328000" cy="1637095"/>
                    </a:xfrm>
                    <a:prstGeom prst="rect">
                      <a:avLst/>
                    </a:prstGeom>
                  </pic:spPr>
                </pic:pic>
              </a:graphicData>
            </a:graphic>
          </wp:inline>
        </w:drawing>
      </w:r>
    </w:p>
    <w:p w14:paraId="70C1ED83">
      <w:pPr>
        <w:pStyle w:val="33"/>
      </w:pPr>
      <w:bookmarkStart w:id="112" w:name="_Ref23590461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53</w:t>
      </w:r>
      <w:r>
        <w:fldChar w:fldCharType="end"/>
      </w:r>
      <w:bookmarkEnd w:id="112"/>
      <w:r>
        <w:rPr>
          <w:rFonts w:hint="eastAsia"/>
        </w:rPr>
        <w:t xml:space="preserve"> 二维稳态实验测温验证结果</w:t>
      </w:r>
    </w:p>
    <w:p w14:paraId="5AC1BBD7">
      <w:pPr>
        <w:pStyle w:val="33"/>
      </w:pPr>
    </w:p>
    <w:p w14:paraId="55500DAE">
      <w:pPr>
        <w:pStyle w:val="33"/>
      </w:pPr>
      <w:r>
        <w:drawing>
          <wp:inline distT="0" distB="0" distL="114300" distR="114300">
            <wp:extent cx="5327650" cy="1637030"/>
            <wp:effectExtent l="0" t="0" r="6350" b="8890"/>
            <wp:docPr id="19964070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07009" name="Picture 10"/>
                    <pic:cNvPicPr>
                      <a:picLocks noChangeAspect="1"/>
                    </pic:cNvPicPr>
                  </pic:nvPicPr>
                  <pic:blipFill>
                    <a:blip r:embed="rId67"/>
                    <a:stretch>
                      <a:fillRect/>
                    </a:stretch>
                  </pic:blipFill>
                  <pic:spPr>
                    <a:xfrm>
                      <a:off x="0" y="0"/>
                      <a:ext cx="5328000" cy="1637095"/>
                    </a:xfrm>
                    <a:prstGeom prst="rect">
                      <a:avLst/>
                    </a:prstGeom>
                  </pic:spPr>
                </pic:pic>
              </a:graphicData>
            </a:graphic>
          </wp:inline>
        </w:drawing>
      </w:r>
    </w:p>
    <w:p w14:paraId="7B29BF99">
      <w:pPr>
        <w:pStyle w:val="33"/>
      </w:pPr>
      <w:bookmarkStart w:id="113" w:name="_Ref23590462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54</w:t>
      </w:r>
      <w:r>
        <w:fldChar w:fldCharType="end"/>
      </w:r>
      <w:bookmarkEnd w:id="113"/>
      <w:r>
        <w:rPr>
          <w:rFonts w:hint="eastAsia"/>
        </w:rPr>
        <w:t>二维瞬态实验测温验证结果</w:t>
      </w:r>
    </w:p>
    <w:p w14:paraId="0BA8464C">
      <w:pPr>
        <w:pStyle w:val="33"/>
      </w:pPr>
    </w:p>
    <w:p w14:paraId="519D92DF">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35</w:t>
      </w:r>
      <w:r>
        <w:fldChar w:fldCharType="end"/>
      </w:r>
      <w:r>
        <w:rPr>
          <w:rFonts w:hint="eastAsia"/>
        </w:rPr>
        <w:t xml:space="preserve"> W30Mo70多层材料代表性反演结果</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7"/>
        <w:gridCol w:w="2422"/>
        <w:gridCol w:w="2422"/>
        <w:gridCol w:w="2253"/>
      </w:tblGrid>
      <w:tr w14:paraId="2E606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42" w:type="pct"/>
            <w:tcMar>
              <w:top w:w="90" w:type="dxa"/>
              <w:left w:w="120" w:type="dxa"/>
              <w:bottom w:w="90" w:type="dxa"/>
              <w:right w:w="120" w:type="dxa"/>
            </w:tcMar>
            <w:vAlign w:val="center"/>
          </w:tcPr>
          <w:p w14:paraId="251856DF">
            <w:pPr>
              <w:pStyle w:val="33"/>
            </w:pPr>
            <w:r>
              <w:rPr>
                <w:b/>
              </w:rPr>
              <w:t>工况</w:t>
            </w:r>
          </w:p>
        </w:tc>
        <w:tc>
          <w:tcPr>
            <w:tcW w:w="1385" w:type="pct"/>
            <w:tcMar>
              <w:top w:w="90" w:type="dxa"/>
              <w:left w:w="120" w:type="dxa"/>
              <w:bottom w:w="90" w:type="dxa"/>
              <w:right w:w="120" w:type="dxa"/>
            </w:tcMar>
            <w:vAlign w:val="center"/>
          </w:tcPr>
          <w:p w14:paraId="31C96508">
            <w:pPr>
              <w:pStyle w:val="33"/>
            </w:pPr>
            <w:r>
              <w:rPr>
                <w:b/>
              </w:rPr>
              <w:t>五点参考平均温度/K</w:t>
            </w:r>
          </w:p>
        </w:tc>
        <w:tc>
          <w:tcPr>
            <w:tcW w:w="1385" w:type="pct"/>
            <w:tcMar>
              <w:top w:w="90" w:type="dxa"/>
              <w:left w:w="120" w:type="dxa"/>
              <w:bottom w:w="90" w:type="dxa"/>
              <w:right w:w="120" w:type="dxa"/>
            </w:tcMar>
            <w:vAlign w:val="center"/>
          </w:tcPr>
          <w:p w14:paraId="1635AA57">
            <w:pPr>
              <w:pStyle w:val="33"/>
            </w:pPr>
            <w:r>
              <w:rPr>
                <w:b/>
              </w:rPr>
              <w:t>五点预测平均温度/K</w:t>
            </w:r>
          </w:p>
        </w:tc>
        <w:tc>
          <w:tcPr>
            <w:tcW w:w="1288" w:type="pct"/>
            <w:tcMar>
              <w:top w:w="90" w:type="dxa"/>
              <w:left w:w="120" w:type="dxa"/>
              <w:bottom w:w="90" w:type="dxa"/>
              <w:right w:w="120" w:type="dxa"/>
            </w:tcMar>
            <w:vAlign w:val="center"/>
          </w:tcPr>
          <w:p w14:paraId="23D49B8E">
            <w:pPr>
              <w:pStyle w:val="33"/>
            </w:pPr>
            <w:r>
              <w:rPr>
                <w:b/>
              </w:rPr>
              <w:t>相对误差</w:t>
            </w:r>
          </w:p>
        </w:tc>
      </w:tr>
      <w:tr w14:paraId="478A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42" w:type="pct"/>
            <w:tcMar>
              <w:top w:w="90" w:type="dxa"/>
              <w:left w:w="120" w:type="dxa"/>
              <w:bottom w:w="90" w:type="dxa"/>
              <w:right w:w="120" w:type="dxa"/>
            </w:tcMar>
            <w:vAlign w:val="center"/>
          </w:tcPr>
          <w:p w14:paraId="43AF03D0">
            <w:pPr>
              <w:pStyle w:val="33"/>
            </w:pPr>
            <w:r>
              <w:t>一维稳态</w:t>
            </w:r>
          </w:p>
        </w:tc>
        <w:tc>
          <w:tcPr>
            <w:tcW w:w="1385" w:type="pct"/>
            <w:tcMar>
              <w:top w:w="90" w:type="dxa"/>
              <w:left w:w="120" w:type="dxa"/>
              <w:bottom w:w="90" w:type="dxa"/>
              <w:right w:w="120" w:type="dxa"/>
            </w:tcMar>
            <w:vAlign w:val="center"/>
          </w:tcPr>
          <w:p w14:paraId="2C322C10">
            <w:pPr>
              <w:pStyle w:val="33"/>
            </w:pPr>
            <w:r>
              <w:t>301.1999</w:t>
            </w:r>
          </w:p>
        </w:tc>
        <w:tc>
          <w:tcPr>
            <w:tcW w:w="1385" w:type="pct"/>
            <w:tcMar>
              <w:top w:w="90" w:type="dxa"/>
              <w:left w:w="120" w:type="dxa"/>
              <w:bottom w:w="90" w:type="dxa"/>
              <w:right w:w="120" w:type="dxa"/>
            </w:tcMar>
            <w:vAlign w:val="center"/>
          </w:tcPr>
          <w:p w14:paraId="1BD13210">
            <w:pPr>
              <w:pStyle w:val="33"/>
            </w:pPr>
            <w:r>
              <w:t>303.3749</w:t>
            </w:r>
          </w:p>
        </w:tc>
        <w:tc>
          <w:tcPr>
            <w:tcW w:w="1288" w:type="pct"/>
            <w:tcMar>
              <w:top w:w="90" w:type="dxa"/>
              <w:left w:w="120" w:type="dxa"/>
              <w:bottom w:w="90" w:type="dxa"/>
              <w:right w:w="120" w:type="dxa"/>
            </w:tcMar>
            <w:vAlign w:val="center"/>
          </w:tcPr>
          <w:p w14:paraId="437A57E5">
            <w:pPr>
              <w:pStyle w:val="33"/>
            </w:pPr>
            <w:r>
              <w:t>0.7221%</w:t>
            </w:r>
          </w:p>
        </w:tc>
      </w:tr>
      <w:tr w14:paraId="3E2C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42" w:type="pct"/>
            <w:tcMar>
              <w:top w:w="90" w:type="dxa"/>
              <w:left w:w="120" w:type="dxa"/>
              <w:bottom w:w="90" w:type="dxa"/>
              <w:right w:w="120" w:type="dxa"/>
            </w:tcMar>
            <w:vAlign w:val="center"/>
          </w:tcPr>
          <w:p w14:paraId="305AC3E9">
            <w:pPr>
              <w:pStyle w:val="33"/>
            </w:pPr>
            <w:r>
              <w:t>一维瞬态</w:t>
            </w:r>
          </w:p>
        </w:tc>
        <w:tc>
          <w:tcPr>
            <w:tcW w:w="1385" w:type="pct"/>
            <w:tcMar>
              <w:top w:w="90" w:type="dxa"/>
              <w:left w:w="120" w:type="dxa"/>
              <w:bottom w:w="90" w:type="dxa"/>
              <w:right w:w="120" w:type="dxa"/>
            </w:tcMar>
            <w:vAlign w:val="center"/>
          </w:tcPr>
          <w:p w14:paraId="251A83CF">
            <w:pPr>
              <w:pStyle w:val="33"/>
            </w:pPr>
            <w:r>
              <w:t>301.1999</w:t>
            </w:r>
          </w:p>
        </w:tc>
        <w:tc>
          <w:tcPr>
            <w:tcW w:w="1385" w:type="pct"/>
            <w:tcMar>
              <w:top w:w="90" w:type="dxa"/>
              <w:left w:w="120" w:type="dxa"/>
              <w:bottom w:w="90" w:type="dxa"/>
              <w:right w:w="120" w:type="dxa"/>
            </w:tcMar>
            <w:vAlign w:val="center"/>
          </w:tcPr>
          <w:p w14:paraId="053F5E97">
            <w:pPr>
              <w:pStyle w:val="33"/>
            </w:pPr>
            <w:r>
              <w:t>311.3313</w:t>
            </w:r>
          </w:p>
        </w:tc>
        <w:tc>
          <w:tcPr>
            <w:tcW w:w="1288" w:type="pct"/>
            <w:tcMar>
              <w:top w:w="90" w:type="dxa"/>
              <w:left w:w="120" w:type="dxa"/>
              <w:bottom w:w="90" w:type="dxa"/>
              <w:right w:w="120" w:type="dxa"/>
            </w:tcMar>
            <w:vAlign w:val="center"/>
          </w:tcPr>
          <w:p w14:paraId="6B1C77C8">
            <w:pPr>
              <w:pStyle w:val="33"/>
            </w:pPr>
            <w:r>
              <w:t>3.3637%</w:t>
            </w:r>
          </w:p>
        </w:tc>
      </w:tr>
      <w:tr w14:paraId="3667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42" w:type="pct"/>
            <w:tcMar>
              <w:top w:w="90" w:type="dxa"/>
              <w:left w:w="120" w:type="dxa"/>
              <w:bottom w:w="90" w:type="dxa"/>
              <w:right w:w="120" w:type="dxa"/>
            </w:tcMar>
            <w:vAlign w:val="center"/>
          </w:tcPr>
          <w:p w14:paraId="3E924A54">
            <w:pPr>
              <w:pStyle w:val="33"/>
            </w:pPr>
            <w:r>
              <w:t>二维稳态</w:t>
            </w:r>
          </w:p>
        </w:tc>
        <w:tc>
          <w:tcPr>
            <w:tcW w:w="1385" w:type="pct"/>
            <w:tcMar>
              <w:top w:w="90" w:type="dxa"/>
              <w:left w:w="120" w:type="dxa"/>
              <w:bottom w:w="90" w:type="dxa"/>
              <w:right w:w="120" w:type="dxa"/>
            </w:tcMar>
            <w:vAlign w:val="center"/>
          </w:tcPr>
          <w:p w14:paraId="0D3A605F">
            <w:pPr>
              <w:pStyle w:val="33"/>
            </w:pPr>
            <w:r>
              <w:t>301.1998</w:t>
            </w:r>
          </w:p>
        </w:tc>
        <w:tc>
          <w:tcPr>
            <w:tcW w:w="1385" w:type="pct"/>
            <w:tcMar>
              <w:top w:w="90" w:type="dxa"/>
              <w:left w:w="120" w:type="dxa"/>
              <w:bottom w:w="90" w:type="dxa"/>
              <w:right w:w="120" w:type="dxa"/>
            </w:tcMar>
            <w:vAlign w:val="center"/>
          </w:tcPr>
          <w:p w14:paraId="138FC68D">
            <w:pPr>
              <w:pStyle w:val="33"/>
            </w:pPr>
            <w:r>
              <w:t>303.3369</w:t>
            </w:r>
          </w:p>
        </w:tc>
        <w:tc>
          <w:tcPr>
            <w:tcW w:w="1288" w:type="pct"/>
            <w:tcMar>
              <w:top w:w="90" w:type="dxa"/>
              <w:left w:w="120" w:type="dxa"/>
              <w:bottom w:w="90" w:type="dxa"/>
              <w:right w:w="120" w:type="dxa"/>
            </w:tcMar>
            <w:vAlign w:val="center"/>
          </w:tcPr>
          <w:p w14:paraId="0DC0BEE1">
            <w:pPr>
              <w:pStyle w:val="33"/>
            </w:pPr>
            <w:r>
              <w:t>0.7095%</w:t>
            </w:r>
          </w:p>
        </w:tc>
      </w:tr>
      <w:tr w14:paraId="67B43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42" w:type="pct"/>
            <w:tcMar>
              <w:top w:w="90" w:type="dxa"/>
              <w:left w:w="120" w:type="dxa"/>
              <w:bottom w:w="90" w:type="dxa"/>
              <w:right w:w="120" w:type="dxa"/>
            </w:tcMar>
            <w:vAlign w:val="center"/>
          </w:tcPr>
          <w:p w14:paraId="3C7179FE">
            <w:pPr>
              <w:pStyle w:val="33"/>
            </w:pPr>
            <w:r>
              <w:t>二维瞬态</w:t>
            </w:r>
          </w:p>
        </w:tc>
        <w:tc>
          <w:tcPr>
            <w:tcW w:w="1385" w:type="pct"/>
            <w:tcMar>
              <w:top w:w="90" w:type="dxa"/>
              <w:left w:w="120" w:type="dxa"/>
              <w:bottom w:w="90" w:type="dxa"/>
              <w:right w:w="120" w:type="dxa"/>
            </w:tcMar>
            <w:vAlign w:val="center"/>
          </w:tcPr>
          <w:p w14:paraId="6861E6C1">
            <w:pPr>
              <w:pStyle w:val="33"/>
            </w:pPr>
            <w:r>
              <w:t>301.1998</w:t>
            </w:r>
          </w:p>
        </w:tc>
        <w:tc>
          <w:tcPr>
            <w:tcW w:w="1385" w:type="pct"/>
            <w:tcMar>
              <w:top w:w="90" w:type="dxa"/>
              <w:left w:w="120" w:type="dxa"/>
              <w:bottom w:w="90" w:type="dxa"/>
              <w:right w:w="120" w:type="dxa"/>
            </w:tcMar>
            <w:vAlign w:val="center"/>
          </w:tcPr>
          <w:p w14:paraId="0EDE6005">
            <w:pPr>
              <w:pStyle w:val="33"/>
            </w:pPr>
            <w:r>
              <w:t>311.2059</w:t>
            </w:r>
          </w:p>
        </w:tc>
        <w:tc>
          <w:tcPr>
            <w:tcW w:w="1288" w:type="pct"/>
            <w:tcMar>
              <w:top w:w="90" w:type="dxa"/>
              <w:left w:w="120" w:type="dxa"/>
              <w:bottom w:w="90" w:type="dxa"/>
              <w:right w:w="120" w:type="dxa"/>
            </w:tcMar>
            <w:vAlign w:val="center"/>
          </w:tcPr>
          <w:p w14:paraId="0416547F">
            <w:pPr>
              <w:pStyle w:val="33"/>
            </w:pPr>
            <w:r>
              <w:t>3.3221%</w:t>
            </w:r>
          </w:p>
        </w:tc>
      </w:tr>
    </w:tbl>
    <w:p w14:paraId="0735F004">
      <w:pPr>
        <w:pStyle w:val="6"/>
      </w:pPr>
      <w:bookmarkStart w:id="114" w:name="_Ref235904455"/>
      <w:r>
        <w:t>计算效率与软件协同</w:t>
      </w:r>
      <w:bookmarkEnd w:id="114"/>
    </w:p>
    <w:p w14:paraId="3B45774F">
      <w:pPr>
        <w:pStyle w:val="3"/>
      </w:pPr>
      <w:r>
        <w:rPr>
          <w:rFonts w:hint="eastAsia"/>
        </w:rPr>
        <w:t>连续运行四个完整温度场推理任务，总耗时约0.248766 s，平均约0.0622 s/场。以完成同一完整温度场反演任务的平均时间为统计口径，共轭梯度法、灵敏度法和最速下降法平均耗时分别为18.67 s、11.10 s和12.44 s，对应相对AI方法的加速比分别约为300.2、178.5和200.0。</w:t>
      </w:r>
    </w:p>
    <w:p w14:paraId="72FEF1D4">
      <w:pPr>
        <w:pStyle w:val="3"/>
      </w:pPr>
      <w:r>
        <w:rPr>
          <w:rFonts w:hint="eastAsia"/>
        </w:rPr>
        <w:t>Windows图形化界面、Python人工智能模块与Fortran数值计算模块协同完成数据处理、模型训练、温度场预测和结果输出。图形界面提供完整操作入口，Fortran模块为项目数值计算和跨模块数据衔接提供支持，训练与推理过程可使用GPU加速和并行处理。</w:t>
      </w:r>
    </w:p>
    <w:p w14:paraId="399053F1">
      <w:pPr>
        <w:pStyle w:val="33"/>
      </w:pPr>
      <w:r>
        <w:drawing>
          <wp:inline distT="0" distB="0" distL="114300" distR="114300">
            <wp:extent cx="5039995" cy="1018540"/>
            <wp:effectExtent l="0" t="0" r="4445" b="2540"/>
            <wp:docPr id="17054782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78248" name="Picture 11"/>
                    <pic:cNvPicPr>
                      <a:picLocks noChangeAspect="1"/>
                    </pic:cNvPicPr>
                  </pic:nvPicPr>
                  <pic:blipFill>
                    <a:blip r:embed="rId68"/>
                    <a:stretch>
                      <a:fillRect/>
                    </a:stretch>
                  </pic:blipFill>
                  <pic:spPr>
                    <a:xfrm>
                      <a:off x="0" y="0"/>
                      <a:ext cx="5040000" cy="1018723"/>
                    </a:xfrm>
                    <a:prstGeom prst="rect">
                      <a:avLst/>
                    </a:prstGeom>
                  </pic:spPr>
                </pic:pic>
              </a:graphicData>
            </a:graphic>
          </wp:inline>
        </w:drawing>
      </w:r>
    </w:p>
    <w:p w14:paraId="70F11D30">
      <w:pPr>
        <w:pStyle w:val="33"/>
      </w:pPr>
      <w:bookmarkStart w:id="115" w:name="_Ref2359045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55</w:t>
      </w:r>
      <w:r>
        <w:fldChar w:fldCharType="end"/>
      </w:r>
      <w:bookmarkEnd w:id="115"/>
      <w:r>
        <w:rPr>
          <w:rFonts w:hint="eastAsia"/>
        </w:rPr>
        <w:t xml:space="preserve"> AI温度场重构推理耗时日志</w:t>
      </w:r>
    </w:p>
    <w:p w14:paraId="6CF9B611">
      <w:pPr>
        <w:pStyle w:val="33"/>
      </w:pPr>
    </w:p>
    <w:p w14:paraId="7C28E29D">
      <w:pPr>
        <w:pStyle w:val="33"/>
      </w:pPr>
    </w:p>
    <w:p w14:paraId="2E0D5F40">
      <w:pPr>
        <w:pStyle w:val="33"/>
      </w:pPr>
    </w:p>
    <w:p w14:paraId="42CA9F4A">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36</w:t>
      </w:r>
      <w:r>
        <w:fldChar w:fldCharType="end"/>
      </w:r>
      <w:r>
        <w:rPr>
          <w:rFonts w:hint="eastAsia"/>
        </w:rPr>
        <w:t xml:space="preserve"> AI模型与传统方法效率对比</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1"/>
        <w:gridCol w:w="1744"/>
        <w:gridCol w:w="1955"/>
        <w:gridCol w:w="3204"/>
      </w:tblGrid>
      <w:tr w14:paraId="7F17E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053" w:type="pct"/>
            <w:tcMar>
              <w:top w:w="90" w:type="dxa"/>
              <w:left w:w="120" w:type="dxa"/>
              <w:bottom w:w="90" w:type="dxa"/>
              <w:right w:w="120" w:type="dxa"/>
            </w:tcMar>
            <w:vAlign w:val="center"/>
          </w:tcPr>
          <w:p w14:paraId="724DB01F">
            <w:pPr>
              <w:pStyle w:val="33"/>
            </w:pPr>
            <w:r>
              <w:rPr>
                <w:b/>
              </w:rPr>
              <w:t>方法</w:t>
            </w:r>
          </w:p>
        </w:tc>
        <w:tc>
          <w:tcPr>
            <w:tcW w:w="997" w:type="pct"/>
            <w:tcMar>
              <w:top w:w="90" w:type="dxa"/>
              <w:left w:w="120" w:type="dxa"/>
              <w:bottom w:w="90" w:type="dxa"/>
              <w:right w:w="120" w:type="dxa"/>
            </w:tcMar>
            <w:vAlign w:val="center"/>
          </w:tcPr>
          <w:p w14:paraId="296A9817">
            <w:pPr>
              <w:pStyle w:val="33"/>
            </w:pPr>
            <w:r>
              <w:rPr>
                <w:b/>
              </w:rPr>
              <w:t>平均耗时/s</w:t>
            </w:r>
          </w:p>
        </w:tc>
        <w:tc>
          <w:tcPr>
            <w:tcW w:w="1118" w:type="pct"/>
            <w:tcMar>
              <w:top w:w="90" w:type="dxa"/>
              <w:left w:w="120" w:type="dxa"/>
              <w:bottom w:w="90" w:type="dxa"/>
              <w:right w:w="120" w:type="dxa"/>
            </w:tcMar>
            <w:vAlign w:val="center"/>
          </w:tcPr>
          <w:p w14:paraId="79596386">
            <w:pPr>
              <w:pStyle w:val="33"/>
            </w:pPr>
            <w:r>
              <w:rPr>
                <w:b/>
              </w:rPr>
              <w:t>相对AI加速比</w:t>
            </w:r>
          </w:p>
        </w:tc>
        <w:tc>
          <w:tcPr>
            <w:tcW w:w="1832" w:type="pct"/>
            <w:tcMar>
              <w:top w:w="90" w:type="dxa"/>
              <w:left w:w="120" w:type="dxa"/>
              <w:bottom w:w="90" w:type="dxa"/>
              <w:right w:w="120" w:type="dxa"/>
            </w:tcMar>
            <w:vAlign w:val="center"/>
          </w:tcPr>
          <w:p w14:paraId="754BFC38">
            <w:pPr>
              <w:pStyle w:val="33"/>
            </w:pPr>
            <w:r>
              <w:rPr>
                <w:b/>
              </w:rPr>
              <w:t>研究结果</w:t>
            </w:r>
          </w:p>
        </w:tc>
      </w:tr>
      <w:tr w14:paraId="4D1A9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3" w:type="pct"/>
            <w:tcMar>
              <w:top w:w="90" w:type="dxa"/>
              <w:left w:w="120" w:type="dxa"/>
              <w:bottom w:w="90" w:type="dxa"/>
              <w:right w:w="120" w:type="dxa"/>
            </w:tcMar>
            <w:vAlign w:val="center"/>
          </w:tcPr>
          <w:p w14:paraId="537707FC">
            <w:pPr>
              <w:pStyle w:val="33"/>
            </w:pPr>
            <w:r>
              <w:t>AI温度场重构</w:t>
            </w:r>
          </w:p>
        </w:tc>
        <w:tc>
          <w:tcPr>
            <w:tcW w:w="997" w:type="pct"/>
            <w:tcMar>
              <w:top w:w="90" w:type="dxa"/>
              <w:left w:w="120" w:type="dxa"/>
              <w:bottom w:w="90" w:type="dxa"/>
              <w:right w:w="120" w:type="dxa"/>
            </w:tcMar>
            <w:vAlign w:val="center"/>
          </w:tcPr>
          <w:p w14:paraId="187A405E">
            <w:pPr>
              <w:pStyle w:val="33"/>
            </w:pPr>
            <w:r>
              <w:t>0.0622</w:t>
            </w:r>
          </w:p>
        </w:tc>
        <w:tc>
          <w:tcPr>
            <w:tcW w:w="1118" w:type="pct"/>
            <w:tcMar>
              <w:top w:w="90" w:type="dxa"/>
              <w:left w:w="120" w:type="dxa"/>
              <w:bottom w:w="90" w:type="dxa"/>
              <w:right w:w="120" w:type="dxa"/>
            </w:tcMar>
            <w:vAlign w:val="center"/>
          </w:tcPr>
          <w:p w14:paraId="25040641">
            <w:pPr>
              <w:pStyle w:val="33"/>
            </w:pPr>
            <w:r>
              <w:t>1.0</w:t>
            </w:r>
          </w:p>
        </w:tc>
        <w:tc>
          <w:tcPr>
            <w:tcW w:w="1832" w:type="pct"/>
            <w:tcMar>
              <w:top w:w="90" w:type="dxa"/>
              <w:left w:w="120" w:type="dxa"/>
              <w:bottom w:w="90" w:type="dxa"/>
              <w:right w:w="120" w:type="dxa"/>
            </w:tcMar>
            <w:vAlign w:val="center"/>
          </w:tcPr>
          <w:p w14:paraId="2670B69E">
            <w:pPr>
              <w:pStyle w:val="33"/>
            </w:pPr>
            <w:r>
              <w:t>单场推理小于1 s</w:t>
            </w:r>
          </w:p>
        </w:tc>
      </w:tr>
      <w:tr w14:paraId="607BF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3" w:type="pct"/>
            <w:tcMar>
              <w:top w:w="90" w:type="dxa"/>
              <w:left w:w="120" w:type="dxa"/>
              <w:bottom w:w="90" w:type="dxa"/>
              <w:right w:w="120" w:type="dxa"/>
            </w:tcMar>
            <w:vAlign w:val="center"/>
          </w:tcPr>
          <w:p w14:paraId="113C529B">
            <w:pPr>
              <w:pStyle w:val="33"/>
            </w:pPr>
            <w:r>
              <w:t>共轭梯度法</w:t>
            </w:r>
          </w:p>
        </w:tc>
        <w:tc>
          <w:tcPr>
            <w:tcW w:w="997" w:type="pct"/>
            <w:tcMar>
              <w:top w:w="90" w:type="dxa"/>
              <w:left w:w="120" w:type="dxa"/>
              <w:bottom w:w="90" w:type="dxa"/>
              <w:right w:w="120" w:type="dxa"/>
            </w:tcMar>
            <w:vAlign w:val="center"/>
          </w:tcPr>
          <w:p w14:paraId="5239AEB8">
            <w:pPr>
              <w:pStyle w:val="33"/>
            </w:pPr>
            <w:r>
              <w:t>18.67</w:t>
            </w:r>
          </w:p>
        </w:tc>
        <w:tc>
          <w:tcPr>
            <w:tcW w:w="1118" w:type="pct"/>
            <w:tcMar>
              <w:top w:w="90" w:type="dxa"/>
              <w:left w:w="120" w:type="dxa"/>
              <w:bottom w:w="90" w:type="dxa"/>
              <w:right w:w="120" w:type="dxa"/>
            </w:tcMar>
            <w:vAlign w:val="center"/>
          </w:tcPr>
          <w:p w14:paraId="09F09B58">
            <w:pPr>
              <w:pStyle w:val="33"/>
            </w:pPr>
            <w:r>
              <w:t>300.2</w:t>
            </w:r>
          </w:p>
        </w:tc>
        <w:tc>
          <w:tcPr>
            <w:tcW w:w="1832" w:type="pct"/>
            <w:tcMar>
              <w:top w:w="90" w:type="dxa"/>
              <w:left w:w="120" w:type="dxa"/>
              <w:bottom w:w="90" w:type="dxa"/>
              <w:right w:w="120" w:type="dxa"/>
            </w:tcMar>
            <w:vAlign w:val="center"/>
          </w:tcPr>
          <w:p w14:paraId="6E8431EB">
            <w:pPr>
              <w:pStyle w:val="33"/>
            </w:pPr>
            <w:r>
              <w:t>加速超过2个数量级</w:t>
            </w:r>
          </w:p>
        </w:tc>
      </w:tr>
      <w:tr w14:paraId="1602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3" w:type="pct"/>
            <w:tcMar>
              <w:top w:w="90" w:type="dxa"/>
              <w:left w:w="120" w:type="dxa"/>
              <w:bottom w:w="90" w:type="dxa"/>
              <w:right w:w="120" w:type="dxa"/>
            </w:tcMar>
            <w:vAlign w:val="center"/>
          </w:tcPr>
          <w:p w14:paraId="0DFF6D3A">
            <w:pPr>
              <w:pStyle w:val="33"/>
            </w:pPr>
            <w:r>
              <w:t>灵敏度法</w:t>
            </w:r>
          </w:p>
        </w:tc>
        <w:tc>
          <w:tcPr>
            <w:tcW w:w="997" w:type="pct"/>
            <w:tcMar>
              <w:top w:w="90" w:type="dxa"/>
              <w:left w:w="120" w:type="dxa"/>
              <w:bottom w:w="90" w:type="dxa"/>
              <w:right w:w="120" w:type="dxa"/>
            </w:tcMar>
            <w:vAlign w:val="center"/>
          </w:tcPr>
          <w:p w14:paraId="1B0DF648">
            <w:pPr>
              <w:pStyle w:val="33"/>
            </w:pPr>
            <w:r>
              <w:t>11.10</w:t>
            </w:r>
          </w:p>
        </w:tc>
        <w:tc>
          <w:tcPr>
            <w:tcW w:w="1118" w:type="pct"/>
            <w:tcMar>
              <w:top w:w="90" w:type="dxa"/>
              <w:left w:w="120" w:type="dxa"/>
              <w:bottom w:w="90" w:type="dxa"/>
              <w:right w:w="120" w:type="dxa"/>
            </w:tcMar>
            <w:vAlign w:val="center"/>
          </w:tcPr>
          <w:p w14:paraId="01ADE214">
            <w:pPr>
              <w:pStyle w:val="33"/>
            </w:pPr>
            <w:r>
              <w:t>178.5</w:t>
            </w:r>
          </w:p>
        </w:tc>
        <w:tc>
          <w:tcPr>
            <w:tcW w:w="1832" w:type="pct"/>
            <w:tcMar>
              <w:top w:w="90" w:type="dxa"/>
              <w:left w:w="120" w:type="dxa"/>
              <w:bottom w:w="90" w:type="dxa"/>
              <w:right w:w="120" w:type="dxa"/>
            </w:tcMar>
            <w:vAlign w:val="center"/>
          </w:tcPr>
          <w:p w14:paraId="06C6DC68">
            <w:pPr>
              <w:pStyle w:val="33"/>
            </w:pPr>
            <w:r>
              <w:t>加速超过2个数量级</w:t>
            </w:r>
          </w:p>
        </w:tc>
      </w:tr>
      <w:tr w14:paraId="261F9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3" w:type="pct"/>
            <w:tcMar>
              <w:top w:w="90" w:type="dxa"/>
              <w:left w:w="120" w:type="dxa"/>
              <w:bottom w:w="90" w:type="dxa"/>
              <w:right w:w="120" w:type="dxa"/>
            </w:tcMar>
            <w:vAlign w:val="center"/>
          </w:tcPr>
          <w:p w14:paraId="6C521E31">
            <w:pPr>
              <w:pStyle w:val="33"/>
            </w:pPr>
            <w:r>
              <w:t>最速下降法</w:t>
            </w:r>
          </w:p>
        </w:tc>
        <w:tc>
          <w:tcPr>
            <w:tcW w:w="997" w:type="pct"/>
            <w:tcMar>
              <w:top w:w="90" w:type="dxa"/>
              <w:left w:w="120" w:type="dxa"/>
              <w:bottom w:w="90" w:type="dxa"/>
              <w:right w:w="120" w:type="dxa"/>
            </w:tcMar>
            <w:vAlign w:val="center"/>
          </w:tcPr>
          <w:p w14:paraId="255D4204">
            <w:pPr>
              <w:pStyle w:val="33"/>
            </w:pPr>
            <w:r>
              <w:t>12.44</w:t>
            </w:r>
          </w:p>
        </w:tc>
        <w:tc>
          <w:tcPr>
            <w:tcW w:w="1118" w:type="pct"/>
            <w:tcMar>
              <w:top w:w="90" w:type="dxa"/>
              <w:left w:w="120" w:type="dxa"/>
              <w:bottom w:w="90" w:type="dxa"/>
              <w:right w:w="120" w:type="dxa"/>
            </w:tcMar>
            <w:vAlign w:val="center"/>
          </w:tcPr>
          <w:p w14:paraId="05BA473C">
            <w:pPr>
              <w:pStyle w:val="33"/>
            </w:pPr>
            <w:r>
              <w:t>200.0</w:t>
            </w:r>
          </w:p>
        </w:tc>
        <w:tc>
          <w:tcPr>
            <w:tcW w:w="1832" w:type="pct"/>
            <w:tcMar>
              <w:top w:w="90" w:type="dxa"/>
              <w:left w:w="120" w:type="dxa"/>
              <w:bottom w:w="90" w:type="dxa"/>
              <w:right w:w="120" w:type="dxa"/>
            </w:tcMar>
            <w:vAlign w:val="center"/>
          </w:tcPr>
          <w:p w14:paraId="564B699D">
            <w:pPr>
              <w:pStyle w:val="33"/>
            </w:pPr>
            <w:r>
              <w:t>加速约2个数量级</w:t>
            </w:r>
          </w:p>
        </w:tc>
      </w:tr>
    </w:tbl>
    <w:p w14:paraId="2595CF10">
      <w:pPr>
        <w:pStyle w:val="33"/>
      </w:pPr>
    </w:p>
    <w:p w14:paraId="7F35567A">
      <w:pPr>
        <w:pStyle w:val="33"/>
      </w:pPr>
      <w:r>
        <w:drawing>
          <wp:inline distT="0" distB="0" distL="114300" distR="114300">
            <wp:extent cx="5111750" cy="2933700"/>
            <wp:effectExtent l="0" t="0" r="8890" b="7620"/>
            <wp:docPr id="3525325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32535" name="Picture 12"/>
                    <pic:cNvPicPr>
                      <a:picLocks noChangeAspect="1"/>
                    </pic:cNvPicPr>
                  </pic:nvPicPr>
                  <pic:blipFill>
                    <a:blip r:embed="rId69"/>
                    <a:stretch>
                      <a:fillRect/>
                    </a:stretch>
                  </pic:blipFill>
                  <pic:spPr>
                    <a:xfrm>
                      <a:off x="0" y="0"/>
                      <a:ext cx="5112000" cy="2933978"/>
                    </a:xfrm>
                    <a:prstGeom prst="rect">
                      <a:avLst/>
                    </a:prstGeom>
                  </pic:spPr>
                </pic:pic>
              </a:graphicData>
            </a:graphic>
          </wp:inline>
        </w:drawing>
      </w:r>
    </w:p>
    <w:p w14:paraId="3C4372F8">
      <w:pPr>
        <w:pStyle w:val="33"/>
      </w:pPr>
      <w:bookmarkStart w:id="116" w:name="_Ref2359046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56</w:t>
      </w:r>
      <w:r>
        <w:fldChar w:fldCharType="end"/>
      </w:r>
      <w:bookmarkEnd w:id="116"/>
      <w:r>
        <w:rPr>
          <w:rFonts w:hint="eastAsia"/>
        </w:rPr>
        <w:t xml:space="preserve"> Python人工智能模块与Fortran数值计算模块协同</w:t>
      </w:r>
    </w:p>
    <w:p w14:paraId="029E5642">
      <w:pPr>
        <w:pStyle w:val="5"/>
      </w:pPr>
      <w:bookmarkStart w:id="117" w:name="_Toc235910470"/>
      <w:bookmarkStart w:id="118" w:name="_Ref235904362"/>
      <w:r>
        <w:rPr>
          <w:rFonts w:hint="eastAsia"/>
        </w:rPr>
        <w:t>W基体/SiC纤维金属基复合材料研究</w:t>
      </w:r>
      <w:bookmarkEnd w:id="117"/>
      <w:bookmarkEnd w:id="118"/>
    </w:p>
    <w:p w14:paraId="0F5FE45E">
      <w:pPr>
        <w:pStyle w:val="3"/>
      </w:pPr>
      <w:r>
        <w:rPr>
          <w:rFonts w:hint="eastAsia"/>
        </w:rPr>
        <w:t>W基体/SiC纤维金属基复合材料按照统一的波形—温度场数据格式进入人工智能数据库。该材料形成200组仿真配对数据，温度范围为300～1500 K；每条记录包含材料标识、样本编号、温度、超声波形路径、温度场路径及数据来源字段，并通过manifest建立数据目录与模型调用之间的关联。</w:t>
      </w:r>
    </w:p>
    <w:p w14:paraId="6CC89B14">
      <w:pPr>
        <w:pStyle w:val="3"/>
      </w:pPr>
      <w:r>
        <w:rPr>
          <w:rFonts w:hint="eastAsia"/>
        </w:rPr>
        <w:t>模型框架保持超声全波形输入、CNN与LSTM双分支编码、BP融合回归和固定节点温度场输出。材料差异通过独立数据清单、材料规则、checkpoint和路由文件管理，使金属基复合材料能够与多层材料共享统一的软件流程，同时保留材料特定的数据统计量和模型权重。</w:t>
      </w:r>
    </w:p>
    <w:p w14:paraId="66F23032">
      <w:pPr>
        <w:pStyle w:val="33"/>
      </w:pPr>
      <w:r>
        <w:drawing>
          <wp:inline distT="0" distB="0" distL="114300" distR="114300">
            <wp:extent cx="5219700" cy="2488565"/>
            <wp:effectExtent l="0" t="0" r="7620" b="10795"/>
            <wp:docPr id="14657892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89220" name="Picture 13"/>
                    <pic:cNvPicPr>
                      <a:picLocks noChangeAspect="1"/>
                    </pic:cNvPicPr>
                  </pic:nvPicPr>
                  <pic:blipFill>
                    <a:blip r:embed="rId70"/>
                    <a:stretch>
                      <a:fillRect/>
                    </a:stretch>
                  </pic:blipFill>
                  <pic:spPr>
                    <a:xfrm>
                      <a:off x="0" y="0"/>
                      <a:ext cx="5220000" cy="2488739"/>
                    </a:xfrm>
                    <a:prstGeom prst="rect">
                      <a:avLst/>
                    </a:prstGeom>
                  </pic:spPr>
                </pic:pic>
              </a:graphicData>
            </a:graphic>
          </wp:inline>
        </w:drawing>
      </w:r>
    </w:p>
    <w:p w14:paraId="742FD796">
      <w:pPr>
        <w:pStyle w:val="33"/>
      </w:pPr>
      <w:bookmarkStart w:id="119" w:name="_Ref23590473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57</w:t>
      </w:r>
      <w:r>
        <w:fldChar w:fldCharType="end"/>
      </w:r>
      <w:bookmarkEnd w:id="119"/>
      <w:r>
        <w:rPr>
          <w:rFonts w:hint="eastAsia"/>
        </w:rPr>
        <w:t xml:space="preserve"> </w:t>
      </w:r>
      <w:r>
        <w:t>W基体/SiC纤维金属基复合材料数据与manifest记录</w:t>
      </w:r>
    </w:p>
    <w:p w14:paraId="6A6E8522">
      <w:pPr>
        <w:pStyle w:val="5"/>
      </w:pPr>
      <w:bookmarkStart w:id="120" w:name="_Toc235910471"/>
      <w:bookmarkStart w:id="121" w:name="_Ref235904371"/>
      <w:r>
        <w:rPr>
          <w:rFonts w:hint="eastAsia"/>
        </w:rPr>
        <w:t>SiC纤维/CVI-SiC基体硅基复合材料研究</w:t>
      </w:r>
      <w:bookmarkEnd w:id="120"/>
      <w:bookmarkEnd w:id="121"/>
    </w:p>
    <w:p w14:paraId="2CF65C11">
      <w:pPr>
        <w:pStyle w:val="3"/>
      </w:pPr>
      <w:r>
        <w:rPr>
          <w:rFonts w:hint="eastAsia"/>
        </w:rPr>
        <w:t>SiC纤维/CVI-SiC基体硅基复合材料同样采用统一的数据组织和模型接口。该材料形成200组仿真超声波形—温度场配对数据，温度范围为300～1500 K；数据目录与manifest记录材料标识、样本规模、温度范围以及波形和温度场文件路径，可由建库、训练、校验和预测入口直接调用。</w:t>
      </w:r>
    </w:p>
    <w:p w14:paraId="0236D58A">
      <w:pPr>
        <w:pStyle w:val="3"/>
      </w:pPr>
      <w:r>
        <w:rPr>
          <w:rFonts w:hint="eastAsia"/>
        </w:rPr>
        <w:t>多材料模型管理通过材料路由选择对应的完整checkpoint，避免不同材料统计分布相互混淆。固定物理节点、波形预处理参数和模型元数据随材料模型保存，使硅基复合材料数据能够在统一CNN–LSTM–BP与PINN训练框架下形成独立、可追溯的模型资源。</w:t>
      </w:r>
    </w:p>
    <w:p w14:paraId="0CAACF0D">
      <w:pPr>
        <w:pStyle w:val="33"/>
      </w:pPr>
      <w:r>
        <w:drawing>
          <wp:inline distT="0" distB="0" distL="114300" distR="114300">
            <wp:extent cx="5327650" cy="2179955"/>
            <wp:effectExtent l="0" t="0" r="6350" b="14605"/>
            <wp:docPr id="10001289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8989" name="Picture 14"/>
                    <pic:cNvPicPr>
                      <a:picLocks noChangeAspect="1"/>
                    </pic:cNvPicPr>
                  </pic:nvPicPr>
                  <pic:blipFill>
                    <a:blip r:embed="rId71"/>
                    <a:stretch>
                      <a:fillRect/>
                    </a:stretch>
                  </pic:blipFill>
                  <pic:spPr>
                    <a:xfrm>
                      <a:off x="0" y="0"/>
                      <a:ext cx="5328000" cy="2180109"/>
                    </a:xfrm>
                    <a:prstGeom prst="rect">
                      <a:avLst/>
                    </a:prstGeom>
                  </pic:spPr>
                </pic:pic>
              </a:graphicData>
            </a:graphic>
          </wp:inline>
        </w:drawing>
      </w:r>
    </w:p>
    <w:p w14:paraId="0FD5D6E2">
      <w:pPr>
        <w:pStyle w:val="33"/>
      </w:pPr>
      <w:bookmarkStart w:id="122" w:name="_Ref23590473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58</w:t>
      </w:r>
      <w:r>
        <w:fldChar w:fldCharType="end"/>
      </w:r>
      <w:bookmarkEnd w:id="122"/>
      <w:r>
        <w:rPr>
          <w:rFonts w:hint="eastAsia"/>
        </w:rPr>
        <w:t xml:space="preserve"> </w:t>
      </w:r>
      <w:r>
        <w:t>SiC纤维/CVI-SiC基体硅基复合材料数据与manifest记录</w:t>
      </w:r>
    </w:p>
    <w:p w14:paraId="19A14634">
      <w:pPr>
        <w:pStyle w:val="33"/>
      </w:pPr>
    </w:p>
    <w:p w14:paraId="676DBB78">
      <w:pPr>
        <w:pStyle w:val="33"/>
      </w:pPr>
    </w:p>
    <w:p w14:paraId="47143D43">
      <w:pPr>
        <w:pStyle w:val="33"/>
      </w:pPr>
    </w:p>
    <w:p w14:paraId="5B0F06A1">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37</w:t>
      </w:r>
      <w:r>
        <w:fldChar w:fldCharType="end"/>
      </w:r>
      <w:r>
        <w:rPr>
          <w:rFonts w:hint="eastAsia"/>
        </w:rPr>
        <w:t>三类材料的统一模型管理方式</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1745"/>
        <w:gridCol w:w="2518"/>
        <w:gridCol w:w="1963"/>
      </w:tblGrid>
      <w:tr w14:paraId="074E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40" w:type="pct"/>
            <w:tcMar>
              <w:top w:w="90" w:type="dxa"/>
              <w:left w:w="120" w:type="dxa"/>
              <w:bottom w:w="90" w:type="dxa"/>
              <w:right w:w="120" w:type="dxa"/>
            </w:tcMar>
            <w:vAlign w:val="center"/>
          </w:tcPr>
          <w:p w14:paraId="6A7E267D">
            <w:pPr>
              <w:pStyle w:val="33"/>
            </w:pPr>
            <w:r>
              <w:rPr>
                <w:b/>
              </w:rPr>
              <w:t>材料体系</w:t>
            </w:r>
          </w:p>
        </w:tc>
        <w:tc>
          <w:tcPr>
            <w:tcW w:w="998" w:type="pct"/>
            <w:tcMar>
              <w:top w:w="90" w:type="dxa"/>
              <w:left w:w="120" w:type="dxa"/>
              <w:bottom w:w="90" w:type="dxa"/>
              <w:right w:w="120" w:type="dxa"/>
            </w:tcMar>
            <w:vAlign w:val="center"/>
          </w:tcPr>
          <w:p w14:paraId="04978366">
            <w:pPr>
              <w:pStyle w:val="33"/>
            </w:pPr>
            <w:r>
              <w:rPr>
                <w:b/>
              </w:rPr>
              <w:t>数据规模</w:t>
            </w:r>
          </w:p>
        </w:tc>
        <w:tc>
          <w:tcPr>
            <w:tcW w:w="1440" w:type="pct"/>
            <w:tcMar>
              <w:top w:w="90" w:type="dxa"/>
              <w:left w:w="120" w:type="dxa"/>
              <w:bottom w:w="90" w:type="dxa"/>
              <w:right w:w="120" w:type="dxa"/>
            </w:tcMar>
            <w:vAlign w:val="center"/>
          </w:tcPr>
          <w:p w14:paraId="43988871">
            <w:pPr>
              <w:pStyle w:val="33"/>
            </w:pPr>
            <w:r>
              <w:rPr>
                <w:b/>
              </w:rPr>
              <w:t>模型管理</w:t>
            </w:r>
          </w:p>
        </w:tc>
        <w:tc>
          <w:tcPr>
            <w:tcW w:w="1122" w:type="pct"/>
            <w:tcMar>
              <w:top w:w="90" w:type="dxa"/>
              <w:left w:w="120" w:type="dxa"/>
              <w:bottom w:w="90" w:type="dxa"/>
              <w:right w:w="120" w:type="dxa"/>
            </w:tcMar>
            <w:vAlign w:val="center"/>
          </w:tcPr>
          <w:p w14:paraId="4DB72D38">
            <w:pPr>
              <w:pStyle w:val="33"/>
            </w:pPr>
            <w:r>
              <w:rPr>
                <w:b/>
              </w:rPr>
              <w:t>统一输出</w:t>
            </w:r>
          </w:p>
        </w:tc>
      </w:tr>
      <w:tr w14:paraId="1031B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pct"/>
            <w:tcMar>
              <w:top w:w="90" w:type="dxa"/>
              <w:left w:w="120" w:type="dxa"/>
              <w:bottom w:w="90" w:type="dxa"/>
              <w:right w:w="120" w:type="dxa"/>
            </w:tcMar>
            <w:vAlign w:val="center"/>
          </w:tcPr>
          <w:p w14:paraId="6C63FF3F">
            <w:pPr>
              <w:pStyle w:val="33"/>
            </w:pPr>
            <w:r>
              <w:t>两层W30Mo70多层材料</w:t>
            </w:r>
          </w:p>
        </w:tc>
        <w:tc>
          <w:tcPr>
            <w:tcW w:w="998" w:type="pct"/>
            <w:tcMar>
              <w:top w:w="90" w:type="dxa"/>
              <w:left w:w="120" w:type="dxa"/>
              <w:bottom w:w="90" w:type="dxa"/>
              <w:right w:w="120" w:type="dxa"/>
            </w:tcMar>
            <w:vAlign w:val="center"/>
          </w:tcPr>
          <w:p w14:paraId="5343F61E">
            <w:pPr>
              <w:pStyle w:val="33"/>
            </w:pPr>
            <w:r>
              <w:t>1000组仿真+不少于20组实验</w:t>
            </w:r>
          </w:p>
        </w:tc>
        <w:tc>
          <w:tcPr>
            <w:tcW w:w="1440" w:type="pct"/>
            <w:tcMar>
              <w:top w:w="90" w:type="dxa"/>
              <w:left w:w="120" w:type="dxa"/>
              <w:bottom w:w="90" w:type="dxa"/>
              <w:right w:w="120" w:type="dxa"/>
            </w:tcMar>
            <w:vAlign w:val="center"/>
          </w:tcPr>
          <w:p w14:paraId="7145BBD4">
            <w:pPr>
              <w:pStyle w:val="33"/>
            </w:pPr>
            <w:r>
              <w:t>独立checkpoint、实验增量模型与材料路由</w:t>
            </w:r>
          </w:p>
        </w:tc>
        <w:tc>
          <w:tcPr>
            <w:tcW w:w="1122" w:type="pct"/>
            <w:tcMar>
              <w:top w:w="90" w:type="dxa"/>
              <w:left w:w="120" w:type="dxa"/>
              <w:bottom w:w="90" w:type="dxa"/>
              <w:right w:w="120" w:type="dxa"/>
            </w:tcMar>
            <w:vAlign w:val="center"/>
          </w:tcPr>
          <w:p w14:paraId="1B43B98A">
            <w:pPr>
              <w:pStyle w:val="33"/>
            </w:pPr>
            <w:r>
              <w:t>二维固定节点场、一维中心线和测点指标</w:t>
            </w:r>
          </w:p>
        </w:tc>
      </w:tr>
      <w:tr w14:paraId="4C82F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pct"/>
            <w:tcMar>
              <w:top w:w="90" w:type="dxa"/>
              <w:left w:w="120" w:type="dxa"/>
              <w:bottom w:w="90" w:type="dxa"/>
              <w:right w:w="120" w:type="dxa"/>
            </w:tcMar>
            <w:vAlign w:val="center"/>
          </w:tcPr>
          <w:p w14:paraId="5D5F82D2">
            <w:pPr>
              <w:pStyle w:val="33"/>
            </w:pPr>
            <w:r>
              <w:t>W基体/SiC纤维金属基复合材料</w:t>
            </w:r>
          </w:p>
        </w:tc>
        <w:tc>
          <w:tcPr>
            <w:tcW w:w="998" w:type="pct"/>
            <w:tcMar>
              <w:top w:w="90" w:type="dxa"/>
              <w:left w:w="120" w:type="dxa"/>
              <w:bottom w:w="90" w:type="dxa"/>
              <w:right w:w="120" w:type="dxa"/>
            </w:tcMar>
            <w:vAlign w:val="center"/>
          </w:tcPr>
          <w:p w14:paraId="342A92DF">
            <w:pPr>
              <w:pStyle w:val="33"/>
            </w:pPr>
            <w:r>
              <w:t>200组仿真</w:t>
            </w:r>
          </w:p>
        </w:tc>
        <w:tc>
          <w:tcPr>
            <w:tcW w:w="1440" w:type="pct"/>
            <w:tcMar>
              <w:top w:w="90" w:type="dxa"/>
              <w:left w:w="120" w:type="dxa"/>
              <w:bottom w:w="90" w:type="dxa"/>
              <w:right w:w="120" w:type="dxa"/>
            </w:tcMar>
            <w:vAlign w:val="center"/>
          </w:tcPr>
          <w:p w14:paraId="60515405">
            <w:pPr>
              <w:pStyle w:val="33"/>
            </w:pPr>
            <w:r>
              <w:t>独立manifest、checkpoint与材料路由</w:t>
            </w:r>
          </w:p>
        </w:tc>
        <w:tc>
          <w:tcPr>
            <w:tcW w:w="1122" w:type="pct"/>
            <w:tcMar>
              <w:top w:w="90" w:type="dxa"/>
              <w:left w:w="120" w:type="dxa"/>
              <w:bottom w:w="90" w:type="dxa"/>
              <w:right w:w="120" w:type="dxa"/>
            </w:tcMar>
            <w:vAlign w:val="center"/>
          </w:tcPr>
          <w:p w14:paraId="2B1129F2">
            <w:pPr>
              <w:pStyle w:val="33"/>
            </w:pPr>
            <w:r>
              <w:t>二维固定节点场及标准结果文件</w:t>
            </w:r>
          </w:p>
        </w:tc>
      </w:tr>
      <w:tr w14:paraId="6A2D6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pct"/>
            <w:tcMar>
              <w:top w:w="90" w:type="dxa"/>
              <w:left w:w="120" w:type="dxa"/>
              <w:bottom w:w="90" w:type="dxa"/>
              <w:right w:w="120" w:type="dxa"/>
            </w:tcMar>
            <w:vAlign w:val="center"/>
          </w:tcPr>
          <w:p w14:paraId="569DB3D9">
            <w:pPr>
              <w:pStyle w:val="33"/>
            </w:pPr>
            <w:r>
              <w:t>SiC纤维/CVI-SiC基体硅基复合材料</w:t>
            </w:r>
          </w:p>
        </w:tc>
        <w:tc>
          <w:tcPr>
            <w:tcW w:w="998" w:type="pct"/>
            <w:tcMar>
              <w:top w:w="90" w:type="dxa"/>
              <w:left w:w="120" w:type="dxa"/>
              <w:bottom w:w="90" w:type="dxa"/>
              <w:right w:w="120" w:type="dxa"/>
            </w:tcMar>
            <w:vAlign w:val="center"/>
          </w:tcPr>
          <w:p w14:paraId="7B097122">
            <w:pPr>
              <w:pStyle w:val="33"/>
            </w:pPr>
            <w:r>
              <w:t>200组仿真</w:t>
            </w:r>
          </w:p>
        </w:tc>
        <w:tc>
          <w:tcPr>
            <w:tcW w:w="1440" w:type="pct"/>
            <w:tcMar>
              <w:top w:w="90" w:type="dxa"/>
              <w:left w:w="120" w:type="dxa"/>
              <w:bottom w:w="90" w:type="dxa"/>
              <w:right w:w="120" w:type="dxa"/>
            </w:tcMar>
            <w:vAlign w:val="center"/>
          </w:tcPr>
          <w:p w14:paraId="3446155F">
            <w:pPr>
              <w:pStyle w:val="33"/>
            </w:pPr>
            <w:r>
              <w:t>独立manifest、checkpoint与材料路由</w:t>
            </w:r>
          </w:p>
        </w:tc>
        <w:tc>
          <w:tcPr>
            <w:tcW w:w="1122" w:type="pct"/>
            <w:tcMar>
              <w:top w:w="90" w:type="dxa"/>
              <w:left w:w="120" w:type="dxa"/>
              <w:bottom w:w="90" w:type="dxa"/>
              <w:right w:w="120" w:type="dxa"/>
            </w:tcMar>
            <w:vAlign w:val="center"/>
          </w:tcPr>
          <w:p w14:paraId="7FAEA643">
            <w:pPr>
              <w:pStyle w:val="33"/>
            </w:pPr>
            <w:r>
              <w:t>二维固定节点场及标准结果文件</w:t>
            </w:r>
          </w:p>
        </w:tc>
      </w:tr>
    </w:tbl>
    <w:p w14:paraId="6ACFA59D">
      <w:pPr>
        <w:pStyle w:val="5"/>
      </w:pPr>
      <w:bookmarkStart w:id="123" w:name="_Toc235910472"/>
      <w:r>
        <w:rPr>
          <w:rFonts w:hint="eastAsia"/>
        </w:rPr>
        <w:t>本模块研究结果及系统输出</w:t>
      </w:r>
      <w:bookmarkEnd w:id="123"/>
    </w:p>
    <w:p w14:paraId="3B1171DF">
      <w:pPr>
        <w:pStyle w:val="3"/>
      </w:pPr>
      <w:r>
        <w:rPr>
          <w:rFonts w:hint="eastAsia"/>
        </w:rPr>
        <w:t>本模块建立了以超声全波形为直接输入的人工智能温度场重构方法。CNN分支提取局部波形形态、幅值和频域相关特征，LSTM分支提取回波顺序与传播时序特征，BP网络完成双分支融合和固定物理节点温度场回归；MSE监督损失与PINN物理约束共同用于模型训练，形成数据精度与空间物理一致性相结合的训练体系。</w:t>
      </w:r>
    </w:p>
    <w:p w14:paraId="274A38FA">
      <w:pPr>
        <w:pStyle w:val="3"/>
      </w:pPr>
      <w:r>
        <w:rPr>
          <w:rFonts w:hint="eastAsia"/>
        </w:rPr>
        <w:t>围绕三类材料形成了统一的温度—声学参数数据库和多材料模型管理机制。数据库包含1400组仿真波形—温度场配对数据和不少于20组W30Mo70实验数据，温度覆盖300～1500 K；固定采样索引将约23万个原始有限元节点转换为10,000个代表物理节点，并保留节点编号、坐标、材料、边界和界面身份。</w:t>
      </w:r>
    </w:p>
    <w:p w14:paraId="657894CD">
      <w:pPr>
        <w:pStyle w:val="3"/>
      </w:pPr>
      <w:r>
        <w:rPr>
          <w:rFonts w:hint="eastAsia"/>
        </w:rPr>
        <w:t>W30Mo70实验验证覆盖一维稳态、一维瞬态、二维稳态和二维瞬态温度场重构，五点平均温度相对误差为0.7095%～3.3637%。AI单场完整温度场平均推理耗时约0.0622 s，相较共轭梯度法、灵敏度法和最速下降法的加速比分别约为300.2、178.5和200.0。在线增量训练、参数冻结、材料路由和版本化checkpoint管理使新增实验数据能够进入统一的模型更新与结果追溯流程。</w:t>
      </w:r>
    </w:p>
    <w:p w14:paraId="5DF16F56">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38</w:t>
      </w:r>
      <w:r>
        <w:fldChar w:fldCharType="end"/>
      </w:r>
      <w:r>
        <w:rPr>
          <w:rFonts w:hint="eastAsia"/>
        </w:rPr>
        <w:t>本模块形成的主要系统输出</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3"/>
        <w:gridCol w:w="3066"/>
        <w:gridCol w:w="1584"/>
        <w:gridCol w:w="2641"/>
      </w:tblGrid>
      <w:tr w14:paraId="00F6E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31" w:type="pct"/>
            <w:tcMar>
              <w:top w:w="90" w:type="dxa"/>
              <w:left w:w="120" w:type="dxa"/>
              <w:bottom w:w="90" w:type="dxa"/>
              <w:right w:w="120" w:type="dxa"/>
            </w:tcMar>
            <w:vAlign w:val="center"/>
          </w:tcPr>
          <w:p w14:paraId="1249218B">
            <w:pPr>
              <w:pStyle w:val="33"/>
            </w:pPr>
            <w:r>
              <w:rPr>
                <w:b/>
              </w:rPr>
              <w:t>输出类别</w:t>
            </w:r>
          </w:p>
        </w:tc>
        <w:tc>
          <w:tcPr>
            <w:tcW w:w="1753" w:type="pct"/>
            <w:tcMar>
              <w:top w:w="90" w:type="dxa"/>
              <w:left w:w="120" w:type="dxa"/>
              <w:bottom w:w="90" w:type="dxa"/>
              <w:right w:w="120" w:type="dxa"/>
            </w:tcMar>
            <w:vAlign w:val="center"/>
          </w:tcPr>
          <w:p w14:paraId="1A98892C">
            <w:pPr>
              <w:pStyle w:val="33"/>
            </w:pPr>
            <w:r>
              <w:rPr>
                <w:b/>
              </w:rPr>
              <w:t>主要内容</w:t>
            </w:r>
          </w:p>
        </w:tc>
        <w:tc>
          <w:tcPr>
            <w:tcW w:w="906" w:type="pct"/>
            <w:tcMar>
              <w:top w:w="90" w:type="dxa"/>
              <w:left w:w="120" w:type="dxa"/>
              <w:bottom w:w="90" w:type="dxa"/>
              <w:right w:w="120" w:type="dxa"/>
            </w:tcMar>
            <w:vAlign w:val="center"/>
          </w:tcPr>
          <w:p w14:paraId="68D30EE2">
            <w:pPr>
              <w:pStyle w:val="33"/>
            </w:pPr>
            <w:r>
              <w:rPr>
                <w:b/>
              </w:rPr>
              <w:t>文件形态</w:t>
            </w:r>
          </w:p>
        </w:tc>
        <w:tc>
          <w:tcPr>
            <w:tcW w:w="1510" w:type="pct"/>
            <w:tcMar>
              <w:top w:w="90" w:type="dxa"/>
              <w:left w:w="120" w:type="dxa"/>
              <w:bottom w:w="90" w:type="dxa"/>
              <w:right w:w="120" w:type="dxa"/>
            </w:tcMar>
            <w:vAlign w:val="center"/>
          </w:tcPr>
          <w:p w14:paraId="03EEF342">
            <w:pPr>
              <w:pStyle w:val="33"/>
            </w:pPr>
            <w:r>
              <w:rPr>
                <w:b/>
              </w:rPr>
              <w:t>应用方式</w:t>
            </w:r>
          </w:p>
        </w:tc>
      </w:tr>
      <w:tr w14:paraId="2D488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1" w:type="pct"/>
            <w:tcMar>
              <w:top w:w="90" w:type="dxa"/>
              <w:left w:w="120" w:type="dxa"/>
              <w:bottom w:w="90" w:type="dxa"/>
              <w:right w:w="120" w:type="dxa"/>
            </w:tcMar>
            <w:vAlign w:val="center"/>
          </w:tcPr>
          <w:p w14:paraId="1B2829A6">
            <w:pPr>
              <w:pStyle w:val="33"/>
            </w:pPr>
            <w:r>
              <w:t>数据资源</w:t>
            </w:r>
          </w:p>
        </w:tc>
        <w:tc>
          <w:tcPr>
            <w:tcW w:w="1753" w:type="pct"/>
            <w:tcMar>
              <w:top w:w="90" w:type="dxa"/>
              <w:left w:w="120" w:type="dxa"/>
              <w:bottom w:w="90" w:type="dxa"/>
              <w:right w:w="120" w:type="dxa"/>
            </w:tcMar>
            <w:vAlign w:val="center"/>
          </w:tcPr>
          <w:p w14:paraId="6ED28E49">
            <w:pPr>
              <w:pStyle w:val="33"/>
            </w:pPr>
            <w:r>
              <w:t>三类材料波形、温度场、固定节点及数据清单</w:t>
            </w:r>
          </w:p>
        </w:tc>
        <w:tc>
          <w:tcPr>
            <w:tcW w:w="906" w:type="pct"/>
            <w:tcMar>
              <w:top w:w="90" w:type="dxa"/>
              <w:left w:w="120" w:type="dxa"/>
              <w:bottom w:w="90" w:type="dxa"/>
              <w:right w:w="120" w:type="dxa"/>
            </w:tcMar>
            <w:vAlign w:val="center"/>
          </w:tcPr>
          <w:p w14:paraId="1EA968B7">
            <w:pPr>
              <w:pStyle w:val="33"/>
            </w:pPr>
            <w:r>
              <w:t>NPY/NPZ、CSV、JSON</w:t>
            </w:r>
          </w:p>
        </w:tc>
        <w:tc>
          <w:tcPr>
            <w:tcW w:w="1510" w:type="pct"/>
            <w:tcMar>
              <w:top w:w="90" w:type="dxa"/>
              <w:left w:w="120" w:type="dxa"/>
              <w:bottom w:w="90" w:type="dxa"/>
              <w:right w:w="120" w:type="dxa"/>
            </w:tcMar>
            <w:vAlign w:val="center"/>
          </w:tcPr>
          <w:p w14:paraId="6422FCC9">
            <w:pPr>
              <w:pStyle w:val="33"/>
            </w:pPr>
            <w:r>
              <w:t>训练、验证、测试和增量更新</w:t>
            </w:r>
          </w:p>
        </w:tc>
      </w:tr>
      <w:tr w14:paraId="36846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1" w:type="pct"/>
            <w:tcMar>
              <w:top w:w="90" w:type="dxa"/>
              <w:left w:w="120" w:type="dxa"/>
              <w:bottom w:w="90" w:type="dxa"/>
              <w:right w:w="120" w:type="dxa"/>
            </w:tcMar>
            <w:vAlign w:val="center"/>
          </w:tcPr>
          <w:p w14:paraId="53BE8AD7">
            <w:pPr>
              <w:pStyle w:val="33"/>
            </w:pPr>
            <w:r>
              <w:t>模型资源</w:t>
            </w:r>
          </w:p>
        </w:tc>
        <w:tc>
          <w:tcPr>
            <w:tcW w:w="1753" w:type="pct"/>
            <w:tcMar>
              <w:top w:w="90" w:type="dxa"/>
              <w:left w:w="120" w:type="dxa"/>
              <w:bottom w:w="90" w:type="dxa"/>
              <w:right w:w="120" w:type="dxa"/>
            </w:tcMar>
            <w:vAlign w:val="center"/>
          </w:tcPr>
          <w:p w14:paraId="4FE143C1">
            <w:pPr>
              <w:pStyle w:val="33"/>
            </w:pPr>
            <w:r>
              <w:t>分材料checkpoint、材料路由、预处理统计量和采样指纹</w:t>
            </w:r>
          </w:p>
        </w:tc>
        <w:tc>
          <w:tcPr>
            <w:tcW w:w="906" w:type="pct"/>
            <w:tcMar>
              <w:top w:w="90" w:type="dxa"/>
              <w:left w:w="120" w:type="dxa"/>
              <w:bottom w:w="90" w:type="dxa"/>
              <w:right w:w="120" w:type="dxa"/>
            </w:tcMar>
            <w:vAlign w:val="center"/>
          </w:tcPr>
          <w:p w14:paraId="0FF1214D">
            <w:pPr>
              <w:pStyle w:val="33"/>
            </w:pPr>
            <w:r>
              <w:t>PT、JSON</w:t>
            </w:r>
          </w:p>
        </w:tc>
        <w:tc>
          <w:tcPr>
            <w:tcW w:w="1510" w:type="pct"/>
            <w:tcMar>
              <w:top w:w="90" w:type="dxa"/>
              <w:left w:w="120" w:type="dxa"/>
              <w:bottom w:w="90" w:type="dxa"/>
              <w:right w:w="120" w:type="dxa"/>
            </w:tcMar>
            <w:vAlign w:val="center"/>
          </w:tcPr>
          <w:p w14:paraId="309746D0">
            <w:pPr>
              <w:pStyle w:val="33"/>
            </w:pPr>
            <w:r>
              <w:t>自动选择模型并保持版本一致</w:t>
            </w:r>
          </w:p>
        </w:tc>
      </w:tr>
      <w:tr w14:paraId="2034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1" w:type="pct"/>
            <w:tcMar>
              <w:top w:w="90" w:type="dxa"/>
              <w:left w:w="120" w:type="dxa"/>
              <w:bottom w:w="90" w:type="dxa"/>
              <w:right w:w="120" w:type="dxa"/>
            </w:tcMar>
            <w:vAlign w:val="center"/>
          </w:tcPr>
          <w:p w14:paraId="10E79821">
            <w:pPr>
              <w:pStyle w:val="33"/>
            </w:pPr>
            <w:r>
              <w:t>温度场结果</w:t>
            </w:r>
          </w:p>
        </w:tc>
        <w:tc>
          <w:tcPr>
            <w:tcW w:w="1753" w:type="pct"/>
            <w:tcMar>
              <w:top w:w="90" w:type="dxa"/>
              <w:left w:w="120" w:type="dxa"/>
              <w:bottom w:w="90" w:type="dxa"/>
              <w:right w:w="120" w:type="dxa"/>
            </w:tcMar>
            <w:vAlign w:val="center"/>
          </w:tcPr>
          <w:p w14:paraId="1FC3E94E">
            <w:pPr>
              <w:pStyle w:val="33"/>
            </w:pPr>
            <w:r>
              <w:t>10,000固定节点二维场及x=0.50一维中心线</w:t>
            </w:r>
          </w:p>
        </w:tc>
        <w:tc>
          <w:tcPr>
            <w:tcW w:w="906" w:type="pct"/>
            <w:tcMar>
              <w:top w:w="90" w:type="dxa"/>
              <w:left w:w="120" w:type="dxa"/>
              <w:bottom w:w="90" w:type="dxa"/>
              <w:right w:w="120" w:type="dxa"/>
            </w:tcMar>
            <w:vAlign w:val="center"/>
          </w:tcPr>
          <w:p w14:paraId="39DA1B78">
            <w:pPr>
              <w:pStyle w:val="33"/>
            </w:pPr>
            <w:r>
              <w:t>CSV、NPZ、PNG</w:t>
            </w:r>
          </w:p>
        </w:tc>
        <w:tc>
          <w:tcPr>
            <w:tcW w:w="1510" w:type="pct"/>
            <w:tcMar>
              <w:top w:w="90" w:type="dxa"/>
              <w:left w:w="120" w:type="dxa"/>
              <w:bottom w:w="90" w:type="dxa"/>
              <w:right w:w="120" w:type="dxa"/>
            </w:tcMar>
            <w:vAlign w:val="center"/>
          </w:tcPr>
          <w:p w14:paraId="7F5CA507">
            <w:pPr>
              <w:pStyle w:val="33"/>
            </w:pPr>
            <w:r>
              <w:t>完整场展示、中心线和测点对比</w:t>
            </w:r>
          </w:p>
        </w:tc>
      </w:tr>
      <w:tr w14:paraId="290BF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1" w:type="pct"/>
            <w:tcMar>
              <w:top w:w="90" w:type="dxa"/>
              <w:left w:w="120" w:type="dxa"/>
              <w:bottom w:w="90" w:type="dxa"/>
              <w:right w:w="120" w:type="dxa"/>
            </w:tcMar>
            <w:vAlign w:val="center"/>
          </w:tcPr>
          <w:p w14:paraId="06FBEA4E">
            <w:pPr>
              <w:pStyle w:val="33"/>
            </w:pPr>
            <w:r>
              <w:t>评价结果</w:t>
            </w:r>
          </w:p>
        </w:tc>
        <w:tc>
          <w:tcPr>
            <w:tcW w:w="1753" w:type="pct"/>
            <w:tcMar>
              <w:top w:w="90" w:type="dxa"/>
              <w:left w:w="120" w:type="dxa"/>
              <w:bottom w:w="90" w:type="dxa"/>
              <w:right w:w="120" w:type="dxa"/>
            </w:tcMar>
            <w:vAlign w:val="center"/>
          </w:tcPr>
          <w:p w14:paraId="09586B23">
            <w:pPr>
              <w:pStyle w:val="33"/>
            </w:pPr>
            <w:r>
              <w:t>五测点与全场误差、单场耗时及传统方法加速比</w:t>
            </w:r>
          </w:p>
        </w:tc>
        <w:tc>
          <w:tcPr>
            <w:tcW w:w="906" w:type="pct"/>
            <w:tcMar>
              <w:top w:w="90" w:type="dxa"/>
              <w:left w:w="120" w:type="dxa"/>
              <w:bottom w:w="90" w:type="dxa"/>
              <w:right w:w="120" w:type="dxa"/>
            </w:tcMar>
            <w:vAlign w:val="center"/>
          </w:tcPr>
          <w:p w14:paraId="2012C50E">
            <w:pPr>
              <w:pStyle w:val="33"/>
            </w:pPr>
            <w:r>
              <w:t>JSON、CSV、日志</w:t>
            </w:r>
          </w:p>
        </w:tc>
        <w:tc>
          <w:tcPr>
            <w:tcW w:w="1510" w:type="pct"/>
            <w:tcMar>
              <w:top w:w="90" w:type="dxa"/>
              <w:left w:w="120" w:type="dxa"/>
              <w:bottom w:w="90" w:type="dxa"/>
              <w:right w:w="120" w:type="dxa"/>
            </w:tcMar>
            <w:vAlign w:val="center"/>
          </w:tcPr>
          <w:p w14:paraId="0B1E6B6D">
            <w:pPr>
              <w:pStyle w:val="33"/>
            </w:pPr>
            <w:r>
              <w:t>精度与计算效率评价</w:t>
            </w:r>
          </w:p>
        </w:tc>
      </w:tr>
      <w:tr w14:paraId="3B9E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1" w:type="pct"/>
            <w:tcMar>
              <w:top w:w="90" w:type="dxa"/>
              <w:left w:w="120" w:type="dxa"/>
              <w:bottom w:w="90" w:type="dxa"/>
              <w:right w:w="120" w:type="dxa"/>
            </w:tcMar>
            <w:vAlign w:val="center"/>
          </w:tcPr>
          <w:p w14:paraId="4B11D8B5">
            <w:pPr>
              <w:pStyle w:val="33"/>
            </w:pPr>
            <w:r>
              <w:t>追溯信息</w:t>
            </w:r>
          </w:p>
        </w:tc>
        <w:tc>
          <w:tcPr>
            <w:tcW w:w="1753" w:type="pct"/>
            <w:tcMar>
              <w:top w:w="90" w:type="dxa"/>
              <w:left w:w="120" w:type="dxa"/>
              <w:bottom w:w="90" w:type="dxa"/>
              <w:right w:w="120" w:type="dxa"/>
            </w:tcMar>
            <w:vAlign w:val="center"/>
          </w:tcPr>
          <w:p w14:paraId="06B384EE">
            <w:pPr>
              <w:pStyle w:val="33"/>
            </w:pPr>
            <w:r>
              <w:t>模型、数据、配置、运行环境、日志和版本关联</w:t>
            </w:r>
          </w:p>
        </w:tc>
        <w:tc>
          <w:tcPr>
            <w:tcW w:w="906" w:type="pct"/>
            <w:tcMar>
              <w:top w:w="90" w:type="dxa"/>
              <w:left w:w="120" w:type="dxa"/>
              <w:bottom w:w="90" w:type="dxa"/>
              <w:right w:w="120" w:type="dxa"/>
            </w:tcMar>
            <w:vAlign w:val="center"/>
          </w:tcPr>
          <w:p w14:paraId="2FFF4487">
            <w:pPr>
              <w:pStyle w:val="33"/>
            </w:pPr>
            <w:r>
              <w:t>JSON、目录记录</w:t>
            </w:r>
          </w:p>
        </w:tc>
        <w:tc>
          <w:tcPr>
            <w:tcW w:w="1510" w:type="pct"/>
            <w:tcMar>
              <w:top w:w="90" w:type="dxa"/>
              <w:left w:w="120" w:type="dxa"/>
              <w:bottom w:w="90" w:type="dxa"/>
              <w:right w:w="120" w:type="dxa"/>
            </w:tcMar>
            <w:vAlign w:val="center"/>
          </w:tcPr>
          <w:p w14:paraId="6EF4AD02">
            <w:pPr>
              <w:pStyle w:val="33"/>
            </w:pPr>
            <w:r>
              <w:t>复核训练、预测和更新全过程</w:t>
            </w:r>
          </w:p>
        </w:tc>
      </w:tr>
    </w:tbl>
    <w:p w14:paraId="38A14125">
      <w:pPr>
        <w:pStyle w:val="3"/>
      </w:pPr>
      <w:r>
        <w:t>本模块已经形成从多材料数据构建、超声全波形预处理、CNN–LSTM–BP融合建模、PINN物理约束训练、固定节点温度场输出到实验验证和在线增量更新的完整研究链。标准化数据格式、分材料模型路由、版本化权重管理和统一结果导出，使人工智能温度场重构具备快速、稳定和可追溯的工程应用能力。</w:t>
      </w:r>
    </w:p>
    <w:p w14:paraId="1D4CEC54">
      <w:pPr>
        <w:pStyle w:val="4"/>
      </w:pPr>
      <w:bookmarkStart w:id="124" w:name="_Toc235910473"/>
      <w:r>
        <w:rPr>
          <w:rFonts w:hint="eastAsia"/>
        </w:rPr>
        <w:t>组织管理</w:t>
      </w:r>
      <w:bookmarkEnd w:id="124"/>
    </w:p>
    <w:p w14:paraId="2B131BB9">
      <w:pPr>
        <w:pStyle w:val="3"/>
      </w:pPr>
      <w:r>
        <w:t>本项目实行项目总负责人负责制，由宁芊统一负责项目的组织实施、技术协调、资源配置和成果审核。项目根据三个研究模块及算法比较任务进行人员分工，各成员按照任务要求完成理论研究、算法开发、程序实现、测试验证和技术文档编制。项目组织及人员分工见</w:t>
      </w:r>
      <w:r>
        <w:fldChar w:fldCharType="begin"/>
      </w:r>
      <w:r>
        <w:instrText xml:space="preserve"> REF _Ref235771100 \h </w:instrText>
      </w:r>
      <w:r>
        <w:fldChar w:fldCharType="separate"/>
      </w:r>
      <w:r>
        <w:rPr>
          <w:rFonts w:hint="eastAsia"/>
        </w:rPr>
        <w:t xml:space="preserve">表 </w:t>
      </w:r>
      <w:r>
        <w:t>3</w:t>
      </w:r>
      <w:r>
        <w:noBreakHyphen/>
      </w:r>
      <w:r>
        <w:t>39</w:t>
      </w:r>
      <w:r>
        <w:fldChar w:fldCharType="end"/>
      </w:r>
      <w:r>
        <w:t>。</w:t>
      </w:r>
    </w:p>
    <w:p w14:paraId="171B4D72">
      <w:pPr>
        <w:pStyle w:val="33"/>
      </w:pPr>
      <w:bookmarkStart w:id="125" w:name="_Ref2357711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39</w:t>
      </w:r>
      <w:r>
        <w:fldChar w:fldCharType="end"/>
      </w:r>
      <w:bookmarkEnd w:id="125"/>
      <w:r>
        <w:rPr>
          <w:rFonts w:hint="eastAsia"/>
        </w:rPr>
        <w:t xml:space="preserve"> </w:t>
      </w:r>
      <w:r>
        <w:t>项目组织及人员分工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981"/>
        <w:gridCol w:w="1429"/>
        <w:gridCol w:w="5522"/>
      </w:tblGrid>
      <w:tr w14:paraId="4804A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noWrap/>
            <w:vAlign w:val="center"/>
          </w:tcPr>
          <w:p w14:paraId="0D76BB99">
            <w:pPr>
              <w:pStyle w:val="33"/>
            </w:pPr>
            <w:r>
              <w:t>序号</w:t>
            </w:r>
          </w:p>
        </w:tc>
        <w:tc>
          <w:tcPr>
            <w:tcW w:w="981" w:type="dxa"/>
            <w:noWrap/>
            <w:vAlign w:val="center"/>
          </w:tcPr>
          <w:p w14:paraId="1F07A45E">
            <w:pPr>
              <w:pStyle w:val="33"/>
            </w:pPr>
            <w:r>
              <w:t>姓名</w:t>
            </w:r>
          </w:p>
        </w:tc>
        <w:tc>
          <w:tcPr>
            <w:tcW w:w="1429" w:type="dxa"/>
            <w:noWrap/>
            <w:vAlign w:val="center"/>
          </w:tcPr>
          <w:p w14:paraId="03395E14">
            <w:pPr>
              <w:pStyle w:val="33"/>
            </w:pPr>
            <w:r>
              <w:t>项目分工</w:t>
            </w:r>
          </w:p>
        </w:tc>
        <w:tc>
          <w:tcPr>
            <w:tcW w:w="5522" w:type="dxa"/>
            <w:noWrap/>
            <w:vAlign w:val="center"/>
          </w:tcPr>
          <w:p w14:paraId="4ADAD405">
            <w:pPr>
              <w:pStyle w:val="33"/>
            </w:pPr>
            <w:r>
              <w:t>主要工作内容</w:t>
            </w:r>
          </w:p>
        </w:tc>
      </w:tr>
      <w:tr w14:paraId="76C9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noWrap/>
            <w:vAlign w:val="center"/>
          </w:tcPr>
          <w:p w14:paraId="761B07F1">
            <w:pPr>
              <w:pStyle w:val="33"/>
            </w:pPr>
            <w:r>
              <w:t>1</w:t>
            </w:r>
          </w:p>
        </w:tc>
        <w:tc>
          <w:tcPr>
            <w:tcW w:w="981" w:type="dxa"/>
            <w:noWrap/>
            <w:vAlign w:val="center"/>
          </w:tcPr>
          <w:p w14:paraId="060CA2D6">
            <w:pPr>
              <w:pStyle w:val="33"/>
            </w:pPr>
            <w:r>
              <w:t>宁芊</w:t>
            </w:r>
          </w:p>
        </w:tc>
        <w:tc>
          <w:tcPr>
            <w:tcW w:w="1429" w:type="dxa"/>
            <w:noWrap/>
            <w:vAlign w:val="center"/>
          </w:tcPr>
          <w:p w14:paraId="2DCFB001">
            <w:pPr>
              <w:pStyle w:val="33"/>
            </w:pPr>
            <w:r>
              <w:t>项目总负责</w:t>
            </w:r>
          </w:p>
        </w:tc>
        <w:tc>
          <w:tcPr>
            <w:tcW w:w="5522" w:type="dxa"/>
            <w:noWrap/>
            <w:vAlign w:val="center"/>
          </w:tcPr>
          <w:p w14:paraId="139FDC0D">
            <w:pPr>
              <w:pStyle w:val="33"/>
            </w:pPr>
            <w:r>
              <w:t>负责项目总体组织与实施，统筹技术路线、任务分工、资源配置、模块协调、成果审核以及与甲方的沟通协调</w:t>
            </w:r>
          </w:p>
        </w:tc>
      </w:tr>
      <w:tr w14:paraId="6FD1D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noWrap/>
            <w:vAlign w:val="center"/>
          </w:tcPr>
          <w:p w14:paraId="2D8D451D">
            <w:pPr>
              <w:pStyle w:val="33"/>
            </w:pPr>
            <w:r>
              <w:t>2</w:t>
            </w:r>
          </w:p>
        </w:tc>
        <w:tc>
          <w:tcPr>
            <w:tcW w:w="981" w:type="dxa"/>
            <w:noWrap/>
            <w:vAlign w:val="center"/>
          </w:tcPr>
          <w:p w14:paraId="1FA14613">
            <w:pPr>
              <w:pStyle w:val="33"/>
            </w:pPr>
            <w:r>
              <w:t>余涛</w:t>
            </w:r>
          </w:p>
        </w:tc>
        <w:tc>
          <w:tcPr>
            <w:tcW w:w="1429" w:type="dxa"/>
            <w:noWrap/>
            <w:vAlign w:val="center"/>
          </w:tcPr>
          <w:p w14:paraId="090A06E5">
            <w:pPr>
              <w:pStyle w:val="33"/>
            </w:pPr>
            <w:r>
              <w:t>第一模块负责人</w:t>
            </w:r>
          </w:p>
        </w:tc>
        <w:tc>
          <w:tcPr>
            <w:tcW w:w="5522" w:type="dxa"/>
            <w:noWrap/>
            <w:vAlign w:val="center"/>
          </w:tcPr>
          <w:p w14:paraId="60B73750">
            <w:pPr>
              <w:pStyle w:val="33"/>
            </w:pPr>
            <w:r>
              <w:t>负责“复合材料中的热声固耦合分析方法”模块的理论建模、数值方法研究、程序开发、算例验证及技术文档编制</w:t>
            </w:r>
          </w:p>
        </w:tc>
      </w:tr>
      <w:tr w14:paraId="60118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noWrap/>
            <w:vAlign w:val="center"/>
          </w:tcPr>
          <w:p w14:paraId="5FB6395B">
            <w:pPr>
              <w:pStyle w:val="33"/>
            </w:pPr>
            <w:r>
              <w:t>3</w:t>
            </w:r>
          </w:p>
        </w:tc>
        <w:tc>
          <w:tcPr>
            <w:tcW w:w="981" w:type="dxa"/>
            <w:noWrap/>
            <w:vAlign w:val="center"/>
          </w:tcPr>
          <w:p w14:paraId="6CC33D96">
            <w:pPr>
              <w:pStyle w:val="33"/>
            </w:pPr>
            <w:r>
              <w:rPr>
                <w:rFonts w:hint="eastAsia"/>
              </w:rPr>
              <w:t>樊奕欣</w:t>
            </w:r>
          </w:p>
        </w:tc>
        <w:tc>
          <w:tcPr>
            <w:tcW w:w="1429" w:type="dxa"/>
            <w:noWrap/>
            <w:vAlign w:val="center"/>
          </w:tcPr>
          <w:p w14:paraId="191E820E">
            <w:pPr>
              <w:pStyle w:val="33"/>
            </w:pPr>
            <w:r>
              <w:t>第二模块研发人员</w:t>
            </w:r>
          </w:p>
        </w:tc>
        <w:tc>
          <w:tcPr>
            <w:tcW w:w="5522" w:type="dxa"/>
            <w:noWrap/>
            <w:vAlign w:val="center"/>
          </w:tcPr>
          <w:p w14:paraId="42700F8E">
            <w:pPr>
              <w:pStyle w:val="33"/>
            </w:pPr>
            <w:r>
              <w:t>负责“声学多参数融合的温度场反演方法”模块的模型研究、反演算法开发、程序实现及测试分析</w:t>
            </w:r>
          </w:p>
        </w:tc>
      </w:tr>
      <w:tr w14:paraId="08A2B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noWrap/>
            <w:vAlign w:val="center"/>
          </w:tcPr>
          <w:p w14:paraId="1B13A6D2">
            <w:pPr>
              <w:pStyle w:val="33"/>
            </w:pPr>
            <w:r>
              <w:t>4</w:t>
            </w:r>
          </w:p>
        </w:tc>
        <w:tc>
          <w:tcPr>
            <w:tcW w:w="981" w:type="dxa"/>
            <w:noWrap/>
            <w:vAlign w:val="center"/>
          </w:tcPr>
          <w:p w14:paraId="5BF374BE">
            <w:pPr>
              <w:pStyle w:val="33"/>
            </w:pPr>
            <w:r>
              <w:t>樊奕欣</w:t>
            </w:r>
          </w:p>
        </w:tc>
        <w:tc>
          <w:tcPr>
            <w:tcW w:w="1429" w:type="dxa"/>
            <w:noWrap/>
            <w:vAlign w:val="center"/>
          </w:tcPr>
          <w:p w14:paraId="25D28E8B">
            <w:pPr>
              <w:pStyle w:val="33"/>
            </w:pPr>
            <w:r>
              <w:t>第二模块研发人员</w:t>
            </w:r>
          </w:p>
        </w:tc>
        <w:tc>
          <w:tcPr>
            <w:tcW w:w="5522" w:type="dxa"/>
            <w:noWrap/>
            <w:vAlign w:val="center"/>
          </w:tcPr>
          <w:p w14:paraId="19B32518">
            <w:pPr>
              <w:pStyle w:val="33"/>
            </w:pPr>
            <w:r>
              <w:t>配合完成声学多参数融合温度场反演方法研究，负责相关算法实现、算例计算、数据处理和结果分析</w:t>
            </w:r>
          </w:p>
        </w:tc>
      </w:tr>
      <w:tr w14:paraId="61BB9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noWrap/>
            <w:vAlign w:val="center"/>
          </w:tcPr>
          <w:p w14:paraId="668035FD">
            <w:pPr>
              <w:pStyle w:val="33"/>
            </w:pPr>
            <w:r>
              <w:t>5</w:t>
            </w:r>
          </w:p>
        </w:tc>
        <w:tc>
          <w:tcPr>
            <w:tcW w:w="981" w:type="dxa"/>
            <w:noWrap/>
            <w:vAlign w:val="center"/>
          </w:tcPr>
          <w:p w14:paraId="5FA41CBA">
            <w:pPr>
              <w:pStyle w:val="33"/>
            </w:pPr>
            <w:r>
              <w:t>葛龙</w:t>
            </w:r>
          </w:p>
        </w:tc>
        <w:tc>
          <w:tcPr>
            <w:tcW w:w="1429" w:type="dxa"/>
            <w:noWrap/>
            <w:vAlign w:val="center"/>
          </w:tcPr>
          <w:p w14:paraId="35EEE20A">
            <w:pPr>
              <w:pStyle w:val="33"/>
            </w:pPr>
            <w:r>
              <w:t>算法比较与评价负责人</w:t>
            </w:r>
          </w:p>
        </w:tc>
        <w:tc>
          <w:tcPr>
            <w:tcW w:w="5522" w:type="dxa"/>
            <w:noWrap/>
            <w:vAlign w:val="center"/>
          </w:tcPr>
          <w:p w14:paraId="286264A3">
            <w:pPr>
              <w:pStyle w:val="33"/>
            </w:pPr>
            <w:r>
              <w:t>负责不同温度场反演算法的对比计算，对算法精度、收敛性、稳定性和计算效率进行分析与评价</w:t>
            </w:r>
          </w:p>
        </w:tc>
      </w:tr>
      <w:tr w14:paraId="2F9FD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noWrap/>
            <w:vAlign w:val="center"/>
          </w:tcPr>
          <w:p w14:paraId="7432A586">
            <w:pPr>
              <w:pStyle w:val="33"/>
            </w:pPr>
            <w:r>
              <w:t>6</w:t>
            </w:r>
          </w:p>
        </w:tc>
        <w:tc>
          <w:tcPr>
            <w:tcW w:w="981" w:type="dxa"/>
            <w:noWrap/>
            <w:vAlign w:val="center"/>
          </w:tcPr>
          <w:p w14:paraId="5604FCD1">
            <w:pPr>
              <w:pStyle w:val="33"/>
            </w:pPr>
            <w:r>
              <w:t>熊武涛</w:t>
            </w:r>
          </w:p>
        </w:tc>
        <w:tc>
          <w:tcPr>
            <w:tcW w:w="1429" w:type="dxa"/>
            <w:noWrap/>
            <w:vAlign w:val="center"/>
          </w:tcPr>
          <w:p w14:paraId="1863B093">
            <w:pPr>
              <w:pStyle w:val="33"/>
            </w:pPr>
            <w:r>
              <w:t>第三模块负责人</w:t>
            </w:r>
          </w:p>
        </w:tc>
        <w:tc>
          <w:tcPr>
            <w:tcW w:w="5522" w:type="dxa"/>
            <w:noWrap/>
            <w:vAlign w:val="center"/>
          </w:tcPr>
          <w:p w14:paraId="4379B84A">
            <w:pPr>
              <w:pStyle w:val="33"/>
            </w:pPr>
            <w:r>
              <w:t>负责“基于人工智能的温度场反演方法”模块的数据集构建、模型设计与训练、程序开发、测试验证及技术文档编制</w:t>
            </w:r>
          </w:p>
        </w:tc>
      </w:tr>
    </w:tbl>
    <w:p w14:paraId="219EDEF7">
      <w:pPr>
        <w:pStyle w:val="3"/>
      </w:pPr>
      <w:r>
        <w:t>为满足理论研究、软件开发、数值仿真、人工智能训练和试验验证需要，项目组对计算设备、开发软件、试验仪器、试验材料和数据资源进行了统一配置。主要资源配置情况见</w:t>
      </w:r>
      <w:r>
        <w:fldChar w:fldCharType="begin"/>
      </w:r>
      <w:r>
        <w:instrText xml:space="preserve"> REF _Ref235891705 \h </w:instrText>
      </w:r>
      <w:r>
        <w:fldChar w:fldCharType="separate"/>
      </w:r>
      <w:r>
        <w:rPr>
          <w:rFonts w:hint="eastAsia"/>
        </w:rPr>
        <w:t xml:space="preserve">表 </w:t>
      </w:r>
      <w:r>
        <w:t>3</w:t>
      </w:r>
      <w:r>
        <w:noBreakHyphen/>
      </w:r>
      <w:r>
        <w:t>40</w:t>
      </w:r>
      <w:r>
        <w:fldChar w:fldCharType="end"/>
      </w:r>
      <w:r>
        <w:t>。</w:t>
      </w:r>
    </w:p>
    <w:p w14:paraId="66DC6E4A">
      <w:pPr>
        <w:pStyle w:val="33"/>
      </w:pPr>
      <w:bookmarkStart w:id="126" w:name="_Ref2358917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40</w:t>
      </w:r>
      <w:r>
        <w:fldChar w:fldCharType="end"/>
      </w:r>
      <w:bookmarkEnd w:id="126"/>
      <w:r>
        <w:rPr>
          <w:rFonts w:hint="eastAsia"/>
        </w:rPr>
        <w:t xml:space="preserve"> </w:t>
      </w:r>
      <w:r>
        <w:t>项目主要资源配置情况</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4111"/>
        <w:gridCol w:w="3679"/>
      </w:tblGrid>
      <w:tr w14:paraId="641C8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noWrap/>
            <w:vAlign w:val="center"/>
          </w:tcPr>
          <w:p w14:paraId="317FEE71">
            <w:pPr>
              <w:pStyle w:val="33"/>
            </w:pPr>
            <w:r>
              <w:t>资源类别</w:t>
            </w:r>
          </w:p>
        </w:tc>
        <w:tc>
          <w:tcPr>
            <w:tcW w:w="4111" w:type="dxa"/>
            <w:noWrap/>
            <w:vAlign w:val="center"/>
          </w:tcPr>
          <w:p w14:paraId="13EB2B90">
            <w:pPr>
              <w:pStyle w:val="33"/>
            </w:pPr>
            <w:r>
              <w:t>主要配置</w:t>
            </w:r>
          </w:p>
        </w:tc>
        <w:tc>
          <w:tcPr>
            <w:tcW w:w="3679" w:type="dxa"/>
            <w:noWrap/>
            <w:vAlign w:val="center"/>
          </w:tcPr>
          <w:p w14:paraId="3FF2E3DE">
            <w:pPr>
              <w:pStyle w:val="33"/>
            </w:pPr>
            <w:r>
              <w:t>主要用途</w:t>
            </w:r>
          </w:p>
        </w:tc>
      </w:tr>
      <w:tr w14:paraId="126F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noWrap/>
            <w:vAlign w:val="center"/>
          </w:tcPr>
          <w:p w14:paraId="35EAC1BE">
            <w:pPr>
              <w:pStyle w:val="33"/>
            </w:pPr>
            <w:r>
              <w:t>人员资源</w:t>
            </w:r>
          </w:p>
        </w:tc>
        <w:tc>
          <w:tcPr>
            <w:tcW w:w="4111" w:type="dxa"/>
            <w:noWrap/>
            <w:vAlign w:val="center"/>
          </w:tcPr>
          <w:p w14:paraId="0A1755A4">
            <w:pPr>
              <w:pStyle w:val="33"/>
            </w:pPr>
            <w:r>
              <w:t>项目总负责人及第一、第二、第三模块研发人员和算法比较人员</w:t>
            </w:r>
          </w:p>
        </w:tc>
        <w:tc>
          <w:tcPr>
            <w:tcW w:w="3679" w:type="dxa"/>
            <w:noWrap/>
            <w:vAlign w:val="center"/>
          </w:tcPr>
          <w:p w14:paraId="3C3D3039">
            <w:pPr>
              <w:pStyle w:val="33"/>
            </w:pPr>
            <w:r>
              <w:t>项目组织协调、理论研究、算法开发、程序实现、测试验证和技术文档编制</w:t>
            </w:r>
          </w:p>
        </w:tc>
      </w:tr>
      <w:tr w14:paraId="2672C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noWrap/>
            <w:vAlign w:val="center"/>
          </w:tcPr>
          <w:p w14:paraId="64D86BF2">
            <w:pPr>
              <w:pStyle w:val="33"/>
            </w:pPr>
            <w:r>
              <w:t>计算资源</w:t>
            </w:r>
          </w:p>
        </w:tc>
        <w:tc>
          <w:tcPr>
            <w:tcW w:w="4111" w:type="dxa"/>
            <w:noWrap/>
            <w:vAlign w:val="center"/>
          </w:tcPr>
          <w:p w14:paraId="5DB219F9">
            <w:pPr>
              <w:pStyle w:val="33"/>
            </w:pPr>
            <w:r>
              <w:t>多核CPU工作站、GPU计算服务器及大容量数据存储设备</w:t>
            </w:r>
          </w:p>
        </w:tc>
        <w:tc>
          <w:tcPr>
            <w:tcW w:w="3679" w:type="dxa"/>
            <w:noWrap/>
            <w:vAlign w:val="center"/>
          </w:tcPr>
          <w:p w14:paraId="149B575A">
            <w:pPr>
              <w:pStyle w:val="33"/>
            </w:pPr>
            <w:r>
              <w:t>热—声—固耦合计算、批量仿真数据生成、温度场反演计算、人工智能模型训练及数据存储</w:t>
            </w:r>
          </w:p>
        </w:tc>
      </w:tr>
      <w:tr w14:paraId="0D734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noWrap/>
            <w:vAlign w:val="center"/>
          </w:tcPr>
          <w:p w14:paraId="1D732273">
            <w:pPr>
              <w:pStyle w:val="33"/>
            </w:pPr>
            <w:r>
              <w:t>软件资源</w:t>
            </w:r>
          </w:p>
        </w:tc>
        <w:tc>
          <w:tcPr>
            <w:tcW w:w="4111" w:type="dxa"/>
            <w:noWrap/>
            <w:vAlign w:val="center"/>
          </w:tcPr>
          <w:p w14:paraId="64FD692C">
            <w:pPr>
              <w:pStyle w:val="33"/>
            </w:pPr>
            <w:r>
              <w:t>Windows 10/11、Visual Studio 2022、Intel oneAPI Fortran、Python 3.10及相关科学计算和人工智能开发工具</w:t>
            </w:r>
          </w:p>
        </w:tc>
        <w:tc>
          <w:tcPr>
            <w:tcW w:w="3679" w:type="dxa"/>
            <w:noWrap/>
            <w:vAlign w:val="center"/>
          </w:tcPr>
          <w:p w14:paraId="68B89D31">
            <w:pPr>
              <w:pStyle w:val="33"/>
            </w:pPr>
            <w:r>
              <w:t>Fortran核心程序开发、Python人工智能模型训练、数据处理、结果分析及程序接口调用</w:t>
            </w:r>
          </w:p>
        </w:tc>
      </w:tr>
      <w:tr w14:paraId="7F60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noWrap/>
            <w:vAlign w:val="center"/>
          </w:tcPr>
          <w:p w14:paraId="19EAE840">
            <w:pPr>
              <w:pStyle w:val="33"/>
            </w:pPr>
            <w:r>
              <w:t>超声测试资源</w:t>
            </w:r>
          </w:p>
        </w:tc>
        <w:tc>
          <w:tcPr>
            <w:tcW w:w="4111" w:type="dxa"/>
            <w:noWrap/>
            <w:vAlign w:val="center"/>
          </w:tcPr>
          <w:p w14:paraId="63DCA6F4">
            <w:pPr>
              <w:pStyle w:val="33"/>
            </w:pPr>
            <w:r>
              <w:t>JSR DPR300超声波脉冲收发一体机、横河DLM3054四通道示波器、HT-2.25P10高温超声探头及配套高温延迟块</w:t>
            </w:r>
          </w:p>
        </w:tc>
        <w:tc>
          <w:tcPr>
            <w:tcW w:w="3679" w:type="dxa"/>
            <w:noWrap/>
            <w:vAlign w:val="center"/>
          </w:tcPr>
          <w:p w14:paraId="22FDD854">
            <w:pPr>
              <w:pStyle w:val="33"/>
            </w:pPr>
            <w:r>
              <w:t>超声脉冲激励、回波信号接收和超声全波形数据采集</w:t>
            </w:r>
          </w:p>
        </w:tc>
      </w:tr>
      <w:tr w14:paraId="42A5F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noWrap/>
            <w:vAlign w:val="center"/>
          </w:tcPr>
          <w:p w14:paraId="3DE7FFFB">
            <w:pPr>
              <w:pStyle w:val="33"/>
            </w:pPr>
            <w:r>
              <w:t>温度测量资源</w:t>
            </w:r>
          </w:p>
        </w:tc>
        <w:tc>
          <w:tcPr>
            <w:tcW w:w="4111" w:type="dxa"/>
            <w:noWrap/>
            <w:vAlign w:val="center"/>
          </w:tcPr>
          <w:p w14:paraId="08541455">
            <w:pPr>
              <w:pStyle w:val="33"/>
            </w:pPr>
            <w:r>
              <w:t>AT4808多路温度测试仪、K型装甲热电偶及配套采集线路</w:t>
            </w:r>
          </w:p>
        </w:tc>
        <w:tc>
          <w:tcPr>
            <w:tcW w:w="3679" w:type="dxa"/>
            <w:noWrap/>
            <w:vAlign w:val="center"/>
          </w:tcPr>
          <w:p w14:paraId="1C9CB3AF">
            <w:pPr>
              <w:pStyle w:val="33"/>
            </w:pPr>
            <w:r>
              <w:t>试件内部多测点稳态和瞬态温度数据采集</w:t>
            </w:r>
          </w:p>
        </w:tc>
      </w:tr>
      <w:tr w14:paraId="14264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noWrap/>
            <w:vAlign w:val="center"/>
          </w:tcPr>
          <w:p w14:paraId="74709E4E">
            <w:pPr>
              <w:pStyle w:val="33"/>
            </w:pPr>
            <w:r>
              <w:t>加热与试验资源</w:t>
            </w:r>
          </w:p>
        </w:tc>
        <w:tc>
          <w:tcPr>
            <w:tcW w:w="4111" w:type="dxa"/>
            <w:noWrap/>
            <w:vAlign w:val="center"/>
          </w:tcPr>
          <w:p w14:paraId="1F76078E">
            <w:pPr>
              <w:pStyle w:val="33"/>
            </w:pPr>
            <w:r>
              <w:t>ZB1515JRT恒温加热台、氧乙炔加热装置及相关夹持和防护设备</w:t>
            </w:r>
          </w:p>
        </w:tc>
        <w:tc>
          <w:tcPr>
            <w:tcW w:w="3679" w:type="dxa"/>
            <w:noWrap/>
            <w:vAlign w:val="center"/>
          </w:tcPr>
          <w:p w14:paraId="0E0C97C0">
            <w:pPr>
              <w:pStyle w:val="33"/>
            </w:pPr>
            <w:r>
              <w:t>开展低温稳态加热和高温瞬态加热试验</w:t>
            </w:r>
          </w:p>
        </w:tc>
      </w:tr>
      <w:tr w14:paraId="7E8D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noWrap/>
            <w:vAlign w:val="center"/>
          </w:tcPr>
          <w:p w14:paraId="1B7D3DA3">
            <w:pPr>
              <w:pStyle w:val="33"/>
            </w:pPr>
            <w:r>
              <w:t>试验材料</w:t>
            </w:r>
          </w:p>
        </w:tc>
        <w:tc>
          <w:tcPr>
            <w:tcW w:w="4111" w:type="dxa"/>
            <w:noWrap/>
            <w:vAlign w:val="center"/>
          </w:tcPr>
          <w:p w14:paraId="2EB249C4">
            <w:pPr>
              <w:pStyle w:val="33"/>
            </w:pPr>
            <w:r>
              <w:t>100mm×100mm×19.2mm两层W30Mo70合金试件、高温粘接剂和高温超声耦合材料</w:t>
            </w:r>
          </w:p>
        </w:tc>
        <w:tc>
          <w:tcPr>
            <w:tcW w:w="3679" w:type="dxa"/>
            <w:noWrap/>
            <w:vAlign w:val="center"/>
          </w:tcPr>
          <w:p w14:paraId="08C4BCD9">
            <w:pPr>
              <w:pStyle w:val="33"/>
            </w:pPr>
            <w:r>
              <w:t>温度场测量、超声测温及试验验证</w:t>
            </w:r>
          </w:p>
        </w:tc>
      </w:tr>
      <w:tr w14:paraId="556C3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noWrap/>
            <w:vAlign w:val="center"/>
          </w:tcPr>
          <w:p w14:paraId="156A4443">
            <w:pPr>
              <w:pStyle w:val="33"/>
            </w:pPr>
            <w:r>
              <w:t>数据资源</w:t>
            </w:r>
          </w:p>
        </w:tc>
        <w:tc>
          <w:tcPr>
            <w:tcW w:w="4111" w:type="dxa"/>
            <w:noWrap/>
            <w:vAlign w:val="center"/>
          </w:tcPr>
          <w:p w14:paraId="28C986A6">
            <w:pPr>
              <w:pStyle w:val="33"/>
            </w:pPr>
            <w:r>
              <w:t>材料参数、几何模型、仿真温度场、仿真超声全波形、低温超声实测数据和高温热电偶温度数据</w:t>
            </w:r>
          </w:p>
        </w:tc>
        <w:tc>
          <w:tcPr>
            <w:tcW w:w="3679" w:type="dxa"/>
            <w:noWrap/>
            <w:vAlign w:val="center"/>
          </w:tcPr>
          <w:p w14:paraId="563F4CA5">
            <w:pPr>
              <w:pStyle w:val="33"/>
            </w:pPr>
            <w:r>
              <w:t>正演模型验证、反演算法测试、算法比较和人工智能模型训练</w:t>
            </w:r>
          </w:p>
        </w:tc>
      </w:tr>
      <w:tr w14:paraId="2A16A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noWrap/>
            <w:vAlign w:val="center"/>
          </w:tcPr>
          <w:p w14:paraId="3329D50D">
            <w:pPr>
              <w:pStyle w:val="33"/>
            </w:pPr>
            <w:r>
              <w:t>文件管理资源</w:t>
            </w:r>
          </w:p>
        </w:tc>
        <w:tc>
          <w:tcPr>
            <w:tcW w:w="4111" w:type="dxa"/>
            <w:noWrap/>
            <w:vAlign w:val="center"/>
          </w:tcPr>
          <w:p w14:paraId="66DF31E8">
            <w:pPr>
              <w:pStyle w:val="33"/>
            </w:pPr>
            <w:r>
              <w:t>源代码版本库、HDF5/CSV数据文件、配置文件、运行日志及项目技术文档</w:t>
            </w:r>
          </w:p>
        </w:tc>
        <w:tc>
          <w:tcPr>
            <w:tcW w:w="3679" w:type="dxa"/>
            <w:noWrap/>
            <w:vAlign w:val="center"/>
          </w:tcPr>
          <w:p w14:paraId="1B8A777C">
            <w:pPr>
              <w:pStyle w:val="33"/>
            </w:pPr>
            <w:r>
              <w:t>模块间数据交换、程序版本管理、计算结果复现和项目资料归档</w:t>
            </w:r>
          </w:p>
        </w:tc>
      </w:tr>
    </w:tbl>
    <w:p w14:paraId="411BCB2C">
      <w:pPr>
        <w:pStyle w:val="3"/>
      </w:pPr>
      <w:r>
        <w:t>项目实施过程中，宁芊负责总体协调和任务安排，各研发人员按照</w:t>
      </w:r>
      <w:r>
        <w:fldChar w:fldCharType="begin"/>
      </w:r>
      <w:r>
        <w:instrText xml:space="preserve"> REF _Ref235771100 \h </w:instrText>
      </w:r>
      <w:r>
        <w:fldChar w:fldCharType="separate"/>
      </w:r>
      <w:r>
        <w:rPr>
          <w:rFonts w:hint="eastAsia"/>
        </w:rPr>
        <w:t xml:space="preserve">表 </w:t>
      </w:r>
      <w:r>
        <w:t>3</w:t>
      </w:r>
      <w:r>
        <w:noBreakHyphen/>
      </w:r>
      <w:r>
        <w:t>39</w:t>
      </w:r>
      <w:r>
        <w:fldChar w:fldCharType="end"/>
      </w:r>
      <w:r>
        <w:t>所列分工独立完成相应任务，并通过统一的数据格式、程序接口和评价方法实现模块衔接。涉及跨模块的数据传递、算法接口和技术问题，由相关人员共同讨论并经项目总负责人确认。程序代码、仿真数据、试验数据和技术文档实行统一命名和版本管理，保证了三个研究模块、算法比较结果及项目交付资料之间的一致性和可追溯性。</w:t>
      </w:r>
    </w:p>
    <w:p w14:paraId="624E3CA9">
      <w:pPr>
        <w:pStyle w:val="4"/>
      </w:pPr>
      <w:bookmarkStart w:id="127" w:name="_Toc235910474"/>
      <w:r>
        <w:rPr>
          <w:rFonts w:hint="eastAsia"/>
        </w:rPr>
        <w:t>质量管理</w:t>
      </w:r>
      <w:bookmarkEnd w:id="127"/>
    </w:p>
    <w:p w14:paraId="6E7A0BE3">
      <w:pPr>
        <w:pStyle w:val="3"/>
      </w:pPr>
      <w:r>
        <w:rPr>
          <w:rFonts w:hint="eastAsia"/>
        </w:rPr>
        <w:t>本项目以技术任务书、合同、实施方案和测试大纲为质量控制依据，对方案设计、理论建模、算法开发、程序实现、仿真计算、试验测试、数据处理和成果交付实施全过程质量管理。质量管理的主要目标是保证研究内容完整、技术路线正确、程序运行稳定、数据真实可追溯、技术指标满足要求以及交付资料齐全一致。</w:t>
      </w:r>
    </w:p>
    <w:p w14:paraId="5B270444">
      <w:pPr>
        <w:pStyle w:val="3"/>
      </w:pPr>
      <w:r>
        <w:rPr>
          <w:rFonts w:hint="eastAsia"/>
        </w:rPr>
        <w:t>按照合同要求，乙方对理论模型、程序代码、试验过程和测试结果承担质量责任。甲方通过参加方案评审、测试评审、项目检查和验收等方式实施监督。甲方参加评审、检查和监督，不减轻乙方对项目成果质量承担的责任。</w:t>
      </w:r>
    </w:p>
    <w:p w14:paraId="02DB87D6">
      <w:pPr>
        <w:pStyle w:val="3"/>
        <w:sectPr>
          <w:pgSz w:w="11906" w:h="16838"/>
          <w:pgMar w:top="1440" w:right="1701" w:bottom="1440" w:left="1701" w:header="851" w:footer="992" w:gutter="0"/>
          <w:cols w:space="425" w:num="1"/>
          <w:docGrid w:type="lines" w:linePitch="312" w:charSpace="0"/>
        </w:sectPr>
      </w:pPr>
      <w:r>
        <w:rPr>
          <w:rFonts w:hint="eastAsia"/>
        </w:rPr>
        <w:t>项目主要质量控制措施及实施情况见</w:t>
      </w:r>
      <w:r>
        <w:fldChar w:fldCharType="begin"/>
      </w:r>
      <w:r>
        <w:instrText xml:space="preserve"> </w:instrText>
      </w:r>
      <w:r>
        <w:rPr>
          <w:rFonts w:hint="eastAsia"/>
        </w:rPr>
        <w:instrText xml:space="preserve">REF _Ref235771709 \h</w:instrText>
      </w:r>
      <w:r>
        <w:instrText xml:space="preserve"> </w:instrText>
      </w:r>
      <w:r>
        <w:fldChar w:fldCharType="separate"/>
      </w:r>
      <w:r>
        <w:rPr>
          <w:rFonts w:hint="eastAsia"/>
        </w:rPr>
        <w:t xml:space="preserve">表 </w:t>
      </w:r>
      <w:r>
        <w:t>3</w:t>
      </w:r>
      <w:r>
        <w:noBreakHyphen/>
      </w:r>
      <w:r>
        <w:t>41</w:t>
      </w:r>
      <w:r>
        <w:fldChar w:fldCharType="end"/>
      </w:r>
      <w:r>
        <w:rPr>
          <w:rFonts w:hint="eastAsia"/>
        </w:rPr>
        <w:t>。</w:t>
      </w:r>
    </w:p>
    <w:p w14:paraId="2B67D175">
      <w:pPr>
        <w:pStyle w:val="33"/>
      </w:pPr>
      <w:bookmarkStart w:id="128" w:name="_Ref2357717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41</w:t>
      </w:r>
      <w:r>
        <w:fldChar w:fldCharType="end"/>
      </w:r>
      <w:bookmarkEnd w:id="128"/>
      <w:r>
        <w:rPr>
          <w:rFonts w:hint="eastAsia"/>
        </w:rPr>
        <w:t xml:space="preserve"> </w:t>
      </w:r>
      <w:r>
        <w:t>项目全过程质量控制情况</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410"/>
        <w:gridCol w:w="7229"/>
        <w:gridCol w:w="3038"/>
      </w:tblGrid>
      <w:tr w14:paraId="28F87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48DB3C76">
            <w:pPr>
              <w:pStyle w:val="33"/>
            </w:pPr>
            <w:r>
              <w:t>阶段</w:t>
            </w:r>
          </w:p>
        </w:tc>
        <w:tc>
          <w:tcPr>
            <w:tcW w:w="2410" w:type="dxa"/>
            <w:noWrap/>
            <w:vAlign w:val="center"/>
          </w:tcPr>
          <w:p w14:paraId="1DAB553C">
            <w:pPr>
              <w:pStyle w:val="33"/>
            </w:pPr>
            <w:r>
              <w:t>主要控制对象</w:t>
            </w:r>
          </w:p>
        </w:tc>
        <w:tc>
          <w:tcPr>
            <w:tcW w:w="7229" w:type="dxa"/>
            <w:noWrap/>
            <w:vAlign w:val="center"/>
          </w:tcPr>
          <w:p w14:paraId="50F19485">
            <w:pPr>
              <w:pStyle w:val="33"/>
            </w:pPr>
            <w:r>
              <w:t>质量控制措施</w:t>
            </w:r>
          </w:p>
        </w:tc>
        <w:tc>
          <w:tcPr>
            <w:tcW w:w="3038" w:type="dxa"/>
            <w:noWrap/>
            <w:vAlign w:val="center"/>
          </w:tcPr>
          <w:p w14:paraId="5EDB9538">
            <w:pPr>
              <w:pStyle w:val="33"/>
            </w:pPr>
            <w:r>
              <w:t>形成的质量记录或成果</w:t>
            </w:r>
          </w:p>
        </w:tc>
      </w:tr>
      <w:tr w14:paraId="2EBB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5FCF2D0C">
            <w:pPr>
              <w:pStyle w:val="33"/>
            </w:pPr>
            <w:r>
              <w:t>需求分析</w:t>
            </w:r>
          </w:p>
        </w:tc>
        <w:tc>
          <w:tcPr>
            <w:tcW w:w="2410" w:type="dxa"/>
            <w:noWrap/>
            <w:vAlign w:val="center"/>
          </w:tcPr>
          <w:p w14:paraId="2A0020EB">
            <w:pPr>
              <w:pStyle w:val="33"/>
            </w:pPr>
            <w:r>
              <w:t>技术任务书、合同要求及技术指标</w:t>
            </w:r>
          </w:p>
        </w:tc>
        <w:tc>
          <w:tcPr>
            <w:tcW w:w="7229" w:type="dxa"/>
            <w:noWrap/>
            <w:vAlign w:val="center"/>
          </w:tcPr>
          <w:p w14:paraId="61FB9F00">
            <w:pPr>
              <w:pStyle w:val="33"/>
            </w:pPr>
            <w:r>
              <w:t>对研究内容、三个模块功能、交付物和技术指标进行分解，明确各项要求的实现方式、验证方法及对应章节</w:t>
            </w:r>
          </w:p>
        </w:tc>
        <w:tc>
          <w:tcPr>
            <w:tcW w:w="3038" w:type="dxa"/>
            <w:noWrap/>
            <w:vAlign w:val="center"/>
          </w:tcPr>
          <w:p w14:paraId="0D0FB5B8">
            <w:pPr>
              <w:pStyle w:val="33"/>
            </w:pPr>
            <w:r>
              <w:t>项目任务分解结果、技术指标对比表及交付物清单</w:t>
            </w:r>
          </w:p>
        </w:tc>
      </w:tr>
      <w:tr w14:paraId="1064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589BC062">
            <w:pPr>
              <w:pStyle w:val="33"/>
            </w:pPr>
            <w:r>
              <w:t>方案设计</w:t>
            </w:r>
          </w:p>
        </w:tc>
        <w:tc>
          <w:tcPr>
            <w:tcW w:w="2410" w:type="dxa"/>
            <w:noWrap/>
            <w:vAlign w:val="center"/>
          </w:tcPr>
          <w:p w14:paraId="6A30471E">
            <w:pPr>
              <w:pStyle w:val="33"/>
            </w:pPr>
            <w:r>
              <w:t>总体技术路线、系统架构、模块划分及试验方案</w:t>
            </w:r>
          </w:p>
        </w:tc>
        <w:tc>
          <w:tcPr>
            <w:tcW w:w="7229" w:type="dxa"/>
            <w:noWrap/>
            <w:vAlign w:val="center"/>
          </w:tcPr>
          <w:p w14:paraId="592529BB">
            <w:pPr>
              <w:pStyle w:val="33"/>
            </w:pPr>
            <w:r>
              <w:t>对总体方案、模块接口、数据流程和验证方法进行审查；组织实施方案专家评审，并逐条处理评审意见</w:t>
            </w:r>
          </w:p>
        </w:tc>
        <w:tc>
          <w:tcPr>
            <w:tcW w:w="3038" w:type="dxa"/>
            <w:noWrap/>
            <w:vAlign w:val="center"/>
          </w:tcPr>
          <w:p w14:paraId="01BED0FD">
            <w:pPr>
              <w:pStyle w:val="33"/>
            </w:pPr>
            <w:r>
              <w:t>经评审的《实施方案》、实施方案评审意见及处理记录</w:t>
            </w:r>
          </w:p>
        </w:tc>
      </w:tr>
      <w:tr w14:paraId="097D5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7072A683">
            <w:pPr>
              <w:pStyle w:val="33"/>
            </w:pPr>
            <w:r>
              <w:t>理论与模型开发</w:t>
            </w:r>
          </w:p>
        </w:tc>
        <w:tc>
          <w:tcPr>
            <w:tcW w:w="2410" w:type="dxa"/>
            <w:noWrap/>
            <w:vAlign w:val="center"/>
          </w:tcPr>
          <w:p w14:paraId="796AEB85">
            <w:pPr>
              <w:pStyle w:val="33"/>
            </w:pPr>
            <w:r>
              <w:t>热—声—固耦合模型、温度场反演模型及人工智能模型</w:t>
            </w:r>
          </w:p>
        </w:tc>
        <w:tc>
          <w:tcPr>
            <w:tcW w:w="7229" w:type="dxa"/>
            <w:noWrap/>
            <w:vAlign w:val="center"/>
          </w:tcPr>
          <w:p w14:paraId="15DA37F1">
            <w:pPr>
              <w:pStyle w:val="33"/>
            </w:pPr>
            <w:r>
              <w:t>检查理论假设、控制方程、边界条件、材料参数和评价方法；采用标准算例、对比计算和不同算法互证等方式验证模型正确性</w:t>
            </w:r>
          </w:p>
        </w:tc>
        <w:tc>
          <w:tcPr>
            <w:tcW w:w="3038" w:type="dxa"/>
            <w:noWrap/>
            <w:vAlign w:val="center"/>
          </w:tcPr>
          <w:p w14:paraId="6FA0DE4E">
            <w:pPr>
              <w:pStyle w:val="33"/>
            </w:pPr>
            <w:r>
              <w:t>理论模型说明、标准算例、仿真结果及算法对比结果</w:t>
            </w:r>
          </w:p>
        </w:tc>
      </w:tr>
      <w:tr w14:paraId="28F8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290BD6D8">
            <w:pPr>
              <w:pStyle w:val="33"/>
            </w:pPr>
            <w:r>
              <w:t>程序开发</w:t>
            </w:r>
          </w:p>
        </w:tc>
        <w:tc>
          <w:tcPr>
            <w:tcW w:w="2410" w:type="dxa"/>
            <w:noWrap/>
            <w:vAlign w:val="center"/>
          </w:tcPr>
          <w:p w14:paraId="463DE0F4">
            <w:pPr>
              <w:pStyle w:val="33"/>
            </w:pPr>
            <w:r>
              <w:t>三个研究模块源代码、程序接口及配置文件</w:t>
            </w:r>
          </w:p>
        </w:tc>
        <w:tc>
          <w:tcPr>
            <w:tcW w:w="7229" w:type="dxa"/>
            <w:noWrap/>
            <w:vAlign w:val="center"/>
          </w:tcPr>
          <w:p w14:paraId="4EEBCB3A">
            <w:pPr>
              <w:pStyle w:val="33"/>
            </w:pPr>
            <w:r>
              <w:t>实行模块化开发和源代码版本管理；统一变量定义、物理量单位、坐标体系、输入输出格式和程序接口；对关键程序进行检查和测试</w:t>
            </w:r>
          </w:p>
        </w:tc>
        <w:tc>
          <w:tcPr>
            <w:tcW w:w="3038" w:type="dxa"/>
            <w:noWrap/>
            <w:vAlign w:val="center"/>
          </w:tcPr>
          <w:p w14:paraId="46E06110">
            <w:pPr>
              <w:pStyle w:val="33"/>
            </w:pPr>
            <w:r>
              <w:t>程序源代码、接口文件、配置文件、版本记录及运行日志</w:t>
            </w:r>
          </w:p>
        </w:tc>
      </w:tr>
      <w:tr w14:paraId="75E07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5F546A07">
            <w:pPr>
              <w:pStyle w:val="33"/>
            </w:pPr>
            <w:r>
              <w:t>仿真计算</w:t>
            </w:r>
          </w:p>
        </w:tc>
        <w:tc>
          <w:tcPr>
            <w:tcW w:w="2410" w:type="dxa"/>
            <w:noWrap/>
            <w:vAlign w:val="center"/>
          </w:tcPr>
          <w:p w14:paraId="447483CE">
            <w:pPr>
              <w:pStyle w:val="33"/>
            </w:pPr>
            <w:r>
              <w:t>模型参数、网格、边界条件及计算结果</w:t>
            </w:r>
          </w:p>
        </w:tc>
        <w:tc>
          <w:tcPr>
            <w:tcW w:w="7229" w:type="dxa"/>
            <w:noWrap/>
            <w:vAlign w:val="center"/>
          </w:tcPr>
          <w:p w14:paraId="44F159F1">
            <w:pPr>
              <w:pStyle w:val="33"/>
            </w:pPr>
            <w:r>
              <w:t>对输入参数和物理量单位进行检查；保存计算配置、中间结果和输出文件；通过重复计算及模块间结果对比检查计算结果的一致性</w:t>
            </w:r>
          </w:p>
        </w:tc>
        <w:tc>
          <w:tcPr>
            <w:tcW w:w="3038" w:type="dxa"/>
            <w:noWrap/>
            <w:vAlign w:val="center"/>
          </w:tcPr>
          <w:p w14:paraId="7A143FCC">
            <w:pPr>
              <w:pStyle w:val="33"/>
            </w:pPr>
            <w:r>
              <w:t>仿真配置文件、温度场数据、超声全波形数据及计算结果文件</w:t>
            </w:r>
          </w:p>
        </w:tc>
      </w:tr>
      <w:tr w14:paraId="40C3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4090DDE8">
            <w:pPr>
              <w:pStyle w:val="33"/>
            </w:pPr>
            <w:r>
              <w:t>试验测试</w:t>
            </w:r>
          </w:p>
        </w:tc>
        <w:tc>
          <w:tcPr>
            <w:tcW w:w="2410" w:type="dxa"/>
            <w:noWrap/>
            <w:vAlign w:val="center"/>
          </w:tcPr>
          <w:p w14:paraId="109DF74F">
            <w:pPr>
              <w:pStyle w:val="33"/>
            </w:pPr>
            <w:r>
              <w:t>试件、仪器设备、测点布置、试验过程及原始数据</w:t>
            </w:r>
          </w:p>
        </w:tc>
        <w:tc>
          <w:tcPr>
            <w:tcW w:w="7229" w:type="dxa"/>
            <w:noWrap/>
            <w:vAlign w:val="center"/>
          </w:tcPr>
          <w:p w14:paraId="17254601">
            <w:pPr>
              <w:pStyle w:val="33"/>
            </w:pPr>
            <w:r>
              <w:t>按照测试大纲开展试验；试验前检查设备状态、量程、线路连接和测点布置；保留原始超声波形、热电偶温度记录和试验条件信息</w:t>
            </w:r>
          </w:p>
        </w:tc>
        <w:tc>
          <w:tcPr>
            <w:tcW w:w="3038" w:type="dxa"/>
            <w:noWrap/>
            <w:vAlign w:val="center"/>
          </w:tcPr>
          <w:p w14:paraId="0BFB3F9A">
            <w:pPr>
              <w:pStyle w:val="33"/>
            </w:pPr>
            <w:r>
              <w:t>原始波形数据、温度测量数据、试验记录、设备参数及现场资料</w:t>
            </w:r>
          </w:p>
        </w:tc>
      </w:tr>
      <w:tr w14:paraId="45842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2C512FB6">
            <w:pPr>
              <w:pStyle w:val="33"/>
            </w:pPr>
            <w:r>
              <w:t>数据处理</w:t>
            </w:r>
          </w:p>
        </w:tc>
        <w:tc>
          <w:tcPr>
            <w:tcW w:w="2410" w:type="dxa"/>
            <w:noWrap/>
            <w:vAlign w:val="center"/>
          </w:tcPr>
          <w:p w14:paraId="41A0247F">
            <w:pPr>
              <w:pStyle w:val="33"/>
            </w:pPr>
            <w:r>
              <w:t>仿真数据、试验数据、声学特征和误差计算结果</w:t>
            </w:r>
          </w:p>
        </w:tc>
        <w:tc>
          <w:tcPr>
            <w:tcW w:w="7229" w:type="dxa"/>
            <w:noWrap/>
            <w:vAlign w:val="center"/>
          </w:tcPr>
          <w:p w14:paraId="37A4EBA3">
            <w:pPr>
              <w:pStyle w:val="33"/>
            </w:pPr>
            <w:r>
              <w:t>保留原始数据，不直接覆盖原始文件；统一数据单位、时间基准和命名规则；记录数据筛选、预处理、特征提取和误差计算过程</w:t>
            </w:r>
          </w:p>
        </w:tc>
        <w:tc>
          <w:tcPr>
            <w:tcW w:w="3038" w:type="dxa"/>
            <w:noWrap/>
            <w:vAlign w:val="center"/>
          </w:tcPr>
          <w:p w14:paraId="4CF09B57">
            <w:pPr>
              <w:pStyle w:val="33"/>
            </w:pPr>
            <w:r>
              <w:t>HDF5/CSV数据文件、处理结果、误差分析结果及数据说明</w:t>
            </w:r>
          </w:p>
        </w:tc>
      </w:tr>
      <w:tr w14:paraId="5133B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7A7C1D7F">
            <w:pPr>
              <w:pStyle w:val="33"/>
            </w:pPr>
            <w:r>
              <w:t>程序与指标测试</w:t>
            </w:r>
          </w:p>
        </w:tc>
        <w:tc>
          <w:tcPr>
            <w:tcW w:w="2410" w:type="dxa"/>
            <w:noWrap/>
            <w:vAlign w:val="center"/>
          </w:tcPr>
          <w:p w14:paraId="06849CE2">
            <w:pPr>
              <w:pStyle w:val="33"/>
            </w:pPr>
            <w:r>
              <w:t>程序功能、计算精度、运行效率和稳定性</w:t>
            </w:r>
          </w:p>
        </w:tc>
        <w:tc>
          <w:tcPr>
            <w:tcW w:w="7229" w:type="dxa"/>
            <w:noWrap/>
            <w:vAlign w:val="center"/>
          </w:tcPr>
          <w:p w14:paraId="28833470">
            <w:pPr>
              <w:pStyle w:val="33"/>
            </w:pPr>
            <w:r>
              <w:t>按照经评审的测试大纲实施功能测试、性能测试和技术指标验证；对测试结果进行复核并组织测试报告评审</w:t>
            </w:r>
          </w:p>
        </w:tc>
        <w:tc>
          <w:tcPr>
            <w:tcW w:w="3038" w:type="dxa"/>
            <w:noWrap/>
            <w:vAlign w:val="center"/>
          </w:tcPr>
          <w:p w14:paraId="4C7F7837">
            <w:pPr>
              <w:pStyle w:val="33"/>
            </w:pPr>
            <w:r>
              <w:t>经评审的《测试大纲》《测试报告》及评审意见处理记录</w:t>
            </w:r>
          </w:p>
        </w:tc>
      </w:tr>
      <w:tr w14:paraId="653C7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4776D6C1">
            <w:pPr>
              <w:pStyle w:val="33"/>
            </w:pPr>
            <w:r>
              <w:t>文件编制</w:t>
            </w:r>
          </w:p>
        </w:tc>
        <w:tc>
          <w:tcPr>
            <w:tcW w:w="2410" w:type="dxa"/>
            <w:noWrap/>
            <w:vAlign w:val="center"/>
          </w:tcPr>
          <w:p w14:paraId="35197D82">
            <w:pPr>
              <w:pStyle w:val="33"/>
            </w:pPr>
            <w:r>
              <w:t>技术报告、技术总结报告和其他交付文件</w:t>
            </w:r>
          </w:p>
        </w:tc>
        <w:tc>
          <w:tcPr>
            <w:tcW w:w="7229" w:type="dxa"/>
            <w:noWrap/>
            <w:vAlign w:val="center"/>
          </w:tcPr>
          <w:p w14:paraId="2DF0C470">
            <w:pPr>
              <w:pStyle w:val="33"/>
            </w:pPr>
            <w:r>
              <w:t>统一项目名称、模块名称、试件参数、技术指标、数据来源和图表编号；对不同文件之间的内容进行交叉核对</w:t>
            </w:r>
          </w:p>
        </w:tc>
        <w:tc>
          <w:tcPr>
            <w:tcW w:w="3038" w:type="dxa"/>
            <w:noWrap/>
            <w:vAlign w:val="center"/>
          </w:tcPr>
          <w:p w14:paraId="08ACB8DC">
            <w:pPr>
              <w:pStyle w:val="33"/>
            </w:pPr>
            <w:r>
              <w:t>技术报告、技术总结报告、使用说明、维护手册及相关交付文件</w:t>
            </w:r>
          </w:p>
        </w:tc>
      </w:tr>
      <w:tr w14:paraId="170B6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5CB7DB2A">
            <w:pPr>
              <w:pStyle w:val="33"/>
            </w:pPr>
            <w:r>
              <w:t>成果交付</w:t>
            </w:r>
          </w:p>
        </w:tc>
        <w:tc>
          <w:tcPr>
            <w:tcW w:w="2410" w:type="dxa"/>
            <w:noWrap/>
            <w:vAlign w:val="center"/>
          </w:tcPr>
          <w:p w14:paraId="145FD3F2">
            <w:pPr>
              <w:pStyle w:val="33"/>
            </w:pPr>
            <w:r>
              <w:t>程序代码、数据资料和文档资料</w:t>
            </w:r>
          </w:p>
        </w:tc>
        <w:tc>
          <w:tcPr>
            <w:tcW w:w="7229" w:type="dxa"/>
            <w:noWrap/>
            <w:vAlign w:val="center"/>
          </w:tcPr>
          <w:p w14:paraId="3B529DCA">
            <w:pPr>
              <w:pStyle w:val="33"/>
            </w:pPr>
            <w:r>
              <w:t>按照交付物清单逐项检查成果名称、数量、版本、内容和可读性，建立技术指标与测试结果、报告章节和支撑材料之间的索引关系</w:t>
            </w:r>
          </w:p>
        </w:tc>
        <w:tc>
          <w:tcPr>
            <w:tcW w:w="3038" w:type="dxa"/>
            <w:noWrap/>
            <w:vAlign w:val="center"/>
          </w:tcPr>
          <w:p w14:paraId="6B7C3508">
            <w:pPr>
              <w:pStyle w:val="33"/>
            </w:pPr>
            <w:r>
              <w:t>最终交付物清单、技术指标完成情况表及验收支撑材料</w:t>
            </w:r>
          </w:p>
        </w:tc>
      </w:tr>
    </w:tbl>
    <w:p w14:paraId="2C91F202">
      <w:pPr>
        <w:pStyle w:val="3"/>
      </w:pPr>
      <w:r>
        <w:rPr>
          <w:rFonts w:hint="eastAsia"/>
        </w:rPr>
        <w:t>项目实施过程中，对程序源代码、仿真模型、配置文件、试验数据和技术文档实行统一的命名及版本管理。各模块在提交阶段成果时，同时提交相应的输入条件、运行配置、输出结果和说明文件，保证计算与测试结果能够复现。三个研究模块采用统一的物理量单位、坐标体系、数据格式和评价方法，避免了模块之间因参数定义或数据格式不一致而产生的质量问题。</w:t>
      </w:r>
    </w:p>
    <w:p w14:paraId="75FDFF41">
      <w:pPr>
        <w:pStyle w:val="3"/>
      </w:pPr>
      <w:r>
        <w:rPr>
          <w:rFonts w:hint="eastAsia"/>
        </w:rPr>
        <w:t>试验数据管理遵循“原始数据保留、处理过程记录、计算结果可追溯”的原则。原始超声波形和热电偶温度数据单独保存，数据预处理、特征提取、温度场反演和误差计算均形成相应的中间文件和结果文件。对试件实际尺寸、热电偶测点坐标、探头位置及试验温度等关键参数进行了统一核对，保证仿真模型、试验数据和报告内容相互一致。</w:t>
      </w:r>
    </w:p>
    <w:p w14:paraId="2C365A39">
      <w:pPr>
        <w:pStyle w:val="3"/>
      </w:pPr>
      <w:r>
        <w:rPr>
          <w:rFonts w:hint="eastAsia"/>
        </w:rPr>
        <w:t>项目分别完成了实施方案、测试大纲和测试报告的专家评审。项目组对评审意见逐条分析，根据意见性质采取修改、补充说明、已有内容索引或保留原方案等处理方式，并保留相应的技术依据。通过评审意见闭环处理，进一步完善了技术方案、测试方法、数据分析和成果文件。</w:t>
      </w:r>
    </w:p>
    <w:p w14:paraId="3C300F0E">
      <w:pPr>
        <w:pStyle w:val="3"/>
      </w:pPr>
      <w:r>
        <w:rPr>
          <w:rFonts w:hint="eastAsia"/>
        </w:rPr>
        <w:t>经全过程质量控制，三个研究模块的理论模型、程序代码、仿真与试验数据、测试结果和技术文件形成了完整对应关系，程序功能和技术指标完成情况具备相应的测试数据及报告依据。项目实施过程中未发生影响最终成果交付的重大质量问题，项目成果质量满足技术任务书、合同及验收工作的要求。</w:t>
      </w:r>
    </w:p>
    <w:p w14:paraId="1ABE5777">
      <w:pPr>
        <w:pStyle w:val="33"/>
        <w:sectPr>
          <w:pgSz w:w="16838" w:h="11906" w:orient="landscape"/>
          <w:pgMar w:top="1701" w:right="1440" w:bottom="1701" w:left="1440" w:header="851" w:footer="992" w:gutter="0"/>
          <w:cols w:space="425" w:num="1"/>
          <w:docGrid w:type="lines" w:linePitch="326" w:charSpace="0"/>
        </w:sectPr>
      </w:pPr>
    </w:p>
    <w:p w14:paraId="132E3FBC">
      <w:pPr>
        <w:pStyle w:val="4"/>
      </w:pPr>
      <w:bookmarkStart w:id="129" w:name="_Toc235910475"/>
      <w:r>
        <w:rPr>
          <w:rFonts w:hint="eastAsia"/>
        </w:rPr>
        <w:t>进度管理</w:t>
      </w:r>
      <w:bookmarkEnd w:id="129"/>
    </w:p>
    <w:p w14:paraId="704FB80E">
      <w:pPr>
        <w:pStyle w:val="3"/>
      </w:pPr>
      <w:r>
        <w:rPr>
          <w:rFonts w:hint="eastAsia"/>
        </w:rPr>
        <w:t>本项目合同于2025年9月28日签订，合同研制周期为10个月。按照合同和技术任务书要求，项目应在合同签订之日起2个月内完成实施方案评审，在8个月内完成复合材料中的热声固耦合分析方法和声学多参数融合温度场反演方法的理论研究、程序开发及验证，在10个月内完成基于人工智能的温度场反演方法、程序测试、试验验证、数据分析、技术报告编制和成果交付，并配合甲方完成项目验收。</w:t>
      </w:r>
    </w:p>
    <w:p w14:paraId="3D54EA18">
      <w:pPr>
        <w:pStyle w:val="3"/>
      </w:pPr>
      <w:r>
        <w:rPr>
          <w:rFonts w:hint="eastAsia"/>
        </w:rPr>
        <w:t>项目实施过程中实行项目总负责人统一管理和模块任务分工负责制。宁芊负责项目总体进度协调，余涛负责第一模块，张伟钰、樊奕欣负责第二模块，葛龙负责算法比较与评价，熊武涛负责第三模块。项目组根据合同节点，将项目实施过程划分为方案设计、模块开发、综合测试和成果交付四个阶段，对各阶段的工作内容、输出成果和完成时间进行管理。</w:t>
      </w:r>
    </w:p>
    <w:p w14:paraId="7DA5820B">
      <w:pPr>
        <w:pStyle w:val="3"/>
      </w:pPr>
      <w:r>
        <w:t>2025年10月24日，制定了《“超声波全波形温度场重构理论及方法研究”实施方案》，并通过了专家评审；实施方案封面及专家评审意见如</w:t>
      </w:r>
      <w:r>
        <w:fldChar w:fldCharType="begin"/>
      </w:r>
      <w:r>
        <w:instrText xml:space="preserve"> REF _Ref201004759 \h  \* MERGEFORMAT </w:instrText>
      </w:r>
      <w:r>
        <w:fldChar w:fldCharType="separate"/>
      </w:r>
      <w:r>
        <w:t>图 3.59</w:t>
      </w:r>
      <w:r>
        <w:fldChar w:fldCharType="end"/>
      </w:r>
      <w:r>
        <w:t>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25035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517ACC57">
            <w:pPr>
              <w:pStyle w:val="33"/>
            </w:pPr>
            <w:r>
              <w:drawing>
                <wp:inline distT="0" distB="0" distL="114300" distR="114300">
                  <wp:extent cx="2010410" cy="2742565"/>
                  <wp:effectExtent l="0" t="0" r="8890" b="635"/>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72"/>
                          <a:stretch>
                            <a:fillRect/>
                          </a:stretch>
                        </pic:blipFill>
                        <pic:spPr>
                          <a:xfrm>
                            <a:off x="0" y="0"/>
                            <a:ext cx="2013827" cy="2746400"/>
                          </a:xfrm>
                          <a:prstGeom prst="rect">
                            <a:avLst/>
                          </a:prstGeom>
                          <a:noFill/>
                          <a:ln>
                            <a:noFill/>
                          </a:ln>
                        </pic:spPr>
                      </pic:pic>
                    </a:graphicData>
                  </a:graphic>
                </wp:inline>
              </w:drawing>
            </w:r>
          </w:p>
        </w:tc>
        <w:tc>
          <w:tcPr>
            <w:tcW w:w="4148" w:type="dxa"/>
          </w:tcPr>
          <w:p w14:paraId="6EFE189E">
            <w:pPr>
              <w:pStyle w:val="33"/>
            </w:pPr>
            <w:r>
              <w:drawing>
                <wp:inline distT="0" distB="0" distL="114300" distR="114300">
                  <wp:extent cx="2286000" cy="2780665"/>
                  <wp:effectExtent l="0" t="0" r="0" b="635"/>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73"/>
                          <a:stretch>
                            <a:fillRect/>
                          </a:stretch>
                        </pic:blipFill>
                        <pic:spPr>
                          <a:xfrm>
                            <a:off x="0" y="0"/>
                            <a:ext cx="2287574" cy="2782802"/>
                          </a:xfrm>
                          <a:prstGeom prst="rect">
                            <a:avLst/>
                          </a:prstGeom>
                          <a:noFill/>
                          <a:ln>
                            <a:noFill/>
                          </a:ln>
                        </pic:spPr>
                      </pic:pic>
                    </a:graphicData>
                  </a:graphic>
                </wp:inline>
              </w:drawing>
            </w:r>
          </w:p>
        </w:tc>
      </w:tr>
      <w:tr w14:paraId="56603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0D5242CC">
            <w:pPr>
              <w:pStyle w:val="33"/>
            </w:pPr>
            <w:r>
              <w:t>(a) 实施方案封面</w:t>
            </w:r>
          </w:p>
        </w:tc>
        <w:tc>
          <w:tcPr>
            <w:tcW w:w="4148" w:type="dxa"/>
          </w:tcPr>
          <w:p w14:paraId="27D94CB3">
            <w:pPr>
              <w:pStyle w:val="33"/>
            </w:pPr>
            <w:r>
              <w:t>(b) 实施方案专家评审意见</w:t>
            </w:r>
          </w:p>
        </w:tc>
      </w:tr>
    </w:tbl>
    <w:p w14:paraId="44659A83">
      <w:pPr>
        <w:pStyle w:val="33"/>
      </w:pPr>
      <w:bookmarkStart w:id="130" w:name="_Ref201004759"/>
      <w:r>
        <w:t xml:space="preserve">图 </w:t>
      </w:r>
      <w:r>
        <w:fldChar w:fldCharType="begin"/>
      </w:r>
      <w:r>
        <w:instrText xml:space="preserve"> STYLEREF 1 \s </w:instrText>
      </w:r>
      <w:r>
        <w:fldChar w:fldCharType="separate"/>
      </w:r>
      <w:r>
        <w:t>3</w:t>
      </w:r>
      <w:r>
        <w:fldChar w:fldCharType="end"/>
      </w:r>
      <w:r>
        <w:t>.</w:t>
      </w:r>
      <w:r>
        <w:fldChar w:fldCharType="begin"/>
      </w:r>
      <w:r>
        <w:instrText xml:space="preserve"> SEQ 图 \* ARABIC \s 1 </w:instrText>
      </w:r>
      <w:r>
        <w:fldChar w:fldCharType="separate"/>
      </w:r>
      <w:r>
        <w:t>59</w:t>
      </w:r>
      <w:r>
        <w:fldChar w:fldCharType="end"/>
      </w:r>
      <w:bookmarkEnd w:id="130"/>
      <w:r>
        <w:t>实施方案封面及专家评审意见</w:t>
      </w:r>
    </w:p>
    <w:p w14:paraId="08E57D05">
      <w:pPr>
        <w:pStyle w:val="3"/>
      </w:pPr>
      <w:r>
        <w:t>2026年6月5日，制定了《“超声波全波形温度场重构理论及方法研究”测试大纲》，并通过了专家评审；测试大纲封面及专家评审意见如</w:t>
      </w:r>
      <w:r>
        <w:fldChar w:fldCharType="begin"/>
      </w:r>
      <w:r>
        <w:instrText xml:space="preserve"> REF _Ref201004891 \h </w:instrText>
      </w:r>
      <w:r>
        <w:fldChar w:fldCharType="separate"/>
      </w:r>
      <w:r>
        <w:t>图 3.60</w:t>
      </w:r>
      <w:r>
        <w:fldChar w:fldCharType="end"/>
      </w:r>
      <w:r>
        <w:t>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3"/>
        <w:gridCol w:w="4153"/>
      </w:tblGrid>
      <w:tr w14:paraId="47D17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66F9CBBB">
            <w:pPr>
              <w:pStyle w:val="33"/>
            </w:pPr>
            <w:r>
              <w:drawing>
                <wp:inline distT="0" distB="0" distL="114300" distR="114300">
                  <wp:extent cx="2089785" cy="2785110"/>
                  <wp:effectExtent l="0" t="0" r="5715" b="5715"/>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74"/>
                          <a:stretch>
                            <a:fillRect/>
                          </a:stretch>
                        </pic:blipFill>
                        <pic:spPr>
                          <a:xfrm>
                            <a:off x="0" y="0"/>
                            <a:ext cx="2089785" cy="2785110"/>
                          </a:xfrm>
                          <a:prstGeom prst="rect">
                            <a:avLst/>
                          </a:prstGeom>
                          <a:noFill/>
                          <a:ln>
                            <a:noFill/>
                          </a:ln>
                        </pic:spPr>
                      </pic:pic>
                    </a:graphicData>
                  </a:graphic>
                </wp:inline>
              </w:drawing>
            </w:r>
          </w:p>
        </w:tc>
        <w:tc>
          <w:tcPr>
            <w:tcW w:w="4153" w:type="dxa"/>
          </w:tcPr>
          <w:p w14:paraId="1809B780">
            <w:pPr>
              <w:pStyle w:val="33"/>
            </w:pPr>
            <w:r>
              <w:drawing>
                <wp:inline distT="0" distB="0" distL="114300" distR="114300">
                  <wp:extent cx="2137410" cy="2595880"/>
                  <wp:effectExtent l="0" t="0" r="5715" b="4445"/>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pic:cNvPicPr>
                        </pic:nvPicPr>
                        <pic:blipFill>
                          <a:blip r:embed="rId75"/>
                          <a:stretch>
                            <a:fillRect/>
                          </a:stretch>
                        </pic:blipFill>
                        <pic:spPr>
                          <a:xfrm>
                            <a:off x="0" y="0"/>
                            <a:ext cx="2137410" cy="2595880"/>
                          </a:xfrm>
                          <a:prstGeom prst="rect">
                            <a:avLst/>
                          </a:prstGeom>
                          <a:noFill/>
                          <a:ln>
                            <a:noFill/>
                          </a:ln>
                        </pic:spPr>
                      </pic:pic>
                    </a:graphicData>
                  </a:graphic>
                </wp:inline>
              </w:drawing>
            </w:r>
          </w:p>
        </w:tc>
      </w:tr>
      <w:tr w14:paraId="76263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4A18E441">
            <w:pPr>
              <w:pStyle w:val="33"/>
            </w:pPr>
            <w:r>
              <w:t>(a) 测试大纲封面</w:t>
            </w:r>
          </w:p>
        </w:tc>
        <w:tc>
          <w:tcPr>
            <w:tcW w:w="4153" w:type="dxa"/>
          </w:tcPr>
          <w:p w14:paraId="37F96862">
            <w:pPr>
              <w:pStyle w:val="33"/>
            </w:pPr>
            <w:r>
              <w:t>(b) 测试大纲专家评审意见</w:t>
            </w:r>
          </w:p>
        </w:tc>
      </w:tr>
    </w:tbl>
    <w:p w14:paraId="33439970">
      <w:pPr>
        <w:pStyle w:val="33"/>
      </w:pPr>
      <w:bookmarkStart w:id="131" w:name="_Ref201004891"/>
      <w:r>
        <w:t xml:space="preserve">图 </w:t>
      </w:r>
      <w:r>
        <w:fldChar w:fldCharType="begin"/>
      </w:r>
      <w:r>
        <w:instrText xml:space="preserve"> STYLEREF 1 \s </w:instrText>
      </w:r>
      <w:r>
        <w:fldChar w:fldCharType="separate"/>
      </w:r>
      <w:r>
        <w:t>3</w:t>
      </w:r>
      <w:r>
        <w:fldChar w:fldCharType="end"/>
      </w:r>
      <w:r>
        <w:t>.</w:t>
      </w:r>
      <w:r>
        <w:fldChar w:fldCharType="begin"/>
      </w:r>
      <w:r>
        <w:instrText xml:space="preserve"> SEQ 图 \* ARABIC \s 1 </w:instrText>
      </w:r>
      <w:r>
        <w:fldChar w:fldCharType="separate"/>
      </w:r>
      <w:r>
        <w:t>60</w:t>
      </w:r>
      <w:r>
        <w:fldChar w:fldCharType="end"/>
      </w:r>
      <w:bookmarkEnd w:id="131"/>
      <w:r>
        <w:t>测试大纲封面及专家评审意见</w:t>
      </w:r>
    </w:p>
    <w:p w14:paraId="43621C8D">
      <w:pPr>
        <w:pStyle w:val="3"/>
      </w:pPr>
      <w:r>
        <w:t>2026年7月18日，完成了《“超声波全波形温度场重构理论及方法研究”测试报告》，并通过了专家评审；测试报告封面及专家评审意见如</w:t>
      </w:r>
      <w:r>
        <w:fldChar w:fldCharType="begin"/>
      </w:r>
      <w:r>
        <w:instrText xml:space="preserve"> REF _Ref235772258 \h </w:instrText>
      </w:r>
      <w:r>
        <w:fldChar w:fldCharType="separate"/>
      </w:r>
      <w:r>
        <w:t>图 3.61</w:t>
      </w:r>
      <w:r>
        <w:fldChar w:fldCharType="end"/>
      </w:r>
      <w:r>
        <w:t>所示。</w:t>
      </w:r>
    </w:p>
    <w:tbl>
      <w:tblPr>
        <w:tblStyle w:val="22"/>
        <w:tblW w:w="905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56"/>
        <w:gridCol w:w="4501"/>
      </w:tblGrid>
      <w:tr w14:paraId="576E0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25EE3646">
            <w:pPr>
              <w:pStyle w:val="33"/>
            </w:pPr>
            <w:r>
              <w:drawing>
                <wp:inline distT="0" distB="0" distL="114300" distR="114300">
                  <wp:extent cx="1993265" cy="2731135"/>
                  <wp:effectExtent l="0" t="0" r="6985" b="2540"/>
                  <wp:docPr id="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pic:cNvPicPr>
                            <a:picLocks noChangeAspect="1"/>
                          </pic:cNvPicPr>
                        </pic:nvPicPr>
                        <pic:blipFill>
                          <a:blip r:embed="rId76"/>
                          <a:stretch>
                            <a:fillRect/>
                          </a:stretch>
                        </pic:blipFill>
                        <pic:spPr>
                          <a:xfrm>
                            <a:off x="0" y="0"/>
                            <a:ext cx="1993265" cy="2731135"/>
                          </a:xfrm>
                          <a:prstGeom prst="rect">
                            <a:avLst/>
                          </a:prstGeom>
                          <a:noFill/>
                          <a:ln>
                            <a:noFill/>
                          </a:ln>
                        </pic:spPr>
                      </pic:pic>
                    </a:graphicData>
                  </a:graphic>
                </wp:inline>
              </w:drawing>
            </w:r>
          </w:p>
        </w:tc>
        <w:tc>
          <w:tcPr>
            <w:tcW w:w="4501" w:type="dxa"/>
          </w:tcPr>
          <w:p w14:paraId="3EA4E83B">
            <w:pPr>
              <w:pStyle w:val="33"/>
            </w:pPr>
            <w:r>
              <w:drawing>
                <wp:inline distT="0" distB="0" distL="114300" distR="114300">
                  <wp:extent cx="2211070" cy="2748915"/>
                  <wp:effectExtent l="0" t="0" r="8255" b="381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77"/>
                          <a:stretch>
                            <a:fillRect/>
                          </a:stretch>
                        </pic:blipFill>
                        <pic:spPr>
                          <a:xfrm>
                            <a:off x="0" y="0"/>
                            <a:ext cx="2211070" cy="2748915"/>
                          </a:xfrm>
                          <a:prstGeom prst="rect">
                            <a:avLst/>
                          </a:prstGeom>
                          <a:noFill/>
                          <a:ln>
                            <a:noFill/>
                          </a:ln>
                        </pic:spPr>
                      </pic:pic>
                    </a:graphicData>
                  </a:graphic>
                </wp:inline>
              </w:drawing>
            </w:r>
          </w:p>
        </w:tc>
      </w:tr>
      <w:tr w14:paraId="657CE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56" w:type="dxa"/>
          </w:tcPr>
          <w:p w14:paraId="320C1813">
            <w:pPr>
              <w:pStyle w:val="33"/>
            </w:pPr>
            <w:r>
              <w:t>(a) 测试报告封面</w:t>
            </w:r>
          </w:p>
        </w:tc>
        <w:tc>
          <w:tcPr>
            <w:tcW w:w="4501" w:type="dxa"/>
          </w:tcPr>
          <w:p w14:paraId="15046AAB">
            <w:pPr>
              <w:pStyle w:val="33"/>
            </w:pPr>
            <w:r>
              <w:t>(b) 测试报告专家评审意见</w:t>
            </w:r>
          </w:p>
        </w:tc>
      </w:tr>
    </w:tbl>
    <w:p w14:paraId="0496382B">
      <w:pPr>
        <w:pStyle w:val="33"/>
      </w:pPr>
      <w:bookmarkStart w:id="132" w:name="_Ref235772258"/>
      <w:r>
        <w:t xml:space="preserve">图 </w:t>
      </w:r>
      <w:r>
        <w:fldChar w:fldCharType="begin"/>
      </w:r>
      <w:r>
        <w:instrText xml:space="preserve"> STYLEREF 1 \s </w:instrText>
      </w:r>
      <w:r>
        <w:fldChar w:fldCharType="separate"/>
      </w:r>
      <w:r>
        <w:t>3</w:t>
      </w:r>
      <w:r>
        <w:fldChar w:fldCharType="end"/>
      </w:r>
      <w:r>
        <w:t>.</w:t>
      </w:r>
      <w:r>
        <w:fldChar w:fldCharType="begin"/>
      </w:r>
      <w:r>
        <w:instrText xml:space="preserve"> SEQ 图 \* ARABIC \s 1 </w:instrText>
      </w:r>
      <w:r>
        <w:fldChar w:fldCharType="separate"/>
      </w:r>
      <w:r>
        <w:t>61</w:t>
      </w:r>
      <w:r>
        <w:fldChar w:fldCharType="end"/>
      </w:r>
      <w:bookmarkEnd w:id="132"/>
      <w:r>
        <w:t>测试报告封面及专家评审意见</w:t>
      </w:r>
    </w:p>
    <w:p w14:paraId="11F5711D">
      <w:pPr>
        <w:pStyle w:val="3"/>
      </w:pPr>
      <w:r>
        <w:t>目前，四川大学项目团队已经为本项目最后的合同验收做好准备。所有交付物均按照要求进行到位。</w:t>
      </w:r>
    </w:p>
    <w:p w14:paraId="10010E73">
      <w:pPr>
        <w:pStyle w:val="4"/>
      </w:pPr>
      <w:bookmarkStart w:id="133" w:name="_Toc235910476"/>
      <w:r>
        <w:rPr>
          <w:rFonts w:hint="eastAsia"/>
        </w:rPr>
        <w:t>安全管理</w:t>
      </w:r>
      <w:bookmarkEnd w:id="133"/>
    </w:p>
    <w:p w14:paraId="13940C00">
      <w:pPr>
        <w:pStyle w:val="3"/>
      </w:pPr>
      <w:r>
        <w:rPr>
          <w:rFonts w:hint="eastAsia"/>
        </w:rPr>
        <w:t>本项目涉及高温加热、氧乙炔火焰、高压超声脉冲、电气仪器操作以及项目数据和技术资料管理。项目组依据国家有关安全生产、消防、职业健康和保密管理要求，结合四川大学实验室管理制度及合同保密条款，对试验人员、仪器设备、试验过程和项目资料实施分类管理。</w:t>
      </w:r>
    </w:p>
    <w:p w14:paraId="319D14A6">
      <w:pPr>
        <w:pStyle w:val="3"/>
      </w:pPr>
      <w:r>
        <w:rPr>
          <w:rFonts w:hint="eastAsia"/>
        </w:rPr>
        <w:t>项目总负责人统一负责项目安全管理，具体试验人员负责试验前检查、现场操作和试验结束后的设备复位。涉及恒温加热、氧乙炔加热、高压超声激励和高温试件接触的试验，由两人以上共同实施，未经培训的人员不得独立操作。项目主要安全风险及控制措施见</w:t>
      </w:r>
      <w:r>
        <w:fldChar w:fldCharType="begin"/>
      </w:r>
      <w:r>
        <w:instrText xml:space="preserve"> </w:instrText>
      </w:r>
      <w:r>
        <w:rPr>
          <w:rFonts w:hint="eastAsia"/>
        </w:rPr>
        <w:instrText xml:space="preserve">REF _Ref235772708 \h</w:instrText>
      </w:r>
      <w:r>
        <w:instrText xml:space="preserve"> </w:instrText>
      </w:r>
      <w:r>
        <w:fldChar w:fldCharType="separate"/>
      </w:r>
      <w:r>
        <w:rPr>
          <w:rFonts w:hint="eastAsia"/>
        </w:rPr>
        <w:t xml:space="preserve">表 </w:t>
      </w:r>
      <w:r>
        <w:t>3</w:t>
      </w:r>
      <w:r>
        <w:noBreakHyphen/>
      </w:r>
      <w:r>
        <w:t>42</w:t>
      </w:r>
      <w:r>
        <w:fldChar w:fldCharType="end"/>
      </w:r>
    </w:p>
    <w:p w14:paraId="722DE411">
      <w:pPr>
        <w:pStyle w:val="33"/>
      </w:pPr>
      <w:bookmarkStart w:id="134" w:name="_Ref2357727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42</w:t>
      </w:r>
      <w:r>
        <w:fldChar w:fldCharType="end"/>
      </w:r>
      <w:bookmarkEnd w:id="134"/>
      <w:r>
        <w:t>项目主要安全风险及控制措施</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552"/>
        <w:gridCol w:w="4671"/>
      </w:tblGrid>
      <w:tr w14:paraId="0229B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6593501E">
            <w:pPr>
              <w:pStyle w:val="33"/>
            </w:pPr>
            <w:r>
              <w:t>安全类别</w:t>
            </w:r>
          </w:p>
        </w:tc>
        <w:tc>
          <w:tcPr>
            <w:tcW w:w="2552" w:type="dxa"/>
            <w:noWrap/>
            <w:vAlign w:val="center"/>
          </w:tcPr>
          <w:p w14:paraId="5F75771F">
            <w:pPr>
              <w:pStyle w:val="33"/>
            </w:pPr>
            <w:r>
              <w:t>主要风险</w:t>
            </w:r>
          </w:p>
        </w:tc>
        <w:tc>
          <w:tcPr>
            <w:tcW w:w="4671" w:type="dxa"/>
            <w:noWrap/>
            <w:vAlign w:val="center"/>
          </w:tcPr>
          <w:p w14:paraId="3867D381">
            <w:pPr>
              <w:pStyle w:val="33"/>
            </w:pPr>
            <w:r>
              <w:t>采取的安全管理措施</w:t>
            </w:r>
          </w:p>
        </w:tc>
      </w:tr>
      <w:tr w14:paraId="3C97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164F163A">
            <w:pPr>
              <w:pStyle w:val="33"/>
            </w:pPr>
            <w:r>
              <w:t>高温试验安全</w:t>
            </w:r>
          </w:p>
        </w:tc>
        <w:tc>
          <w:tcPr>
            <w:tcW w:w="2552" w:type="dxa"/>
            <w:noWrap/>
            <w:vAlign w:val="center"/>
          </w:tcPr>
          <w:p w14:paraId="731462D8">
            <w:pPr>
              <w:pStyle w:val="33"/>
            </w:pPr>
            <w:r>
              <w:t>加热台、火焰、试件和夹具温度较高，可能造成人员烫伤或周围物品受热损坏</w:t>
            </w:r>
          </w:p>
        </w:tc>
        <w:tc>
          <w:tcPr>
            <w:tcW w:w="4671" w:type="dxa"/>
            <w:noWrap/>
            <w:vAlign w:val="center"/>
          </w:tcPr>
          <w:p w14:paraId="7020FD04">
            <w:pPr>
              <w:pStyle w:val="33"/>
            </w:pPr>
            <w:r>
              <w:t>划定高温试验区域并设置警示标识；使用耐高温手套、防护眼镜和专用夹具；试件冷却至安全温度后再进行拆卸；试验区域禁止放置易燃物品</w:t>
            </w:r>
          </w:p>
        </w:tc>
      </w:tr>
      <w:tr w14:paraId="0480C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1799A587">
            <w:pPr>
              <w:pStyle w:val="33"/>
            </w:pPr>
            <w:r>
              <w:t>氧乙炔加热安全</w:t>
            </w:r>
          </w:p>
        </w:tc>
        <w:tc>
          <w:tcPr>
            <w:tcW w:w="2552" w:type="dxa"/>
            <w:noWrap/>
            <w:vAlign w:val="center"/>
          </w:tcPr>
          <w:p w14:paraId="7C6FEC7A">
            <w:pPr>
              <w:pStyle w:val="33"/>
            </w:pPr>
            <w:r>
              <w:t>气体泄漏、回火、火焰灼伤及火灾风险</w:t>
            </w:r>
          </w:p>
        </w:tc>
        <w:tc>
          <w:tcPr>
            <w:tcW w:w="4671" w:type="dxa"/>
            <w:noWrap/>
            <w:vAlign w:val="center"/>
          </w:tcPr>
          <w:p w14:paraId="6CD00C9D">
            <w:pPr>
              <w:pStyle w:val="33"/>
            </w:pPr>
            <w:r>
              <w:t>试验前检查氧气瓶、乙炔瓶、减压阀、软管及连接处；配置回火防止器；保持试验区域通风；按照规定顺序点火和关闭气源；现场配置灭火器材并安排专人监护</w:t>
            </w:r>
          </w:p>
        </w:tc>
      </w:tr>
      <w:tr w14:paraId="0B67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5C309438">
            <w:pPr>
              <w:pStyle w:val="33"/>
            </w:pPr>
            <w:r>
              <w:t>电气安全</w:t>
            </w:r>
          </w:p>
        </w:tc>
        <w:tc>
          <w:tcPr>
            <w:tcW w:w="2552" w:type="dxa"/>
            <w:noWrap/>
            <w:vAlign w:val="center"/>
          </w:tcPr>
          <w:p w14:paraId="4EB321E0">
            <w:pPr>
              <w:pStyle w:val="33"/>
            </w:pPr>
            <w:r>
              <w:t>示波器、温度测试仪、计算机及加热设备可能存在漏电、短路和过载风险</w:t>
            </w:r>
          </w:p>
        </w:tc>
        <w:tc>
          <w:tcPr>
            <w:tcW w:w="4671" w:type="dxa"/>
            <w:noWrap/>
            <w:vAlign w:val="center"/>
          </w:tcPr>
          <w:p w14:paraId="4927800A">
            <w:pPr>
              <w:pStyle w:val="33"/>
            </w:pPr>
            <w:r>
              <w:t>使用符合要求的电源和接地线路；试验前检查电源线、插头及设备外壳；禁止带电插拔内部线路；设备异常时立即断电检查；试验结束后关闭设备总电源</w:t>
            </w:r>
          </w:p>
        </w:tc>
      </w:tr>
      <w:tr w14:paraId="42C8F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2D36844A">
            <w:pPr>
              <w:pStyle w:val="33"/>
            </w:pPr>
            <w:r>
              <w:t>超声高压脉冲安全</w:t>
            </w:r>
          </w:p>
        </w:tc>
        <w:tc>
          <w:tcPr>
            <w:tcW w:w="2552" w:type="dxa"/>
            <w:noWrap/>
            <w:vAlign w:val="center"/>
          </w:tcPr>
          <w:p w14:paraId="1F7DDD28">
            <w:pPr>
              <w:pStyle w:val="33"/>
            </w:pPr>
            <w:r>
              <w:t>DPR300超声波脉冲收发一体机输出高压脉冲，可能造成人员触电或损坏示波器输入端</w:t>
            </w:r>
          </w:p>
        </w:tc>
        <w:tc>
          <w:tcPr>
            <w:tcW w:w="4671" w:type="dxa"/>
            <w:noWrap/>
            <w:vAlign w:val="center"/>
          </w:tcPr>
          <w:p w14:paraId="3A9A0BF1">
            <w:pPr>
              <w:pStyle w:val="33"/>
            </w:pPr>
            <w:r>
              <w:t>使用绝缘良好的同轴电缆和接头；超声探头及线路连接完成后再开启仪器；调整线路或更换探头前关闭超声收发仪器；接收输出端与示波器按照规定接口连接，禁止将高压激励端直接接入示波器普通输入端</w:t>
            </w:r>
          </w:p>
        </w:tc>
      </w:tr>
      <w:tr w14:paraId="39E1D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31B296BC">
            <w:pPr>
              <w:pStyle w:val="33"/>
            </w:pPr>
            <w:r>
              <w:t>仪器设备安全</w:t>
            </w:r>
          </w:p>
        </w:tc>
        <w:tc>
          <w:tcPr>
            <w:tcW w:w="2552" w:type="dxa"/>
            <w:noWrap/>
            <w:vAlign w:val="center"/>
          </w:tcPr>
          <w:p w14:paraId="2B4D8077">
            <w:pPr>
              <w:pStyle w:val="33"/>
            </w:pPr>
            <w:r>
              <w:t>接线错误、量程设置不当或设备间连接不匹配可能造成仪器损坏</w:t>
            </w:r>
          </w:p>
        </w:tc>
        <w:tc>
          <w:tcPr>
            <w:tcW w:w="4671" w:type="dxa"/>
            <w:noWrap/>
            <w:vAlign w:val="center"/>
          </w:tcPr>
          <w:p w14:paraId="57462AB9">
            <w:pPr>
              <w:pStyle w:val="33"/>
            </w:pPr>
            <w:r>
              <w:t>试验前核对仪器接口、输入范围、采样设置和触发方式；按照设备说明书进行连接和操作；关键设备由固定人员操作；发现异常波形、异味或温升时立即停止试验</w:t>
            </w:r>
          </w:p>
        </w:tc>
      </w:tr>
      <w:tr w14:paraId="5CF79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2929CE5A">
            <w:pPr>
              <w:pStyle w:val="33"/>
            </w:pPr>
            <w:r>
              <w:t>热电偶测量安全</w:t>
            </w:r>
          </w:p>
        </w:tc>
        <w:tc>
          <w:tcPr>
            <w:tcW w:w="2552" w:type="dxa"/>
            <w:noWrap/>
            <w:vAlign w:val="center"/>
          </w:tcPr>
          <w:p w14:paraId="43DE0B31">
            <w:pPr>
              <w:pStyle w:val="33"/>
            </w:pPr>
            <w:r>
              <w:t>装甲热电偶安装、拆卸及高温状态下引线移动可能造成人员伤害或测点损坏</w:t>
            </w:r>
          </w:p>
        </w:tc>
        <w:tc>
          <w:tcPr>
            <w:tcW w:w="4671" w:type="dxa"/>
            <w:noWrap/>
            <w:vAlign w:val="center"/>
          </w:tcPr>
          <w:p w14:paraId="38602EFE">
            <w:pPr>
              <w:pStyle w:val="33"/>
            </w:pPr>
            <w:r>
              <w:t>在加热前完成热电偶安装和线路检查；试验过程中不移动高温热电偶；待试件冷却后再拆卸；对热电偶引线进行固定，防止拉扯和短路</w:t>
            </w:r>
          </w:p>
        </w:tc>
      </w:tr>
      <w:tr w14:paraId="2CCFA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2192B80C">
            <w:pPr>
              <w:pStyle w:val="33"/>
            </w:pPr>
            <w:r>
              <w:t>试件及夹具安全</w:t>
            </w:r>
          </w:p>
        </w:tc>
        <w:tc>
          <w:tcPr>
            <w:tcW w:w="2552" w:type="dxa"/>
            <w:noWrap/>
            <w:vAlign w:val="center"/>
          </w:tcPr>
          <w:p w14:paraId="14AB6A58">
            <w:pPr>
              <w:pStyle w:val="33"/>
            </w:pPr>
            <w:r>
              <w:t>高温试件变形、粘接层开裂或夹持不稳可能造成试件移动、脱落</w:t>
            </w:r>
          </w:p>
        </w:tc>
        <w:tc>
          <w:tcPr>
            <w:tcW w:w="4671" w:type="dxa"/>
            <w:noWrap/>
            <w:vAlign w:val="center"/>
          </w:tcPr>
          <w:p w14:paraId="0F1B7E79">
            <w:pPr>
              <w:pStyle w:val="33"/>
            </w:pPr>
            <w:r>
              <w:t>加热前检查试件、粘接层和夹具状态；保证试件放置稳定；采用专用夹具移动试件；试验过程中保持人员与试件及火焰作用区域的安全距离</w:t>
            </w:r>
          </w:p>
        </w:tc>
      </w:tr>
      <w:tr w14:paraId="531FE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362884DD">
            <w:pPr>
              <w:pStyle w:val="33"/>
            </w:pPr>
            <w:r>
              <w:t>计算机与数据安全</w:t>
            </w:r>
          </w:p>
        </w:tc>
        <w:tc>
          <w:tcPr>
            <w:tcW w:w="2552" w:type="dxa"/>
            <w:noWrap/>
            <w:vAlign w:val="center"/>
          </w:tcPr>
          <w:p w14:paraId="4B7DEA8D">
            <w:pPr>
              <w:pStyle w:val="33"/>
            </w:pPr>
            <w:r>
              <w:t>程序异常、存储设备故障或误操作可能造成源代码及试验数据丢失</w:t>
            </w:r>
          </w:p>
        </w:tc>
        <w:tc>
          <w:tcPr>
            <w:tcW w:w="4671" w:type="dxa"/>
            <w:noWrap/>
            <w:vAlign w:val="center"/>
          </w:tcPr>
          <w:p w14:paraId="389BFC03">
            <w:pPr>
              <w:pStyle w:val="33"/>
            </w:pPr>
            <w:r>
              <w:t>对源代码、仿真数据和试验数据实施分类存储和定期备份；原始数据设置为只读或单独保存；数据处理在副本上进行；重要版本保留版本号、修改记录和运行日志</w:t>
            </w:r>
          </w:p>
        </w:tc>
      </w:tr>
      <w:tr w14:paraId="6EE55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093943F9">
            <w:pPr>
              <w:pStyle w:val="33"/>
            </w:pPr>
            <w:r>
              <w:t>项目资料保密</w:t>
            </w:r>
          </w:p>
        </w:tc>
        <w:tc>
          <w:tcPr>
            <w:tcW w:w="2552" w:type="dxa"/>
            <w:noWrap/>
            <w:vAlign w:val="center"/>
          </w:tcPr>
          <w:p w14:paraId="74F14A12">
            <w:pPr>
              <w:pStyle w:val="33"/>
            </w:pPr>
            <w:r>
              <w:t>未经授权复制、传输或公开项目资料可能造成信息泄露</w:t>
            </w:r>
          </w:p>
        </w:tc>
        <w:tc>
          <w:tcPr>
            <w:tcW w:w="4671" w:type="dxa"/>
            <w:noWrap/>
            <w:vAlign w:val="center"/>
          </w:tcPr>
          <w:p w14:paraId="67B39198">
            <w:pPr>
              <w:pStyle w:val="33"/>
            </w:pPr>
            <w:r>
              <w:t>项目资料按照合同保密要求限定使用范围；源代码、数据和技术文件由项目组统一管理；未经甲方同意，不对外发表、公开或向第三方提供项目成果；涉及项目资料的移动存储和文件传输实行授权管理</w:t>
            </w:r>
          </w:p>
        </w:tc>
      </w:tr>
      <w:tr w14:paraId="3CD8E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noWrap/>
            <w:vAlign w:val="center"/>
          </w:tcPr>
          <w:p w14:paraId="6EDC1C84">
            <w:pPr>
              <w:pStyle w:val="33"/>
            </w:pPr>
            <w:r>
              <w:t>人员与现场管理</w:t>
            </w:r>
          </w:p>
        </w:tc>
        <w:tc>
          <w:tcPr>
            <w:tcW w:w="2552" w:type="dxa"/>
            <w:noWrap/>
            <w:vAlign w:val="center"/>
          </w:tcPr>
          <w:p w14:paraId="0D3ED4B0">
            <w:pPr>
              <w:pStyle w:val="33"/>
            </w:pPr>
            <w:r>
              <w:t>无关人员进入试验区域或试验过程缺少现场监护可能增加安全风险</w:t>
            </w:r>
          </w:p>
        </w:tc>
        <w:tc>
          <w:tcPr>
            <w:tcW w:w="4671" w:type="dxa"/>
            <w:noWrap/>
            <w:vAlign w:val="center"/>
          </w:tcPr>
          <w:p w14:paraId="3E722A98">
            <w:pPr>
              <w:pStyle w:val="33"/>
            </w:pPr>
            <w:r>
              <w:t>试验区域限制无关人员进入；高温和氧乙炔试验实行双人操作和现场监护；试验前明确人员分工和应急处置方法；试验结束后检查气源、电源、火源和设备状态</w:t>
            </w:r>
          </w:p>
        </w:tc>
      </w:tr>
    </w:tbl>
    <w:p w14:paraId="6932151C">
      <w:pPr>
        <w:pStyle w:val="3"/>
      </w:pPr>
      <w:r>
        <w:rPr>
          <w:rFonts w:hint="eastAsia"/>
        </w:rPr>
        <w:t>项目组在每次试验前对试验装置、仪器连接、气路、电源、测点布置和防护用品进行检查，确认试验条件满足要求后开展试验。试验过程中由指定人员负责氧乙炔加热、温度监测、超声信号采集和现场监护，避免多人同时调整设备造成误操作。试验结束后，按照先关闭火源和气源、再关闭仪器电源、最后整理试验现场的顺序完成安全检查。</w:t>
      </w:r>
    </w:p>
    <w:p w14:paraId="4160B494">
      <w:pPr>
        <w:pStyle w:val="3"/>
      </w:pPr>
      <w:r>
        <w:rPr>
          <w:rFonts w:hint="eastAsia"/>
        </w:rPr>
        <w:t>项目数据和技术资料按照“统一管理、授权使用、分类存储、定期备份”的原则进行管理。原始试验数据、程序源代码、技术文档和对外提交资料分别保存，未经项目总负责人和甲方授权，不向项目组以外的单位或个人提供。项目形成的论文、专利、软件著作权、新闻报道和成果申报等材料涉及项目信息时，按照合同要求报甲方审查同意后使用。</w:t>
      </w:r>
    </w:p>
    <w:p w14:paraId="35FC70B3">
      <w:pPr>
        <w:pStyle w:val="3"/>
      </w:pPr>
      <w:r>
        <w:rPr>
          <w:rFonts w:hint="eastAsia"/>
        </w:rPr>
        <w:t>项目实施期间，高温试验、氧乙炔加热、电气仪器操作和数据资料管理均按照规定执行，未发生人员伤害、设备损坏、火灾、燃气泄漏、重大数据丢失及失泄密事件，安全管理满足项目实施和成果交付要求。</w:t>
      </w:r>
    </w:p>
    <w:p w14:paraId="307C6230">
      <w:pPr>
        <w:pStyle w:val="4"/>
      </w:pPr>
      <w:bookmarkStart w:id="135" w:name="_Toc235910477"/>
      <w:r>
        <w:rPr>
          <w:rFonts w:hint="eastAsia"/>
        </w:rPr>
        <w:t>资料</w:t>
      </w:r>
      <w:bookmarkEnd w:id="135"/>
    </w:p>
    <w:p w14:paraId="2ECF9924">
      <w:pPr>
        <w:pStyle w:val="3"/>
      </w:pPr>
      <w:r>
        <w:rPr>
          <w:rFonts w:hint="eastAsia"/>
        </w:rPr>
        <w:t>本项目按照技术任务书、合同及项目验收要求，对项目实施过程中形成的程序代码、仿真数据、试验数据、技术文件、评审资料和测试记录进行了统一整理和归档。</w:t>
      </w:r>
    </w:p>
    <w:p w14:paraId="6D32BB6A">
      <w:pPr>
        <w:pStyle w:val="3"/>
      </w:pPr>
      <w:r>
        <w:rPr>
          <w:rFonts w:hint="eastAsia"/>
        </w:rPr>
        <w:t>本节主要说明项目资料的形成、管理和归档情况；正式交付成果的类别和数量以2.1节交付物清单为准。项目资料整理情况见</w:t>
      </w:r>
      <w:r>
        <w:fldChar w:fldCharType="begin"/>
      </w:r>
      <w:r>
        <w:instrText xml:space="preserve"> </w:instrText>
      </w:r>
      <w:r>
        <w:rPr>
          <w:rFonts w:hint="eastAsia"/>
        </w:rPr>
        <w:instrText xml:space="preserve">REF _Ref235772992 \h</w:instrText>
      </w:r>
      <w:r>
        <w:instrText xml:space="preserve"> </w:instrText>
      </w:r>
      <w:r>
        <w:fldChar w:fldCharType="separate"/>
      </w:r>
      <w:r>
        <w:rPr>
          <w:rFonts w:hint="eastAsia"/>
        </w:rPr>
        <w:t xml:space="preserve">表 </w:t>
      </w:r>
      <w:r>
        <w:t>3</w:t>
      </w:r>
      <w:r>
        <w:noBreakHyphen/>
      </w:r>
      <w:r>
        <w:t>43</w:t>
      </w:r>
      <w:r>
        <w:fldChar w:fldCharType="end"/>
      </w:r>
    </w:p>
    <w:p w14:paraId="4E4CBA55">
      <w:pPr>
        <w:pStyle w:val="33"/>
      </w:pPr>
      <w:bookmarkStart w:id="136" w:name="_Ref23577299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43</w:t>
      </w:r>
      <w:r>
        <w:fldChar w:fldCharType="end"/>
      </w:r>
      <w:bookmarkEnd w:id="136"/>
      <w:r>
        <w:rPr>
          <w:rFonts w:hint="eastAsia"/>
        </w:rPr>
        <w:t xml:space="preserve"> </w:t>
      </w:r>
      <w:r>
        <w:t>项目资料整理及归档情况</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1"/>
        <w:gridCol w:w="738"/>
        <w:gridCol w:w="1801"/>
        <w:gridCol w:w="609"/>
        <w:gridCol w:w="3402"/>
        <w:gridCol w:w="1553"/>
      </w:tblGrid>
      <w:tr w14:paraId="0930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noWrap/>
            <w:vAlign w:val="center"/>
          </w:tcPr>
          <w:p w14:paraId="70952D36">
            <w:pPr>
              <w:pStyle w:val="33"/>
            </w:pPr>
            <w:r>
              <w:t>序号</w:t>
            </w:r>
          </w:p>
        </w:tc>
        <w:tc>
          <w:tcPr>
            <w:tcW w:w="738" w:type="dxa"/>
            <w:noWrap/>
            <w:vAlign w:val="center"/>
          </w:tcPr>
          <w:p w14:paraId="25F464C2">
            <w:pPr>
              <w:pStyle w:val="33"/>
            </w:pPr>
            <w:r>
              <w:t>资料类别</w:t>
            </w:r>
          </w:p>
        </w:tc>
        <w:tc>
          <w:tcPr>
            <w:tcW w:w="1801" w:type="dxa"/>
            <w:noWrap/>
            <w:vAlign w:val="center"/>
          </w:tcPr>
          <w:p w14:paraId="2BCA2EEF">
            <w:pPr>
              <w:pStyle w:val="33"/>
            </w:pPr>
            <w:r>
              <w:t>资料名称</w:t>
            </w:r>
          </w:p>
        </w:tc>
        <w:tc>
          <w:tcPr>
            <w:tcW w:w="609" w:type="dxa"/>
            <w:noWrap/>
            <w:vAlign w:val="center"/>
          </w:tcPr>
          <w:p w14:paraId="0677531B">
            <w:pPr>
              <w:pStyle w:val="33"/>
            </w:pPr>
            <w:r>
              <w:t>数量</w:t>
            </w:r>
          </w:p>
        </w:tc>
        <w:tc>
          <w:tcPr>
            <w:tcW w:w="3402" w:type="dxa"/>
            <w:noWrap/>
            <w:vAlign w:val="center"/>
          </w:tcPr>
          <w:p w14:paraId="2ABBE2D7">
            <w:pPr>
              <w:pStyle w:val="33"/>
            </w:pPr>
            <w:r>
              <w:t>主要内容</w:t>
            </w:r>
          </w:p>
        </w:tc>
        <w:tc>
          <w:tcPr>
            <w:tcW w:w="1553" w:type="dxa"/>
            <w:noWrap/>
            <w:vAlign w:val="center"/>
          </w:tcPr>
          <w:p w14:paraId="04FA1625">
            <w:pPr>
              <w:pStyle w:val="33"/>
            </w:pPr>
            <w:r>
              <w:t>整理及归档情况</w:t>
            </w:r>
          </w:p>
        </w:tc>
      </w:tr>
      <w:tr w14:paraId="7643C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noWrap/>
            <w:vAlign w:val="center"/>
          </w:tcPr>
          <w:p w14:paraId="1A3659B4">
            <w:pPr>
              <w:pStyle w:val="33"/>
            </w:pPr>
            <w:r>
              <w:t>1</w:t>
            </w:r>
          </w:p>
        </w:tc>
        <w:tc>
          <w:tcPr>
            <w:tcW w:w="738" w:type="dxa"/>
            <w:noWrap/>
            <w:vAlign w:val="center"/>
          </w:tcPr>
          <w:p w14:paraId="321BFC53">
            <w:pPr>
              <w:pStyle w:val="33"/>
            </w:pPr>
            <w:r>
              <w:t>项目依据文件</w:t>
            </w:r>
          </w:p>
        </w:tc>
        <w:tc>
          <w:tcPr>
            <w:tcW w:w="1801" w:type="dxa"/>
            <w:noWrap/>
            <w:vAlign w:val="center"/>
          </w:tcPr>
          <w:p w14:paraId="76ABBCE3">
            <w:pPr>
              <w:pStyle w:val="33"/>
            </w:pPr>
            <w:r>
              <w:t>合同、技术任务书及招投标文件</w:t>
            </w:r>
          </w:p>
        </w:tc>
        <w:tc>
          <w:tcPr>
            <w:tcW w:w="609" w:type="dxa"/>
            <w:noWrap/>
            <w:vAlign w:val="center"/>
          </w:tcPr>
          <w:p w14:paraId="357A4E45">
            <w:pPr>
              <w:pStyle w:val="33"/>
            </w:pPr>
            <w:r>
              <w:t>1套</w:t>
            </w:r>
          </w:p>
        </w:tc>
        <w:tc>
          <w:tcPr>
            <w:tcW w:w="3402" w:type="dxa"/>
            <w:noWrap/>
            <w:vAlign w:val="center"/>
          </w:tcPr>
          <w:p w14:paraId="30198602">
            <w:pPr>
              <w:pStyle w:val="33"/>
            </w:pPr>
            <w:r>
              <w:t>项目研究内容、技术指标、进度要求、双方职责、交付物和验收要求</w:t>
            </w:r>
          </w:p>
        </w:tc>
        <w:tc>
          <w:tcPr>
            <w:tcW w:w="1553" w:type="dxa"/>
            <w:noWrap/>
            <w:vAlign w:val="center"/>
          </w:tcPr>
          <w:p w14:paraId="5E36C581">
            <w:pPr>
              <w:pStyle w:val="33"/>
            </w:pPr>
            <w:r>
              <w:t>已整理归档</w:t>
            </w:r>
          </w:p>
        </w:tc>
      </w:tr>
      <w:tr w14:paraId="4CF1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noWrap/>
            <w:vAlign w:val="center"/>
          </w:tcPr>
          <w:p w14:paraId="21B65BB3">
            <w:pPr>
              <w:pStyle w:val="33"/>
            </w:pPr>
            <w:r>
              <w:t>2</w:t>
            </w:r>
          </w:p>
        </w:tc>
        <w:tc>
          <w:tcPr>
            <w:tcW w:w="738" w:type="dxa"/>
            <w:noWrap/>
            <w:vAlign w:val="center"/>
          </w:tcPr>
          <w:p w14:paraId="6BE8B1AC">
            <w:pPr>
              <w:pStyle w:val="33"/>
            </w:pPr>
            <w:r>
              <w:t>程序代码</w:t>
            </w:r>
          </w:p>
        </w:tc>
        <w:tc>
          <w:tcPr>
            <w:tcW w:w="1801" w:type="dxa"/>
            <w:noWrap/>
            <w:vAlign w:val="center"/>
          </w:tcPr>
          <w:p w14:paraId="58F516E8">
            <w:pPr>
              <w:pStyle w:val="33"/>
            </w:pPr>
            <w:r>
              <w:t>三个研究模块的完整程序代码及技术文档</w:t>
            </w:r>
          </w:p>
        </w:tc>
        <w:tc>
          <w:tcPr>
            <w:tcW w:w="609" w:type="dxa"/>
            <w:noWrap/>
            <w:vAlign w:val="center"/>
          </w:tcPr>
          <w:p w14:paraId="4D7CB333">
            <w:pPr>
              <w:pStyle w:val="33"/>
            </w:pPr>
            <w:r>
              <w:t>3套</w:t>
            </w:r>
          </w:p>
        </w:tc>
        <w:tc>
          <w:tcPr>
            <w:tcW w:w="3402" w:type="dxa"/>
            <w:noWrap/>
            <w:vAlign w:val="center"/>
          </w:tcPr>
          <w:p w14:paraId="43F37B1A">
            <w:pPr>
              <w:pStyle w:val="33"/>
            </w:pPr>
            <w:r>
              <w:t>复合材料中的热声固耦合分析程序、声学多参数融合温度场反演程序、基于人工智能的温度场反演程序</w:t>
            </w:r>
          </w:p>
        </w:tc>
        <w:tc>
          <w:tcPr>
            <w:tcW w:w="1553" w:type="dxa"/>
            <w:noWrap/>
            <w:vAlign w:val="center"/>
          </w:tcPr>
          <w:p w14:paraId="6EC66A89">
            <w:pPr>
              <w:pStyle w:val="33"/>
            </w:pPr>
            <w:r>
              <w:t>已整理归档</w:t>
            </w:r>
          </w:p>
        </w:tc>
      </w:tr>
      <w:tr w14:paraId="7F646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noWrap/>
            <w:vAlign w:val="center"/>
          </w:tcPr>
          <w:p w14:paraId="7AC35AA7">
            <w:pPr>
              <w:pStyle w:val="33"/>
            </w:pPr>
            <w:r>
              <w:t>3</w:t>
            </w:r>
          </w:p>
        </w:tc>
        <w:tc>
          <w:tcPr>
            <w:tcW w:w="738" w:type="dxa"/>
            <w:noWrap/>
            <w:vAlign w:val="center"/>
          </w:tcPr>
          <w:p w14:paraId="3379C0E4">
            <w:pPr>
              <w:pStyle w:val="33"/>
            </w:pPr>
            <w:r>
              <w:t>数据资料</w:t>
            </w:r>
          </w:p>
        </w:tc>
        <w:tc>
          <w:tcPr>
            <w:tcW w:w="1801" w:type="dxa"/>
            <w:noWrap/>
            <w:vAlign w:val="center"/>
          </w:tcPr>
          <w:p w14:paraId="60E9A6FE">
            <w:pPr>
              <w:pStyle w:val="33"/>
            </w:pPr>
            <w:r>
              <w:t>程序测试数据</w:t>
            </w:r>
          </w:p>
        </w:tc>
        <w:tc>
          <w:tcPr>
            <w:tcW w:w="609" w:type="dxa"/>
            <w:noWrap/>
            <w:vAlign w:val="center"/>
          </w:tcPr>
          <w:p w14:paraId="7EB85901">
            <w:pPr>
              <w:pStyle w:val="33"/>
            </w:pPr>
            <w:r>
              <w:t>1套</w:t>
            </w:r>
          </w:p>
        </w:tc>
        <w:tc>
          <w:tcPr>
            <w:tcW w:w="3402" w:type="dxa"/>
            <w:noWrap/>
            <w:vAlign w:val="center"/>
          </w:tcPr>
          <w:p w14:paraId="013B6970">
            <w:pPr>
              <w:pStyle w:val="33"/>
            </w:pPr>
            <w:r>
              <w:t>标准算例、仿真输入与输出数据、程序运行结果、算法比较数据及误差分析结果</w:t>
            </w:r>
          </w:p>
        </w:tc>
        <w:tc>
          <w:tcPr>
            <w:tcW w:w="1553" w:type="dxa"/>
            <w:noWrap/>
            <w:vAlign w:val="center"/>
          </w:tcPr>
          <w:p w14:paraId="5F489AB8">
            <w:pPr>
              <w:pStyle w:val="33"/>
            </w:pPr>
            <w:r>
              <w:t>已整理归档</w:t>
            </w:r>
          </w:p>
        </w:tc>
      </w:tr>
      <w:tr w14:paraId="0EC59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noWrap/>
            <w:vAlign w:val="center"/>
          </w:tcPr>
          <w:p w14:paraId="498591B8">
            <w:pPr>
              <w:pStyle w:val="33"/>
            </w:pPr>
            <w:r>
              <w:t>4</w:t>
            </w:r>
          </w:p>
        </w:tc>
        <w:tc>
          <w:tcPr>
            <w:tcW w:w="738" w:type="dxa"/>
            <w:noWrap/>
            <w:vAlign w:val="center"/>
          </w:tcPr>
          <w:p w14:paraId="24340C33">
            <w:pPr>
              <w:pStyle w:val="33"/>
            </w:pPr>
            <w:r>
              <w:t>数据资料</w:t>
            </w:r>
          </w:p>
        </w:tc>
        <w:tc>
          <w:tcPr>
            <w:tcW w:w="1801" w:type="dxa"/>
            <w:noWrap/>
            <w:vAlign w:val="center"/>
          </w:tcPr>
          <w:p w14:paraId="7BC4B785">
            <w:pPr>
              <w:pStyle w:val="33"/>
            </w:pPr>
            <w:r>
              <w:t>试验测试数据</w:t>
            </w:r>
          </w:p>
        </w:tc>
        <w:tc>
          <w:tcPr>
            <w:tcW w:w="609" w:type="dxa"/>
            <w:noWrap/>
            <w:vAlign w:val="center"/>
          </w:tcPr>
          <w:p w14:paraId="44C175F5">
            <w:pPr>
              <w:pStyle w:val="33"/>
            </w:pPr>
            <w:r>
              <w:t>1套</w:t>
            </w:r>
          </w:p>
        </w:tc>
        <w:tc>
          <w:tcPr>
            <w:tcW w:w="3402" w:type="dxa"/>
            <w:noWrap/>
            <w:vAlign w:val="center"/>
          </w:tcPr>
          <w:p w14:paraId="4CD70F98">
            <w:pPr>
              <w:pStyle w:val="33"/>
            </w:pPr>
            <w:r>
              <w:t>超声原始波形、热电偶温度数据、试验条件、测点信息、数据处理结果及误差分析结果</w:t>
            </w:r>
          </w:p>
        </w:tc>
        <w:tc>
          <w:tcPr>
            <w:tcW w:w="1553" w:type="dxa"/>
            <w:noWrap/>
            <w:vAlign w:val="center"/>
          </w:tcPr>
          <w:p w14:paraId="717E2105">
            <w:pPr>
              <w:pStyle w:val="33"/>
            </w:pPr>
            <w:r>
              <w:t>已整理归档</w:t>
            </w:r>
          </w:p>
        </w:tc>
      </w:tr>
      <w:tr w14:paraId="6B55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noWrap/>
            <w:vAlign w:val="center"/>
          </w:tcPr>
          <w:p w14:paraId="4E67EECF">
            <w:pPr>
              <w:pStyle w:val="33"/>
            </w:pPr>
            <w:r>
              <w:t>5</w:t>
            </w:r>
          </w:p>
        </w:tc>
        <w:tc>
          <w:tcPr>
            <w:tcW w:w="738" w:type="dxa"/>
            <w:noWrap/>
            <w:vAlign w:val="center"/>
          </w:tcPr>
          <w:p w14:paraId="04416AD9">
            <w:pPr>
              <w:pStyle w:val="33"/>
            </w:pPr>
            <w:r>
              <w:t>方案文件</w:t>
            </w:r>
          </w:p>
        </w:tc>
        <w:tc>
          <w:tcPr>
            <w:tcW w:w="1801" w:type="dxa"/>
            <w:noWrap/>
            <w:vAlign w:val="center"/>
          </w:tcPr>
          <w:p w14:paraId="5CACACAB">
            <w:pPr>
              <w:pStyle w:val="33"/>
            </w:pPr>
            <w:r>
              <w:t>实施方案</w:t>
            </w:r>
          </w:p>
        </w:tc>
        <w:tc>
          <w:tcPr>
            <w:tcW w:w="609" w:type="dxa"/>
            <w:noWrap/>
            <w:vAlign w:val="center"/>
          </w:tcPr>
          <w:p w14:paraId="676911E8">
            <w:pPr>
              <w:pStyle w:val="33"/>
            </w:pPr>
            <w:r>
              <w:t>1套</w:t>
            </w:r>
          </w:p>
        </w:tc>
        <w:tc>
          <w:tcPr>
            <w:tcW w:w="3402" w:type="dxa"/>
            <w:noWrap/>
            <w:vAlign w:val="center"/>
          </w:tcPr>
          <w:p w14:paraId="44E0DFCD">
            <w:pPr>
              <w:pStyle w:val="33"/>
            </w:pPr>
            <w:r>
              <w:t>项目总体技术路线、模块划分、关键技术、实施计划、资源配置及质量保证措施，附专家评审意见</w:t>
            </w:r>
          </w:p>
        </w:tc>
        <w:tc>
          <w:tcPr>
            <w:tcW w:w="1553" w:type="dxa"/>
            <w:noWrap/>
            <w:vAlign w:val="center"/>
          </w:tcPr>
          <w:p w14:paraId="01F6923E">
            <w:pPr>
              <w:pStyle w:val="33"/>
            </w:pPr>
            <w:r>
              <w:t>已完成评审并归档</w:t>
            </w:r>
          </w:p>
        </w:tc>
      </w:tr>
      <w:tr w14:paraId="0511D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noWrap/>
            <w:vAlign w:val="center"/>
          </w:tcPr>
          <w:p w14:paraId="3A14E32C">
            <w:pPr>
              <w:pStyle w:val="33"/>
            </w:pPr>
            <w:r>
              <w:t>6</w:t>
            </w:r>
          </w:p>
        </w:tc>
        <w:tc>
          <w:tcPr>
            <w:tcW w:w="738" w:type="dxa"/>
            <w:noWrap/>
            <w:vAlign w:val="center"/>
          </w:tcPr>
          <w:p w14:paraId="4E5BE4ED">
            <w:pPr>
              <w:pStyle w:val="33"/>
            </w:pPr>
            <w:r>
              <w:t>测试文件</w:t>
            </w:r>
          </w:p>
        </w:tc>
        <w:tc>
          <w:tcPr>
            <w:tcW w:w="1801" w:type="dxa"/>
            <w:noWrap/>
            <w:vAlign w:val="center"/>
          </w:tcPr>
          <w:p w14:paraId="366A3F0D">
            <w:pPr>
              <w:pStyle w:val="33"/>
            </w:pPr>
            <w:r>
              <w:t>测试大纲</w:t>
            </w:r>
          </w:p>
        </w:tc>
        <w:tc>
          <w:tcPr>
            <w:tcW w:w="609" w:type="dxa"/>
            <w:noWrap/>
            <w:vAlign w:val="center"/>
          </w:tcPr>
          <w:p w14:paraId="25019F3B">
            <w:pPr>
              <w:pStyle w:val="33"/>
            </w:pPr>
            <w:r>
              <w:t>1套</w:t>
            </w:r>
          </w:p>
        </w:tc>
        <w:tc>
          <w:tcPr>
            <w:tcW w:w="3402" w:type="dxa"/>
            <w:noWrap/>
            <w:vAlign w:val="center"/>
          </w:tcPr>
          <w:p w14:paraId="4A46552D">
            <w:pPr>
              <w:pStyle w:val="33"/>
            </w:pPr>
            <w:r>
              <w:t>三个研究模块的测试条件、测试项目、测试方法、评价指标和结果判定方法，附专家评审意见</w:t>
            </w:r>
          </w:p>
        </w:tc>
        <w:tc>
          <w:tcPr>
            <w:tcW w:w="1553" w:type="dxa"/>
            <w:noWrap/>
            <w:vAlign w:val="center"/>
          </w:tcPr>
          <w:p w14:paraId="073E88C7">
            <w:pPr>
              <w:pStyle w:val="33"/>
            </w:pPr>
            <w:r>
              <w:t>已完成评审并归档</w:t>
            </w:r>
          </w:p>
        </w:tc>
      </w:tr>
      <w:tr w14:paraId="6FC03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noWrap/>
            <w:vAlign w:val="center"/>
          </w:tcPr>
          <w:p w14:paraId="19602CD2">
            <w:pPr>
              <w:pStyle w:val="33"/>
            </w:pPr>
            <w:r>
              <w:t>7</w:t>
            </w:r>
          </w:p>
        </w:tc>
        <w:tc>
          <w:tcPr>
            <w:tcW w:w="738" w:type="dxa"/>
            <w:noWrap/>
            <w:vAlign w:val="center"/>
          </w:tcPr>
          <w:p w14:paraId="19A443B7">
            <w:pPr>
              <w:pStyle w:val="33"/>
            </w:pPr>
            <w:r>
              <w:t>测试文件</w:t>
            </w:r>
          </w:p>
        </w:tc>
        <w:tc>
          <w:tcPr>
            <w:tcW w:w="1801" w:type="dxa"/>
            <w:noWrap/>
            <w:vAlign w:val="center"/>
          </w:tcPr>
          <w:p w14:paraId="4DC68BA3">
            <w:pPr>
              <w:pStyle w:val="33"/>
            </w:pPr>
            <w:r>
              <w:t>测试报告</w:t>
            </w:r>
          </w:p>
        </w:tc>
        <w:tc>
          <w:tcPr>
            <w:tcW w:w="609" w:type="dxa"/>
            <w:noWrap/>
            <w:vAlign w:val="center"/>
          </w:tcPr>
          <w:p w14:paraId="54E7C2FB">
            <w:pPr>
              <w:pStyle w:val="33"/>
            </w:pPr>
            <w:r>
              <w:t>1套</w:t>
            </w:r>
          </w:p>
        </w:tc>
        <w:tc>
          <w:tcPr>
            <w:tcW w:w="3402" w:type="dxa"/>
            <w:noWrap/>
            <w:vAlign w:val="center"/>
          </w:tcPr>
          <w:p w14:paraId="5A2FFE0F">
            <w:pPr>
              <w:pStyle w:val="33"/>
            </w:pPr>
            <w:r>
              <w:t>三个研究模块的测试环境、测试过程、测试数据、误差分析、技术指标判定和测试结论，附专家评审意见</w:t>
            </w:r>
          </w:p>
        </w:tc>
        <w:tc>
          <w:tcPr>
            <w:tcW w:w="1553" w:type="dxa"/>
            <w:noWrap/>
            <w:vAlign w:val="center"/>
          </w:tcPr>
          <w:p w14:paraId="7E326E58">
            <w:pPr>
              <w:pStyle w:val="33"/>
            </w:pPr>
            <w:r>
              <w:t>已完成评审并归档</w:t>
            </w:r>
          </w:p>
        </w:tc>
      </w:tr>
      <w:tr w14:paraId="47449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noWrap/>
            <w:vAlign w:val="center"/>
          </w:tcPr>
          <w:p w14:paraId="3B3A2413">
            <w:pPr>
              <w:pStyle w:val="33"/>
            </w:pPr>
            <w:r>
              <w:t>8</w:t>
            </w:r>
          </w:p>
        </w:tc>
        <w:tc>
          <w:tcPr>
            <w:tcW w:w="738" w:type="dxa"/>
            <w:noWrap/>
            <w:vAlign w:val="center"/>
          </w:tcPr>
          <w:p w14:paraId="4086C0BF">
            <w:pPr>
              <w:pStyle w:val="33"/>
            </w:pPr>
            <w:r>
              <w:t>技术文件</w:t>
            </w:r>
          </w:p>
        </w:tc>
        <w:tc>
          <w:tcPr>
            <w:tcW w:w="1801" w:type="dxa"/>
            <w:noWrap/>
            <w:vAlign w:val="center"/>
          </w:tcPr>
          <w:p w14:paraId="0C9D430B">
            <w:pPr>
              <w:pStyle w:val="33"/>
            </w:pPr>
            <w:r>
              <w:t>技术报告</w:t>
            </w:r>
          </w:p>
        </w:tc>
        <w:tc>
          <w:tcPr>
            <w:tcW w:w="609" w:type="dxa"/>
            <w:noWrap/>
            <w:vAlign w:val="center"/>
          </w:tcPr>
          <w:p w14:paraId="0821C6CE">
            <w:pPr>
              <w:pStyle w:val="33"/>
            </w:pPr>
            <w:r>
              <w:t>1套</w:t>
            </w:r>
          </w:p>
        </w:tc>
        <w:tc>
          <w:tcPr>
            <w:tcW w:w="3402" w:type="dxa"/>
            <w:noWrap/>
            <w:vAlign w:val="center"/>
          </w:tcPr>
          <w:p w14:paraId="12D47D18">
            <w:pPr>
              <w:pStyle w:val="33"/>
            </w:pPr>
            <w:r>
              <w:t>项目总体方案、三个研究模块的理论方法、关键技术及其攻关、程序实现、仿真与试验结果</w:t>
            </w:r>
          </w:p>
        </w:tc>
        <w:tc>
          <w:tcPr>
            <w:tcW w:w="1553" w:type="dxa"/>
            <w:noWrap/>
            <w:vAlign w:val="center"/>
          </w:tcPr>
          <w:p w14:paraId="7CCFB44B">
            <w:pPr>
              <w:pStyle w:val="33"/>
            </w:pPr>
            <w:r>
              <w:t>已整理归档</w:t>
            </w:r>
          </w:p>
        </w:tc>
      </w:tr>
      <w:tr w14:paraId="0BC1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noWrap/>
            <w:vAlign w:val="center"/>
          </w:tcPr>
          <w:p w14:paraId="2CB0C498">
            <w:pPr>
              <w:pStyle w:val="33"/>
            </w:pPr>
            <w:r>
              <w:t>9</w:t>
            </w:r>
          </w:p>
        </w:tc>
        <w:tc>
          <w:tcPr>
            <w:tcW w:w="738" w:type="dxa"/>
            <w:noWrap/>
            <w:vAlign w:val="center"/>
          </w:tcPr>
          <w:p w14:paraId="1472D2E3">
            <w:pPr>
              <w:pStyle w:val="33"/>
            </w:pPr>
            <w:r>
              <w:t>技术文件</w:t>
            </w:r>
          </w:p>
        </w:tc>
        <w:tc>
          <w:tcPr>
            <w:tcW w:w="1801" w:type="dxa"/>
            <w:noWrap/>
            <w:vAlign w:val="center"/>
          </w:tcPr>
          <w:p w14:paraId="141115E0">
            <w:pPr>
              <w:pStyle w:val="33"/>
            </w:pPr>
            <w:r>
              <w:t>技术总结报告</w:t>
            </w:r>
          </w:p>
        </w:tc>
        <w:tc>
          <w:tcPr>
            <w:tcW w:w="609" w:type="dxa"/>
            <w:noWrap/>
            <w:vAlign w:val="center"/>
          </w:tcPr>
          <w:p w14:paraId="6E80E9D2">
            <w:pPr>
              <w:pStyle w:val="33"/>
            </w:pPr>
            <w:r>
              <w:t>1套</w:t>
            </w:r>
          </w:p>
        </w:tc>
        <w:tc>
          <w:tcPr>
            <w:tcW w:w="3402" w:type="dxa"/>
            <w:noWrap/>
            <w:vAlign w:val="center"/>
          </w:tcPr>
          <w:p w14:paraId="62970703">
            <w:pPr>
              <w:pStyle w:val="33"/>
            </w:pPr>
            <w:r>
              <w:t>项目概况、实施情况、过程管理、关键技术攻关、技术指标完成情况、成果及经验总结</w:t>
            </w:r>
          </w:p>
        </w:tc>
        <w:tc>
          <w:tcPr>
            <w:tcW w:w="1553" w:type="dxa"/>
            <w:noWrap/>
            <w:vAlign w:val="center"/>
          </w:tcPr>
          <w:p w14:paraId="56F4E351">
            <w:pPr>
              <w:pStyle w:val="33"/>
            </w:pPr>
            <w:r>
              <w:t>已整理归档</w:t>
            </w:r>
          </w:p>
        </w:tc>
      </w:tr>
      <w:tr w14:paraId="0F1DD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noWrap/>
            <w:vAlign w:val="center"/>
          </w:tcPr>
          <w:p w14:paraId="19DDAC20">
            <w:pPr>
              <w:pStyle w:val="33"/>
            </w:pPr>
            <w:r>
              <w:t>10</w:t>
            </w:r>
          </w:p>
        </w:tc>
        <w:tc>
          <w:tcPr>
            <w:tcW w:w="738" w:type="dxa"/>
            <w:noWrap/>
            <w:vAlign w:val="center"/>
          </w:tcPr>
          <w:p w14:paraId="68210211">
            <w:pPr>
              <w:pStyle w:val="33"/>
            </w:pPr>
            <w:r>
              <w:t>使用维护文件</w:t>
            </w:r>
          </w:p>
        </w:tc>
        <w:tc>
          <w:tcPr>
            <w:tcW w:w="1801" w:type="dxa"/>
            <w:noWrap/>
            <w:vAlign w:val="center"/>
          </w:tcPr>
          <w:p w14:paraId="55593A17">
            <w:pPr>
              <w:pStyle w:val="33"/>
            </w:pPr>
            <w:r>
              <w:t>操作手册及帮助文档</w:t>
            </w:r>
          </w:p>
        </w:tc>
        <w:tc>
          <w:tcPr>
            <w:tcW w:w="609" w:type="dxa"/>
            <w:noWrap/>
            <w:vAlign w:val="center"/>
          </w:tcPr>
          <w:p w14:paraId="5B165E1E">
            <w:pPr>
              <w:pStyle w:val="33"/>
            </w:pPr>
            <w:r>
              <w:t>1套</w:t>
            </w:r>
          </w:p>
        </w:tc>
        <w:tc>
          <w:tcPr>
            <w:tcW w:w="3402" w:type="dxa"/>
            <w:noWrap/>
            <w:vAlign w:val="center"/>
          </w:tcPr>
          <w:p w14:paraId="042595F8">
            <w:pPr>
              <w:pStyle w:val="33"/>
            </w:pPr>
            <w:r>
              <w:t>程序安装、环境配置、参数设置、运行操作、结果查看、常见问题和处理方法</w:t>
            </w:r>
          </w:p>
        </w:tc>
        <w:tc>
          <w:tcPr>
            <w:tcW w:w="1553" w:type="dxa"/>
            <w:noWrap/>
            <w:vAlign w:val="center"/>
          </w:tcPr>
          <w:p w14:paraId="30F7023E">
            <w:pPr>
              <w:pStyle w:val="33"/>
            </w:pPr>
            <w:r>
              <w:t>已整理归档</w:t>
            </w:r>
          </w:p>
        </w:tc>
      </w:tr>
      <w:tr w14:paraId="78B60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noWrap/>
            <w:vAlign w:val="center"/>
          </w:tcPr>
          <w:p w14:paraId="061C7C27">
            <w:pPr>
              <w:pStyle w:val="33"/>
            </w:pPr>
            <w:r>
              <w:t>11</w:t>
            </w:r>
          </w:p>
        </w:tc>
        <w:tc>
          <w:tcPr>
            <w:tcW w:w="738" w:type="dxa"/>
            <w:noWrap/>
            <w:vAlign w:val="center"/>
          </w:tcPr>
          <w:p w14:paraId="0DD39E64">
            <w:pPr>
              <w:pStyle w:val="33"/>
            </w:pPr>
            <w:r>
              <w:t>过程记录</w:t>
            </w:r>
          </w:p>
        </w:tc>
        <w:tc>
          <w:tcPr>
            <w:tcW w:w="1801" w:type="dxa"/>
            <w:noWrap/>
            <w:vAlign w:val="center"/>
          </w:tcPr>
          <w:p w14:paraId="0A701AFA">
            <w:pPr>
              <w:pStyle w:val="33"/>
            </w:pPr>
            <w:r>
              <w:t>程序测试与现场调试记录</w:t>
            </w:r>
          </w:p>
        </w:tc>
        <w:tc>
          <w:tcPr>
            <w:tcW w:w="609" w:type="dxa"/>
            <w:noWrap/>
            <w:vAlign w:val="center"/>
          </w:tcPr>
          <w:p w14:paraId="09C7A897">
            <w:pPr>
              <w:pStyle w:val="33"/>
            </w:pPr>
            <w:r>
              <w:t>1套</w:t>
            </w:r>
          </w:p>
        </w:tc>
        <w:tc>
          <w:tcPr>
            <w:tcW w:w="3402" w:type="dxa"/>
            <w:noWrap/>
            <w:vAlign w:val="center"/>
          </w:tcPr>
          <w:p w14:paraId="4B9B4C12">
            <w:pPr>
              <w:pStyle w:val="33"/>
            </w:pPr>
            <w:r>
              <w:t>程序安装、功能检查、测试过程、数据演示、发现的问题及解决情况</w:t>
            </w:r>
          </w:p>
        </w:tc>
        <w:tc>
          <w:tcPr>
            <w:tcW w:w="1553" w:type="dxa"/>
            <w:noWrap/>
            <w:vAlign w:val="center"/>
          </w:tcPr>
          <w:p w14:paraId="1FC2369E">
            <w:pPr>
              <w:pStyle w:val="33"/>
            </w:pPr>
            <w:r>
              <w:t>已整理归档</w:t>
            </w:r>
          </w:p>
        </w:tc>
      </w:tr>
      <w:tr w14:paraId="577D6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noWrap/>
            <w:vAlign w:val="center"/>
          </w:tcPr>
          <w:p w14:paraId="7AB77542">
            <w:pPr>
              <w:pStyle w:val="33"/>
            </w:pPr>
            <w:r>
              <w:t>12</w:t>
            </w:r>
          </w:p>
        </w:tc>
        <w:tc>
          <w:tcPr>
            <w:tcW w:w="738" w:type="dxa"/>
            <w:noWrap/>
            <w:vAlign w:val="center"/>
          </w:tcPr>
          <w:p w14:paraId="6B1A5418">
            <w:pPr>
              <w:pStyle w:val="33"/>
            </w:pPr>
            <w:r>
              <w:t>评审资料</w:t>
            </w:r>
          </w:p>
        </w:tc>
        <w:tc>
          <w:tcPr>
            <w:tcW w:w="1801" w:type="dxa"/>
            <w:noWrap/>
            <w:vAlign w:val="center"/>
          </w:tcPr>
          <w:p w14:paraId="6C1904F1">
            <w:pPr>
              <w:pStyle w:val="33"/>
            </w:pPr>
            <w:r>
              <w:t>评审意见及处理记录</w:t>
            </w:r>
          </w:p>
        </w:tc>
        <w:tc>
          <w:tcPr>
            <w:tcW w:w="609" w:type="dxa"/>
            <w:noWrap/>
            <w:vAlign w:val="center"/>
          </w:tcPr>
          <w:p w14:paraId="16DF84DE">
            <w:pPr>
              <w:pStyle w:val="33"/>
            </w:pPr>
            <w:r>
              <w:t>3套</w:t>
            </w:r>
          </w:p>
        </w:tc>
        <w:tc>
          <w:tcPr>
            <w:tcW w:w="3402" w:type="dxa"/>
            <w:noWrap/>
            <w:vAlign w:val="center"/>
          </w:tcPr>
          <w:p w14:paraId="17F9011B">
            <w:pPr>
              <w:pStyle w:val="33"/>
            </w:pPr>
            <w:r>
              <w:t>实施方案、测试大纲和测试报告的专家评审意见、修改说明及意见处理结果</w:t>
            </w:r>
          </w:p>
        </w:tc>
        <w:tc>
          <w:tcPr>
            <w:tcW w:w="1553" w:type="dxa"/>
            <w:noWrap/>
            <w:vAlign w:val="center"/>
          </w:tcPr>
          <w:p w14:paraId="46AC3516">
            <w:pPr>
              <w:pStyle w:val="33"/>
            </w:pPr>
            <w:r>
              <w:t>已整理归档</w:t>
            </w:r>
          </w:p>
        </w:tc>
      </w:tr>
    </w:tbl>
    <w:p w14:paraId="005A9101">
      <w:pPr>
        <w:pStyle w:val="3"/>
      </w:pPr>
      <w:r>
        <w:rPr>
          <w:rFonts w:hint="eastAsia"/>
        </w:rPr>
        <w:t>项目资料采用统一的文件命名和版本管理方式。文件名称包含项目名称、资料类型、版本号或形成日期，正式版本与工作过程版本分别保存。程序源代码按照三个研究模块分类管理，配置文件、接口文件、运行日志和程序说明与相应代码一并归档，保证程序运行环境和计算过程能够复现。</w:t>
      </w:r>
    </w:p>
    <w:p w14:paraId="2D798425">
      <w:pPr>
        <w:pStyle w:val="3"/>
      </w:pPr>
      <w:r>
        <w:rPr>
          <w:rFonts w:hint="eastAsia"/>
        </w:rPr>
        <w:t>仿真与试验数据按照“原始数据、中间数据、处理结果和分析结果”分类保存。原始超声波形、热电偶温度记录及程序原始输出数据单独保存，不直接覆盖或修改；数据清洗、格式转换、特征提取和误差计算均在副本上完成，并保留相应处理过程和结果文件。数据文件统一采用HDF5、CSV及通用图像格式，便于后续查询、复核和使用。</w:t>
      </w:r>
    </w:p>
    <w:p w14:paraId="29CF3C70">
      <w:pPr>
        <w:pStyle w:val="3"/>
      </w:pPr>
      <w:r>
        <w:rPr>
          <w:rFonts w:hint="eastAsia"/>
        </w:rPr>
        <w:t>实施方案、测试大纲和测试报告均将正式文本、专家评审意见及意见处理结果一并归档。不同技术文件中的项目名称、模块名称、试件尺寸、技术指标、数据来源和测试结论进行了统一核对，技术指标完成情况与程序测试数据、试验测试数据和报告章节之间建立了对应关系。</w:t>
      </w:r>
    </w:p>
    <w:p w14:paraId="0E4E5102">
      <w:pPr>
        <w:pStyle w:val="3"/>
      </w:pPr>
      <w:r>
        <w:rPr>
          <w:rFonts w:hint="eastAsia"/>
        </w:rPr>
        <w:t>项目形成的程序代码、数据资料、技术文件和过程记录均已按照交付物清单完成整理，资料内容完整、版本明确、相互对应，满足项目成果交付、技术复核和验收归档要求。</w:t>
      </w:r>
    </w:p>
    <w:p w14:paraId="6D8675AB">
      <w:pPr>
        <w:pStyle w:val="4"/>
      </w:pPr>
      <w:bookmarkStart w:id="137" w:name="_Toc235910478"/>
      <w:r>
        <w:rPr>
          <w:rFonts w:hint="eastAsia"/>
        </w:rPr>
        <w:t>经费</w:t>
      </w:r>
      <w:bookmarkEnd w:id="137"/>
    </w:p>
    <w:p w14:paraId="5A5D06F3">
      <w:pPr>
        <w:pStyle w:val="3"/>
      </w:pPr>
      <w:r>
        <w:rPr>
          <w:rFonts w:hint="eastAsia"/>
        </w:rPr>
        <w:t>本项目合同含税总价为人民币伍拾壹万伍仟元整（¥515,000.00），其中不含税金额为人民币伍拾万元整（¥500,000.00），税费为人民币壹万伍仟元整（¥15,000.00），开票税率为3%，税金计取方式为一般计税方法。项目合同金额在实施过程中未发生调整。项目经费支付节点及金额见</w:t>
      </w:r>
      <w:r>
        <w:fldChar w:fldCharType="begin"/>
      </w:r>
      <w:r>
        <w:instrText xml:space="preserve"> </w:instrText>
      </w:r>
      <w:r>
        <w:rPr>
          <w:rFonts w:hint="eastAsia"/>
        </w:rPr>
        <w:instrText xml:space="preserve">REF _Ref235773347 \h</w:instrText>
      </w:r>
      <w:r>
        <w:instrText xml:space="preserve"> </w:instrText>
      </w:r>
      <w:r>
        <w:fldChar w:fldCharType="separate"/>
      </w:r>
      <w:r>
        <w:rPr>
          <w:rFonts w:hint="eastAsia"/>
        </w:rPr>
        <w:t xml:space="preserve">表 </w:t>
      </w:r>
      <w:r>
        <w:t>3</w:t>
      </w:r>
      <w:r>
        <w:noBreakHyphen/>
      </w:r>
      <w:r>
        <w:t>44</w:t>
      </w:r>
      <w:r>
        <w:fldChar w:fldCharType="end"/>
      </w:r>
      <w:r>
        <w:rPr>
          <w:rFonts w:hint="eastAsia"/>
        </w:rPr>
        <w:t>。</w:t>
      </w:r>
    </w:p>
    <w:p w14:paraId="3DE06C6C">
      <w:pPr>
        <w:pStyle w:val="33"/>
      </w:pPr>
      <w:bookmarkStart w:id="138" w:name="_Ref23577334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44</w:t>
      </w:r>
      <w:r>
        <w:fldChar w:fldCharType="end"/>
      </w:r>
      <w:bookmarkEnd w:id="138"/>
      <w:r>
        <w:rPr>
          <w:rFonts w:hint="eastAsia"/>
        </w:rPr>
        <w:t xml:space="preserve"> </w:t>
      </w:r>
      <w:r>
        <w:t>项目合同经费及付款安排</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
        <w:gridCol w:w="2294"/>
        <w:gridCol w:w="1134"/>
        <w:gridCol w:w="1308"/>
        <w:gridCol w:w="2938"/>
      </w:tblGrid>
      <w:tr w14:paraId="3AE38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dxa"/>
            <w:noWrap/>
            <w:vAlign w:val="center"/>
          </w:tcPr>
          <w:p w14:paraId="65AC4466">
            <w:pPr>
              <w:pStyle w:val="33"/>
            </w:pPr>
            <w:r>
              <w:t>序号</w:t>
            </w:r>
          </w:p>
        </w:tc>
        <w:tc>
          <w:tcPr>
            <w:tcW w:w="2294" w:type="dxa"/>
            <w:noWrap/>
            <w:vAlign w:val="center"/>
          </w:tcPr>
          <w:p w14:paraId="1CC8DCBE">
            <w:pPr>
              <w:pStyle w:val="33"/>
            </w:pPr>
            <w:r>
              <w:t>付款条件</w:t>
            </w:r>
          </w:p>
        </w:tc>
        <w:tc>
          <w:tcPr>
            <w:tcW w:w="1134" w:type="dxa"/>
            <w:noWrap/>
            <w:vAlign w:val="center"/>
          </w:tcPr>
          <w:p w14:paraId="60C916C6">
            <w:pPr>
              <w:pStyle w:val="33"/>
            </w:pPr>
            <w:r>
              <w:t>付款比例</w:t>
            </w:r>
          </w:p>
        </w:tc>
        <w:tc>
          <w:tcPr>
            <w:tcW w:w="1308" w:type="dxa"/>
            <w:noWrap/>
            <w:vAlign w:val="center"/>
          </w:tcPr>
          <w:p w14:paraId="1D7B9B26">
            <w:pPr>
              <w:pStyle w:val="33"/>
            </w:pPr>
            <w:r>
              <w:t>付款金额（元）</w:t>
            </w:r>
          </w:p>
        </w:tc>
        <w:tc>
          <w:tcPr>
            <w:tcW w:w="2938" w:type="dxa"/>
            <w:noWrap/>
            <w:vAlign w:val="center"/>
          </w:tcPr>
          <w:p w14:paraId="29FBC5E4">
            <w:pPr>
              <w:pStyle w:val="33"/>
            </w:pPr>
            <w:r>
              <w:t>对应项目节点</w:t>
            </w:r>
          </w:p>
        </w:tc>
      </w:tr>
      <w:tr w14:paraId="0B9B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dxa"/>
            <w:noWrap/>
            <w:vAlign w:val="center"/>
          </w:tcPr>
          <w:p w14:paraId="44E975B6">
            <w:pPr>
              <w:pStyle w:val="33"/>
            </w:pPr>
            <w:r>
              <w:t>1</w:t>
            </w:r>
          </w:p>
        </w:tc>
        <w:tc>
          <w:tcPr>
            <w:tcW w:w="2294" w:type="dxa"/>
            <w:noWrap/>
            <w:vAlign w:val="center"/>
          </w:tcPr>
          <w:p w14:paraId="4B55A0A8">
            <w:pPr>
              <w:pStyle w:val="33"/>
            </w:pPr>
            <w:r>
              <w:t>合同生效且实施方案评审通过后支付</w:t>
            </w:r>
          </w:p>
        </w:tc>
        <w:tc>
          <w:tcPr>
            <w:tcW w:w="1134" w:type="dxa"/>
            <w:noWrap/>
            <w:vAlign w:val="center"/>
          </w:tcPr>
          <w:p w14:paraId="2F012932">
            <w:pPr>
              <w:pStyle w:val="33"/>
            </w:pPr>
            <w:r>
              <w:t>30%</w:t>
            </w:r>
          </w:p>
        </w:tc>
        <w:tc>
          <w:tcPr>
            <w:tcW w:w="1308" w:type="dxa"/>
            <w:noWrap/>
            <w:vAlign w:val="center"/>
          </w:tcPr>
          <w:p w14:paraId="5A9626AC">
            <w:pPr>
              <w:pStyle w:val="33"/>
            </w:pPr>
            <w:r>
              <w:t>154,500.00</w:t>
            </w:r>
          </w:p>
        </w:tc>
        <w:tc>
          <w:tcPr>
            <w:tcW w:w="2938" w:type="dxa"/>
            <w:noWrap/>
            <w:vAlign w:val="center"/>
          </w:tcPr>
          <w:p w14:paraId="4D568793">
            <w:pPr>
              <w:pStyle w:val="33"/>
            </w:pPr>
            <w:r>
              <w:t>实施方案完成并通过专家评审</w:t>
            </w:r>
          </w:p>
        </w:tc>
      </w:tr>
      <w:tr w14:paraId="2581C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dxa"/>
            <w:noWrap/>
            <w:vAlign w:val="center"/>
          </w:tcPr>
          <w:p w14:paraId="77C2D831">
            <w:pPr>
              <w:pStyle w:val="33"/>
            </w:pPr>
            <w:r>
              <w:t>2</w:t>
            </w:r>
          </w:p>
        </w:tc>
        <w:tc>
          <w:tcPr>
            <w:tcW w:w="2294" w:type="dxa"/>
            <w:noWrap/>
            <w:vAlign w:val="center"/>
          </w:tcPr>
          <w:p w14:paraId="08ECCF8F">
            <w:pPr>
              <w:pStyle w:val="33"/>
            </w:pPr>
            <w:r>
              <w:t>项目通过合同验收后支付，同时无息退还履约担保金</w:t>
            </w:r>
          </w:p>
        </w:tc>
        <w:tc>
          <w:tcPr>
            <w:tcW w:w="1134" w:type="dxa"/>
            <w:noWrap/>
            <w:vAlign w:val="center"/>
          </w:tcPr>
          <w:p w14:paraId="7FE348E2">
            <w:pPr>
              <w:pStyle w:val="33"/>
            </w:pPr>
            <w:r>
              <w:t>67%</w:t>
            </w:r>
          </w:p>
        </w:tc>
        <w:tc>
          <w:tcPr>
            <w:tcW w:w="1308" w:type="dxa"/>
            <w:noWrap/>
            <w:vAlign w:val="center"/>
          </w:tcPr>
          <w:p w14:paraId="4D6FFF2F">
            <w:pPr>
              <w:pStyle w:val="33"/>
            </w:pPr>
            <w:r>
              <w:t>345,050.00</w:t>
            </w:r>
          </w:p>
        </w:tc>
        <w:tc>
          <w:tcPr>
            <w:tcW w:w="2938" w:type="dxa"/>
            <w:noWrap/>
            <w:vAlign w:val="center"/>
          </w:tcPr>
          <w:p w14:paraId="5C9D9C4B">
            <w:pPr>
              <w:pStyle w:val="33"/>
            </w:pPr>
            <w:r>
              <w:t>完成理论研究、程序开发、程序测试、试验验证、数据分析和成果交付，并通过合同验收</w:t>
            </w:r>
          </w:p>
        </w:tc>
      </w:tr>
      <w:tr w14:paraId="3F75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dxa"/>
            <w:noWrap/>
            <w:vAlign w:val="center"/>
          </w:tcPr>
          <w:p w14:paraId="7F4287DB">
            <w:pPr>
              <w:pStyle w:val="33"/>
            </w:pPr>
            <w:r>
              <w:t>3</w:t>
            </w:r>
          </w:p>
        </w:tc>
        <w:tc>
          <w:tcPr>
            <w:tcW w:w="2294" w:type="dxa"/>
            <w:noWrap/>
            <w:vAlign w:val="center"/>
          </w:tcPr>
          <w:p w14:paraId="3662EA53">
            <w:pPr>
              <w:pStyle w:val="33"/>
            </w:pPr>
            <w:r>
              <w:t>质量保证期结束后一个月内支付</w:t>
            </w:r>
          </w:p>
        </w:tc>
        <w:tc>
          <w:tcPr>
            <w:tcW w:w="1134" w:type="dxa"/>
            <w:noWrap/>
            <w:vAlign w:val="center"/>
          </w:tcPr>
          <w:p w14:paraId="0BC43F1B">
            <w:pPr>
              <w:pStyle w:val="33"/>
            </w:pPr>
            <w:r>
              <w:t>3%</w:t>
            </w:r>
          </w:p>
        </w:tc>
        <w:tc>
          <w:tcPr>
            <w:tcW w:w="1308" w:type="dxa"/>
            <w:noWrap/>
            <w:vAlign w:val="center"/>
          </w:tcPr>
          <w:p w14:paraId="02B5B732">
            <w:pPr>
              <w:pStyle w:val="33"/>
            </w:pPr>
            <w:r>
              <w:t>15,450.00</w:t>
            </w:r>
          </w:p>
        </w:tc>
        <w:tc>
          <w:tcPr>
            <w:tcW w:w="2938" w:type="dxa"/>
            <w:noWrap/>
            <w:vAlign w:val="center"/>
          </w:tcPr>
          <w:p w14:paraId="1041981D">
            <w:pPr>
              <w:pStyle w:val="33"/>
            </w:pPr>
            <w:r>
              <w:t>自项目验收合格之日起满1年质量保证期</w:t>
            </w:r>
          </w:p>
        </w:tc>
      </w:tr>
      <w:tr w14:paraId="0575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dxa"/>
            <w:noWrap/>
            <w:vAlign w:val="center"/>
          </w:tcPr>
          <w:p w14:paraId="10D8EE9B">
            <w:pPr>
              <w:pStyle w:val="33"/>
            </w:pPr>
          </w:p>
        </w:tc>
        <w:tc>
          <w:tcPr>
            <w:tcW w:w="2294" w:type="dxa"/>
            <w:noWrap/>
            <w:vAlign w:val="center"/>
          </w:tcPr>
          <w:p w14:paraId="6D465B8A">
            <w:pPr>
              <w:pStyle w:val="33"/>
            </w:pPr>
            <w:r>
              <w:t>合计</w:t>
            </w:r>
          </w:p>
        </w:tc>
        <w:tc>
          <w:tcPr>
            <w:tcW w:w="1134" w:type="dxa"/>
            <w:noWrap/>
            <w:vAlign w:val="center"/>
          </w:tcPr>
          <w:p w14:paraId="3F32B5EB">
            <w:pPr>
              <w:pStyle w:val="33"/>
            </w:pPr>
            <w:r>
              <w:t>100%</w:t>
            </w:r>
          </w:p>
        </w:tc>
        <w:tc>
          <w:tcPr>
            <w:tcW w:w="1308" w:type="dxa"/>
            <w:noWrap/>
            <w:vAlign w:val="center"/>
          </w:tcPr>
          <w:p w14:paraId="1779CAB8">
            <w:pPr>
              <w:pStyle w:val="33"/>
            </w:pPr>
            <w:r>
              <w:t>515,000.00</w:t>
            </w:r>
          </w:p>
        </w:tc>
        <w:tc>
          <w:tcPr>
            <w:tcW w:w="2938" w:type="dxa"/>
            <w:noWrap/>
            <w:vAlign w:val="center"/>
          </w:tcPr>
          <w:p w14:paraId="3662C039">
            <w:pPr>
              <w:pStyle w:val="33"/>
            </w:pPr>
          </w:p>
        </w:tc>
      </w:tr>
    </w:tbl>
    <w:p w14:paraId="787B3260">
      <w:pPr>
        <w:pStyle w:val="3"/>
      </w:pPr>
      <w:r>
        <w:rPr>
          <w:rFonts w:hint="eastAsia"/>
        </w:rPr>
        <w:t>项目经费按照合同约定、四川大学科研经费管理制度和财务管理要求进行管理，实行合同管理、财务审核和凭证报销。项目负责人负责经费使用的总体安排，经费主要用于项目人员投入、程序开发与计算资源使用、试验材料与元器件购置、仪器设备使用、试验测试、数据处理以及技术资料编制等与项目研究直接相关的工作。</w:t>
      </w:r>
    </w:p>
    <w:p w14:paraId="294885E3">
      <w:pPr>
        <w:pStyle w:val="3"/>
      </w:pPr>
      <w:r>
        <w:rPr>
          <w:rFonts w:hint="eastAsia"/>
        </w:rPr>
        <w:t>经费使用与项目任务和实施进度相对应。项目组根据三个研究模块的开发需求以及仿真计算、人工智能训练和试验验证需要，对计算资源、试验设备和材料采购进行统筹安排，优先保障关键技术攻关、程序测试和试验验证工作。涉及仪器、材料和试验用品的支出按照学校有关采购和报销制度执行，相关合同、票据和财务凭证由学校财务系统统一管理。</w:t>
      </w:r>
    </w:p>
    <w:p w14:paraId="5E45166D">
      <w:pPr>
        <w:pStyle w:val="3"/>
      </w:pPr>
      <w:r>
        <w:rPr>
          <w:rFonts w:hint="eastAsia"/>
        </w:rPr>
        <w:t>本项目按照总承包方式组织实施，未发生转包、分包以及向第三方支付项目分包费用的情况；未发生擅自改变经费用途、超出合同研究范围使用经费或因技术方案调整增加合同金额的情况。项目经费使用总体与合同任务、研究进度和成果交付要求相匹配，具体收支及结算情况以四川大学财务账目和相关财务凭证为准。</w:t>
      </w:r>
    </w:p>
    <w:p w14:paraId="1B7A3FF2">
      <w:pPr>
        <w:pStyle w:val="4"/>
      </w:pPr>
      <w:bookmarkStart w:id="139" w:name="_Toc235910479"/>
      <w:r>
        <w:rPr>
          <w:rFonts w:hint="eastAsia"/>
        </w:rPr>
        <w:t>变更情况</w:t>
      </w:r>
      <w:bookmarkEnd w:id="139"/>
    </w:p>
    <w:p w14:paraId="3BF3F36B">
      <w:pPr>
        <w:pStyle w:val="3"/>
      </w:pPr>
      <w:r>
        <w:rPr>
          <w:rFonts w:hint="eastAsia"/>
        </w:rPr>
        <w:t>无</w:t>
      </w:r>
    </w:p>
    <w:p w14:paraId="18CE14CF">
      <w:pPr>
        <w:pStyle w:val="2"/>
      </w:pPr>
      <w:bookmarkStart w:id="140" w:name="_Toc235910480"/>
      <w:r>
        <w:rPr>
          <w:rFonts w:hint="eastAsia"/>
        </w:rPr>
        <w:t>遗留问题处理情况</w:t>
      </w:r>
      <w:bookmarkEnd w:id="140"/>
    </w:p>
    <w:p w14:paraId="350100DF">
      <w:pPr>
        <w:pStyle w:val="3"/>
      </w:pPr>
      <w:r>
        <w:rPr>
          <w:rFonts w:hint="eastAsia"/>
        </w:rPr>
        <w:t>项目实施过程中，实施方案、测试大纲和测试报告均按照合同及技术任务书要求组织了专家评审。其中，测试大纲于2026年6月5日通过专家评审，测试报告于2026年7月18日通过专家评审。专家意见主要涉及文档规范性、术语定义、测试内容完整性、测试方法说明、图表表达、模块分类、算法比较和实测数据补充等方面。</w:t>
      </w:r>
    </w:p>
    <w:p w14:paraId="028B4348">
      <w:pPr>
        <w:pStyle w:val="3"/>
      </w:pPr>
      <w:r>
        <w:rPr>
          <w:rFonts w:hint="eastAsia"/>
        </w:rPr>
        <w:t>项目组对专家意见进行了逐条分析。对于能够提高文件规范性、完整性和可读性的意见，直接采纳并完成修改；对于原文件中已有相关内容但索引不明确的意见，通过补充章节引用和对应关系予以落实；对于不宜完全照搬的意见，在不影响技术内容完整性和结果可追溯性的前提下吸收其合理部分。例如，对“删除数据结果分析，仅保留表格结论”的建议，项目组没有简单删除必要的分析过程，而是压缩正文中的重复性描述，将详细计算过程和数据表移入附录，正文保留技术指标判定所必需的分析和结论。</w:t>
      </w:r>
    </w:p>
    <w:p w14:paraId="33A0D396">
      <w:pPr>
        <w:pStyle w:val="3"/>
      </w:pPr>
      <w:r>
        <w:rPr>
          <w:rFonts w:hint="eastAsia"/>
        </w:rPr>
        <w:t>经修改完善，专家提出的问题均已形成明确处理结果，未遗留影响项目功能、技术指标、成果交付和验收的问题。</w:t>
      </w:r>
    </w:p>
    <w:p w14:paraId="3BE1DE56">
      <w:pPr>
        <w:pStyle w:val="4"/>
      </w:pPr>
      <w:bookmarkStart w:id="141" w:name="_Toc235910481"/>
      <w:r>
        <w:t>文档规范性与术语统稿</w:t>
      </w:r>
      <w:bookmarkEnd w:id="141"/>
    </w:p>
    <w:p w14:paraId="631B669A">
      <w:pPr>
        <w:pStyle w:val="3"/>
      </w:pPr>
      <w:r>
        <w:rPr>
          <w:rFonts w:hint="eastAsia"/>
        </w:rPr>
        <w:t>针对测试大纲和测试报告中部分术语使用不统一、公式参数说明不足以及文件格式需要进一步规范等问题，项目组对相关文件进行了统一修订。</w:t>
      </w:r>
    </w:p>
    <w:p w14:paraId="2D3C0839">
      <w:pPr>
        <w:pStyle w:val="3"/>
      </w:pPr>
      <w:r>
        <w:rPr>
          <w:rFonts w:hint="eastAsia"/>
        </w:rPr>
        <w:t>一是统一“测试场景”等术语的定义和使用方式。文件中将“测试场景”区分为物理工况场景和算法验证场景。其中，物理工况场景用于描述一维、二维、稳态和瞬态等温度场条件；算法验证场景用于描述不同输入参数、反演方法、噪声水平和评价指标条件下的算法测试。相关术语已在全文统一使用。</w:t>
      </w:r>
    </w:p>
    <w:p w14:paraId="73144A38">
      <w:pPr>
        <w:pStyle w:val="3"/>
      </w:pPr>
      <w:r>
        <w:rPr>
          <w:rFonts w:hint="eastAsia"/>
        </w:rPr>
        <w:t>二是补充公式参数说明。对热传导方程、弹性动力学方程、超声传播方程、反演目标函数、误差评价公式及人工智能损失函数中出现的符号，补充了物理意义、单位和取值说明，避免公式与文字说明脱节。</w:t>
      </w:r>
    </w:p>
    <w:p w14:paraId="6C704C8A">
      <w:pPr>
        <w:pStyle w:val="3"/>
      </w:pPr>
      <w:r>
        <w:rPr>
          <w:rFonts w:hint="eastAsia"/>
        </w:rPr>
        <w:t>三是统一自主研发程序名称。项目组将自主研发程序统一命名为“SCU-仿真分析平台”，并在测试报告、技术报告、技术总结报告、操作手册和相关图表中采用统一名称。</w:t>
      </w:r>
    </w:p>
    <w:p w14:paraId="2B353043">
      <w:pPr>
        <w:pStyle w:val="3"/>
      </w:pPr>
      <w:r>
        <w:rPr>
          <w:rFonts w:hint="eastAsia"/>
        </w:rPr>
        <w:t>四是按照甲方文件编制要求，对封面、签署页、章节编号、页眉页脚、图表编号、参考文献和附件格式进行了统一检查和修改，保证不同项目文件之间格式协调、名称一致。</w:t>
      </w:r>
    </w:p>
    <w:p w14:paraId="328943FF">
      <w:pPr>
        <w:pStyle w:val="4"/>
      </w:pPr>
      <w:bookmarkStart w:id="142" w:name="_Toc235910482"/>
      <w:r>
        <w:t>内容完整性与技术深度补充</w:t>
      </w:r>
      <w:bookmarkEnd w:id="142"/>
    </w:p>
    <w:p w14:paraId="57025651">
      <w:pPr>
        <w:pStyle w:val="3"/>
      </w:pPr>
      <w:r>
        <w:rPr>
          <w:rFonts w:hint="eastAsia"/>
        </w:rPr>
        <w:t>针对专家提出的测试方法、测试流程、测试环境、实测数据和算法说明不够完整等问题，项目组从以下方面进行了补充。</w:t>
      </w:r>
    </w:p>
    <w:p w14:paraId="0FB6429C">
      <w:pPr>
        <w:pStyle w:val="3"/>
      </w:pPr>
      <w:r>
        <w:rPr>
          <w:rFonts w:hint="eastAsia"/>
        </w:rPr>
        <w:t>（1）在测试大纲和测试报告中补充了总体测试流程以及各模块的测试方法说明，明确了“输入条件—测试对象—测试方法—输出结果—评价指标”的对应关系。</w:t>
      </w:r>
    </w:p>
    <w:p w14:paraId="5E2624B3">
      <w:pPr>
        <w:pStyle w:val="3"/>
      </w:pPr>
      <w:r>
        <w:rPr>
          <w:rFonts w:hint="eastAsia"/>
        </w:rPr>
        <w:t>（2）针对热声固耦合分析、声学多参数融合反演、人工智能温度场反演和试验验证，分别补充了测试条件、操作步骤、数据处理方法和结果判定依据。</w:t>
      </w:r>
    </w:p>
    <w:p w14:paraId="785AD28C">
      <w:pPr>
        <w:pStyle w:val="3"/>
      </w:pPr>
      <w:r>
        <w:rPr>
          <w:rFonts w:hint="eastAsia"/>
        </w:rPr>
        <w:t>（3）补充了测试系统组成、超声换能器布置和收发方式，增加了系统构成框图、测试流程图和超声测量拓扑图。</w:t>
      </w:r>
    </w:p>
    <w:p w14:paraId="4F4C37CC">
      <w:pPr>
        <w:pStyle w:val="3"/>
      </w:pPr>
      <w:r>
        <w:rPr>
          <w:rFonts w:hint="eastAsia"/>
        </w:rPr>
        <w:t>（4）在试件几何示意图中明确了热电偶测点和超声探头的位置，补充了试件尺寸、层数、材料组成、测点坐标及其对应关系。</w:t>
      </w:r>
    </w:p>
    <w:p w14:paraId="3A057F87">
      <w:pPr>
        <w:pStyle w:val="3"/>
      </w:pPr>
      <w:r>
        <w:rPr>
          <w:rFonts w:hint="eastAsia"/>
        </w:rPr>
        <w:t>（5）补充了不同温度梯度条件下温度场类型、测试工况和测试数量的说明，明确了一维、二维、稳态和瞬态温度场在各模块测试中的对应关系。</w:t>
      </w:r>
    </w:p>
    <w:p w14:paraId="7FFA1F87">
      <w:pPr>
        <w:pStyle w:val="3"/>
      </w:pPr>
      <w:r>
        <w:rPr>
          <w:rFonts w:hint="eastAsia"/>
        </w:rPr>
        <w:t>（6）补充了低温超声实测波形、高温热电偶瞬态温度历程以及有关采样率、增益、时间基准和仪器设置等信息，增强了测试结果的数据支撑。</w:t>
      </w:r>
    </w:p>
    <w:p w14:paraId="399874CE">
      <w:pPr>
        <w:pStyle w:val="3"/>
      </w:pPr>
      <w:r>
        <w:rPr>
          <w:rFonts w:hint="eastAsia"/>
        </w:rPr>
        <w:t>（7）补充了声学多参数融合反演方法与人工智能反演方法的对比，从反演精度、计算耗时、稳定性和抗噪能力等方面对不同算法进行了评价。</w:t>
      </w:r>
    </w:p>
    <w:p w14:paraId="28C5D8EE">
      <w:pPr>
        <w:pStyle w:val="3"/>
      </w:pPr>
      <w:r>
        <w:rPr>
          <w:rFonts w:hint="eastAsia"/>
        </w:rPr>
        <w:t>（8）补充了人工智能模型的数据集构建、模型结构、训练方式、物理约束、增量训练和结果评价方法，使人工智能模块的测试依据和技术路线更加完整。</w:t>
      </w:r>
    </w:p>
    <w:p w14:paraId="491FF0FC">
      <w:pPr>
        <w:pStyle w:val="3"/>
      </w:pPr>
      <w:r>
        <w:rPr>
          <w:rFonts w:hint="eastAsia"/>
        </w:rPr>
        <w:t>专家提出的“增加代码”意见主要通过补充关键程序实现说明、程序流程和接口关系予以落实。完整源代码作为独立交付物进行管理，没有在测试大纲和测试报告正文中大量重复粘贴，兼顾了文件可读性和程序交付完整性。</w:t>
      </w:r>
    </w:p>
    <w:p w14:paraId="696CDB2C">
      <w:pPr>
        <w:pStyle w:val="4"/>
      </w:pPr>
      <w:bookmarkStart w:id="143" w:name="_Toc235910483"/>
      <w:r>
        <w:t>表述精简与可读性提升</w:t>
      </w:r>
      <w:bookmarkEnd w:id="143"/>
    </w:p>
    <w:p w14:paraId="102108D8">
      <w:pPr>
        <w:pStyle w:val="3"/>
      </w:pPr>
      <w:r>
        <w:rPr>
          <w:rFonts w:hint="eastAsia"/>
        </w:rPr>
        <w:t>针对专家提出的报告文字较多、部分表格内容冗长以及图表规范性不足等问题，项目组对测试大纲、测试报告及相关技术文件进行了统稿。</w:t>
      </w:r>
    </w:p>
    <w:p w14:paraId="5E5D027C">
      <w:pPr>
        <w:pStyle w:val="3"/>
      </w:pPr>
      <w:r>
        <w:rPr>
          <w:rFonts w:hint="eastAsia"/>
        </w:rPr>
        <w:t>对正文中重复描述测试数据和计算过程的内容进行了压缩，将详细数据、计算过程和补充图表放入附件或附录，正文重点保留测试条件、关键结果、技术指标判定和测试结论。对于功能要求及性能指标响应表，提取了测试对象、关键指标、实测结果和判定结论，减少大段说明性文字。</w:t>
      </w:r>
    </w:p>
    <w:p w14:paraId="31353BD8">
      <w:pPr>
        <w:pStyle w:val="3"/>
      </w:pPr>
      <w:r>
        <w:rPr>
          <w:rFonts w:hint="eastAsia"/>
        </w:rPr>
        <w:t>项目组没有完全删除数据结果分析。对于温度场误差、厚度反演误差、算法效率和人工智能预测精度等直接关系技术指标判定的内容，仍保留必要的计算依据和分析说明，保证测试结论能够复核。</w:t>
      </w:r>
    </w:p>
    <w:p w14:paraId="62459D6A">
      <w:pPr>
        <w:pStyle w:val="3"/>
      </w:pPr>
      <w:r>
        <w:rPr>
          <w:rFonts w:hint="eastAsia"/>
        </w:rPr>
        <w:t>同时，对系统构成图、测试流程图、超声测量拓扑图、温度场云图、误差曲线和算法对比图进行了统一绘制或调整，统一字体、字号、线型、配色、图例和坐标单位，提高了图表清晰度和报告整体可读性。</w:t>
      </w:r>
    </w:p>
    <w:p w14:paraId="23B4E472">
      <w:pPr>
        <w:pStyle w:val="4"/>
      </w:pPr>
      <w:bookmarkStart w:id="144" w:name="_Toc235910484"/>
      <w:r>
        <w:t>测试分类标准及模块关系统一</w:t>
      </w:r>
      <w:bookmarkEnd w:id="144"/>
    </w:p>
    <w:p w14:paraId="6DACA355">
      <w:pPr>
        <w:pStyle w:val="3"/>
      </w:pPr>
      <w:r>
        <w:rPr>
          <w:rFonts w:hint="eastAsia"/>
        </w:rPr>
        <w:t>针对三个模块原有测试场景分类方式不完全一致的问题，项目组对测试内容的组织方式进行了调整。</w:t>
      </w:r>
    </w:p>
    <w:p w14:paraId="1302DD62">
      <w:pPr>
        <w:pStyle w:val="3"/>
      </w:pPr>
      <w:r>
        <w:rPr>
          <w:rFonts w:hint="eastAsia"/>
        </w:rPr>
        <w:t>测试结果按照多层材料、金属基复合材料和硅基/碳基复合材料三类被测对象进行归类，并在每类材料下分别说明一维、二维、稳态和瞬态工况，使测试结果能够与技术任务书规定的材料类型、试件尺寸和性能指标逐项对应。</w:t>
      </w:r>
    </w:p>
    <w:p w14:paraId="6FF3A27C">
      <w:pPr>
        <w:pStyle w:val="3"/>
      </w:pPr>
      <w:r>
        <w:rPr>
          <w:rFonts w:hint="eastAsia"/>
        </w:rPr>
        <w:t>在统一被测对象分类的同时，保留三个模块各自的技术逻辑：</w:t>
      </w:r>
    </w:p>
    <w:p w14:paraId="70AD5D7D">
      <w:pPr>
        <w:pStyle w:val="3"/>
      </w:pPr>
      <w:r>
        <w:rPr>
          <w:rFonts w:hint="eastAsia"/>
        </w:rPr>
        <w:t>第一模块重点验证热—声—固耦合模型、温度场、结构场、超声波场及声学特征计算结果；</w:t>
      </w:r>
    </w:p>
    <w:p w14:paraId="45E87AB9">
      <w:pPr>
        <w:pStyle w:val="3"/>
      </w:pPr>
      <w:r>
        <w:rPr>
          <w:rFonts w:hint="eastAsia"/>
        </w:rPr>
        <w:t>第二模块重点验证单参数和多参数融合反演、温度场与厚度联合反演以及不同优化算法的精度和效率；</w:t>
      </w:r>
    </w:p>
    <w:p w14:paraId="02B8DDDB">
      <w:pPr>
        <w:pStyle w:val="3"/>
      </w:pPr>
      <w:r>
        <w:rPr>
          <w:rFonts w:hint="eastAsia"/>
        </w:rPr>
        <w:t>第三模块重点验证人工智能模型的数据集、训练、增量更新、温度场预测精度和计算效率。</w:t>
      </w:r>
    </w:p>
    <w:p w14:paraId="0923DB73">
      <w:pPr>
        <w:pStyle w:val="3"/>
      </w:pPr>
      <w:r>
        <w:rPr>
          <w:rFonts w:hint="eastAsia"/>
        </w:rPr>
        <w:t>通过“按被测对象组织测试结果、按研究模块说明技术方法”的方式，既保证了三个模块测试结果与技术指标之间的对应关系，又保留了各模块功能定位和适用范围的差异。</w:t>
      </w:r>
    </w:p>
    <w:p w14:paraId="3FA689CB">
      <w:pPr>
        <w:pStyle w:val="4"/>
      </w:pPr>
      <w:bookmarkStart w:id="145" w:name="_Toc235910485"/>
      <w:r>
        <w:t>专家意见处理情况汇总</w:t>
      </w:r>
      <w:bookmarkEnd w:id="145"/>
    </w:p>
    <w:p w14:paraId="7301185C">
      <w:pPr>
        <w:pStyle w:val="3"/>
      </w:pPr>
      <w:r>
        <w:rPr>
          <w:rFonts w:hint="eastAsia"/>
        </w:rPr>
        <w:t>超声波全波形温度场重构理论及方法研究”项目测试大纲专家意见及修改情况对照见</w:t>
      </w:r>
      <w:r>
        <w:fldChar w:fldCharType="begin"/>
      </w:r>
      <w:r>
        <w:instrText xml:space="preserve"> </w:instrText>
      </w:r>
      <w:r>
        <w:rPr>
          <w:rFonts w:hint="eastAsia"/>
        </w:rPr>
        <w:instrText xml:space="preserve">REF _Ref235774150 \h</w:instrText>
      </w:r>
      <w:r>
        <w:instrText xml:space="preserve"> </w:instrText>
      </w:r>
      <w:r>
        <w:fldChar w:fldCharType="separate"/>
      </w:r>
      <w:r>
        <w:rPr>
          <w:rFonts w:hint="eastAsia"/>
        </w:rPr>
        <w:t xml:space="preserve">表 </w:t>
      </w:r>
      <w:r>
        <w:t>4</w:t>
      </w:r>
      <w:r>
        <w:noBreakHyphen/>
      </w:r>
      <w:r>
        <w:t>1</w:t>
      </w:r>
      <w:r>
        <w:fldChar w:fldCharType="end"/>
      </w:r>
    </w:p>
    <w:p w14:paraId="0C107A5C">
      <w:pPr>
        <w:pStyle w:val="33"/>
      </w:pPr>
      <w:bookmarkStart w:id="146" w:name="_Ref23577415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146"/>
      <w:r>
        <w:rPr>
          <w:rFonts w:hint="eastAsia"/>
        </w:rPr>
        <w:t xml:space="preserve"> 测试大纲专家意见及修改情况对照表</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
        <w:gridCol w:w="3382"/>
        <w:gridCol w:w="4923"/>
      </w:tblGrid>
      <w:tr w14:paraId="25A24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ign w:val="center"/>
          </w:tcPr>
          <w:p w14:paraId="6F32D57D">
            <w:pPr>
              <w:pStyle w:val="33"/>
            </w:pPr>
            <w:r>
              <w:t>专家</w:t>
            </w:r>
          </w:p>
        </w:tc>
        <w:tc>
          <w:tcPr>
            <w:tcW w:w="0" w:type="auto"/>
            <w:noWrap/>
            <w:vAlign w:val="center"/>
          </w:tcPr>
          <w:p w14:paraId="0C3513D9">
            <w:pPr>
              <w:pStyle w:val="33"/>
            </w:pPr>
            <w:r>
              <w:t>专家意见</w:t>
            </w:r>
          </w:p>
        </w:tc>
        <w:tc>
          <w:tcPr>
            <w:tcW w:w="0" w:type="auto"/>
            <w:noWrap/>
            <w:vAlign w:val="center"/>
          </w:tcPr>
          <w:p w14:paraId="6B4733FC">
            <w:pPr>
              <w:pStyle w:val="33"/>
            </w:pPr>
            <w:r>
              <w:t>修改情况</w:t>
            </w:r>
          </w:p>
        </w:tc>
      </w:tr>
      <w:tr w14:paraId="54BCB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noWrap/>
            <w:vAlign w:val="center"/>
          </w:tcPr>
          <w:p w14:paraId="5DA49EDF">
            <w:pPr>
              <w:pStyle w:val="33"/>
            </w:pPr>
            <w:r>
              <w:t>陈炳才</w:t>
            </w:r>
          </w:p>
        </w:tc>
        <w:tc>
          <w:tcPr>
            <w:tcW w:w="0" w:type="auto"/>
            <w:noWrap/>
            <w:vAlign w:val="center"/>
          </w:tcPr>
          <w:p w14:paraId="0F6FC7DA">
            <w:pPr>
              <w:pStyle w:val="33"/>
              <w:jc w:val="both"/>
            </w:pPr>
            <w:r>
              <w:t>1.优化测试大纲写法，增加代码、流程图、公式参数解释、软件截图。</w:t>
            </w:r>
          </w:p>
        </w:tc>
        <w:tc>
          <w:tcPr>
            <w:tcW w:w="0" w:type="auto"/>
            <w:noWrap/>
            <w:vAlign w:val="center"/>
          </w:tcPr>
          <w:p w14:paraId="4E52ACD1">
            <w:pPr>
              <w:pStyle w:val="33"/>
              <w:jc w:val="both"/>
            </w:pPr>
            <w:r>
              <w:t>1.已对测试大纲的内容组织和表述方式进行优化，补充了程序代码说明、测试流程图、有关公式的参数解释及软件界面截图。</w:t>
            </w:r>
          </w:p>
        </w:tc>
      </w:tr>
      <w:tr w14:paraId="742C5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noWrap/>
            <w:vAlign w:val="center"/>
          </w:tcPr>
          <w:p w14:paraId="66E12054">
            <w:pPr>
              <w:pStyle w:val="33"/>
            </w:pPr>
          </w:p>
        </w:tc>
        <w:tc>
          <w:tcPr>
            <w:tcW w:w="0" w:type="auto"/>
            <w:noWrap/>
            <w:vAlign w:val="center"/>
          </w:tcPr>
          <w:p w14:paraId="65A21479">
            <w:pPr>
              <w:pStyle w:val="33"/>
              <w:jc w:val="both"/>
            </w:pPr>
            <w:r>
              <w:t>2.增加实测数据用以分析。</w:t>
            </w:r>
          </w:p>
        </w:tc>
        <w:tc>
          <w:tcPr>
            <w:tcW w:w="0" w:type="auto"/>
            <w:noWrap/>
            <w:vAlign w:val="center"/>
          </w:tcPr>
          <w:p w14:paraId="15F85D9F">
            <w:pPr>
              <w:pStyle w:val="33"/>
              <w:jc w:val="both"/>
            </w:pPr>
            <w:r>
              <w:t>2.已补充实测数据的记录和分析要求，明确原始波形、采样率、增益等数据及参数的保存内容。</w:t>
            </w:r>
          </w:p>
        </w:tc>
      </w:tr>
      <w:tr w14:paraId="28F34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noWrap/>
            <w:vAlign w:val="center"/>
          </w:tcPr>
          <w:p w14:paraId="6384E087">
            <w:pPr>
              <w:pStyle w:val="33"/>
            </w:pPr>
            <w:r>
              <w:t>苟国庆</w:t>
            </w:r>
          </w:p>
        </w:tc>
        <w:tc>
          <w:tcPr>
            <w:tcW w:w="0" w:type="auto"/>
            <w:noWrap/>
            <w:vAlign w:val="center"/>
          </w:tcPr>
          <w:p w14:paraId="7BA68B5B">
            <w:pPr>
              <w:pStyle w:val="33"/>
              <w:jc w:val="both"/>
            </w:pPr>
            <w:r>
              <w:t>1.测试大纲满足任务书要求。</w:t>
            </w:r>
          </w:p>
        </w:tc>
        <w:tc>
          <w:tcPr>
            <w:tcW w:w="0" w:type="auto"/>
            <w:vMerge w:val="restart"/>
            <w:noWrap/>
            <w:vAlign w:val="center"/>
          </w:tcPr>
          <w:p w14:paraId="3F3D2CFA">
            <w:pPr>
              <w:pStyle w:val="33"/>
              <w:jc w:val="both"/>
            </w:pPr>
            <w:r>
              <w:t>已按照甲方要求和标准格式，对测试大纲的封面、章节编号、页眉页脚、签署页及相关格式进行了核查和修改，并再次对照技术任务书检查测试内容和技术指标。</w:t>
            </w:r>
          </w:p>
        </w:tc>
      </w:tr>
      <w:tr w14:paraId="1908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noWrap/>
            <w:vAlign w:val="center"/>
          </w:tcPr>
          <w:p w14:paraId="1777D097">
            <w:pPr>
              <w:pStyle w:val="33"/>
            </w:pPr>
          </w:p>
        </w:tc>
        <w:tc>
          <w:tcPr>
            <w:tcW w:w="0" w:type="auto"/>
            <w:noWrap/>
            <w:vAlign w:val="center"/>
          </w:tcPr>
          <w:p w14:paraId="6A89DFAF">
            <w:pPr>
              <w:pStyle w:val="33"/>
              <w:jc w:val="both"/>
            </w:pPr>
            <w:r>
              <w:t>2.建议按照甲方要求对测试大纲进行修改完善，按甲方标准格式撰写。</w:t>
            </w:r>
          </w:p>
        </w:tc>
        <w:tc>
          <w:tcPr>
            <w:tcW w:w="0" w:type="auto"/>
            <w:vMerge w:val="continue"/>
            <w:noWrap/>
            <w:vAlign w:val="center"/>
          </w:tcPr>
          <w:p w14:paraId="46572A92">
            <w:pPr>
              <w:pStyle w:val="33"/>
              <w:jc w:val="both"/>
            </w:pPr>
          </w:p>
        </w:tc>
      </w:tr>
      <w:tr w14:paraId="29F1D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noWrap/>
            <w:vAlign w:val="center"/>
          </w:tcPr>
          <w:p w14:paraId="06D4ACB1">
            <w:pPr>
              <w:pStyle w:val="33"/>
            </w:pPr>
            <w:r>
              <w:t>李恋</w:t>
            </w:r>
          </w:p>
        </w:tc>
        <w:tc>
          <w:tcPr>
            <w:tcW w:w="0" w:type="auto"/>
            <w:noWrap/>
            <w:vAlign w:val="center"/>
          </w:tcPr>
          <w:p w14:paraId="27F1C237">
            <w:pPr>
              <w:pStyle w:val="33"/>
              <w:jc w:val="both"/>
            </w:pPr>
            <w:r>
              <w:t>1.报告文字太多，建议增加图、表。</w:t>
            </w:r>
          </w:p>
        </w:tc>
        <w:tc>
          <w:tcPr>
            <w:tcW w:w="0" w:type="auto"/>
            <w:noWrap/>
            <w:vAlign w:val="center"/>
          </w:tcPr>
          <w:p w14:paraId="00B48F80">
            <w:pPr>
              <w:pStyle w:val="33"/>
              <w:jc w:val="both"/>
            </w:pPr>
            <w:r>
              <w:t>1.已精简部分文字内容，并增加测试流程图、系统拓扑图、温度场及测试结果等相关图表。</w:t>
            </w:r>
          </w:p>
        </w:tc>
      </w:tr>
      <w:tr w14:paraId="69310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noWrap/>
            <w:vAlign w:val="center"/>
          </w:tcPr>
          <w:p w14:paraId="3E6A4226">
            <w:pPr>
              <w:pStyle w:val="33"/>
            </w:pPr>
          </w:p>
        </w:tc>
        <w:tc>
          <w:tcPr>
            <w:tcW w:w="0" w:type="auto"/>
            <w:noWrap/>
            <w:vAlign w:val="center"/>
          </w:tcPr>
          <w:p w14:paraId="0D7879EC">
            <w:pPr>
              <w:pStyle w:val="33"/>
              <w:jc w:val="both"/>
            </w:pPr>
            <w:r>
              <w:t>2.两种温度场反演方法模块是否实现同一种功能，建议明确两种模块的适用范围。</w:t>
            </w:r>
          </w:p>
        </w:tc>
        <w:tc>
          <w:tcPr>
            <w:tcW w:w="0" w:type="auto"/>
            <w:noWrap/>
            <w:vAlign w:val="center"/>
          </w:tcPr>
          <w:p w14:paraId="61EA00E3">
            <w:pPr>
              <w:pStyle w:val="33"/>
              <w:jc w:val="both"/>
            </w:pPr>
            <w:r>
              <w:t>2.已补充声学多参数融合反演模块与人工智能反演模块的功能定位和适用范围，明确两种方法的区别及其对应的测试内容。</w:t>
            </w:r>
          </w:p>
        </w:tc>
      </w:tr>
      <w:tr w14:paraId="39EAC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noWrap/>
            <w:vAlign w:val="center"/>
          </w:tcPr>
          <w:p w14:paraId="17EBED0A">
            <w:pPr>
              <w:pStyle w:val="33"/>
            </w:pPr>
            <w:r>
              <w:t>周新志</w:t>
            </w:r>
          </w:p>
        </w:tc>
        <w:tc>
          <w:tcPr>
            <w:tcW w:w="0" w:type="auto"/>
            <w:noWrap/>
            <w:vAlign w:val="center"/>
          </w:tcPr>
          <w:p w14:paraId="50F14C42">
            <w:pPr>
              <w:pStyle w:val="33"/>
              <w:jc w:val="both"/>
            </w:pPr>
            <w:r>
              <w:t>1.建议明确超声换能器的测量拓扑。</w:t>
            </w:r>
          </w:p>
        </w:tc>
        <w:tc>
          <w:tcPr>
            <w:tcW w:w="0" w:type="auto"/>
            <w:noWrap/>
            <w:vAlign w:val="center"/>
          </w:tcPr>
          <w:p w14:paraId="54075F96">
            <w:pPr>
              <w:pStyle w:val="33"/>
              <w:jc w:val="both"/>
            </w:pPr>
            <w:r>
              <w:t>1.已在测试系统组成和测试方法中明确超声换能器的布置及收发方式，并补充相应测量拓扑图。</w:t>
            </w:r>
          </w:p>
        </w:tc>
      </w:tr>
      <w:tr w14:paraId="71EF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noWrap/>
            <w:vAlign w:val="center"/>
          </w:tcPr>
          <w:p w14:paraId="0006388F">
            <w:pPr>
              <w:pStyle w:val="33"/>
            </w:pPr>
          </w:p>
        </w:tc>
        <w:tc>
          <w:tcPr>
            <w:tcW w:w="0" w:type="auto"/>
            <w:noWrap/>
            <w:vAlign w:val="center"/>
          </w:tcPr>
          <w:p w14:paraId="09B4644C">
            <w:pPr>
              <w:pStyle w:val="33"/>
              <w:jc w:val="both"/>
            </w:pPr>
            <w:r>
              <w:t>2.建议明确5个测试点的具体位置。</w:t>
            </w:r>
          </w:p>
        </w:tc>
        <w:tc>
          <w:tcPr>
            <w:tcW w:w="0" w:type="auto"/>
            <w:noWrap/>
            <w:vAlign w:val="center"/>
          </w:tcPr>
          <w:p w14:paraId="687880BD">
            <w:pPr>
              <w:pStyle w:val="33"/>
              <w:jc w:val="both"/>
            </w:pPr>
            <w:r>
              <w:t>2.已在试件几何示意图中标注5个测试点的具体位置，并说明其与热电偶测点的对应关系。</w:t>
            </w:r>
          </w:p>
        </w:tc>
      </w:tr>
      <w:tr w14:paraId="63557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noWrap/>
            <w:vAlign w:val="center"/>
          </w:tcPr>
          <w:p w14:paraId="166349F7">
            <w:pPr>
              <w:pStyle w:val="33"/>
            </w:pPr>
          </w:p>
        </w:tc>
        <w:tc>
          <w:tcPr>
            <w:tcW w:w="0" w:type="auto"/>
            <w:noWrap/>
            <w:vAlign w:val="center"/>
          </w:tcPr>
          <w:p w14:paraId="7A19384F">
            <w:pPr>
              <w:pStyle w:val="33"/>
              <w:jc w:val="both"/>
            </w:pPr>
            <w:r>
              <w:t>3.建议明确待测温度场的类型（不同温度梯度）及数量。</w:t>
            </w:r>
          </w:p>
        </w:tc>
        <w:tc>
          <w:tcPr>
            <w:tcW w:w="0" w:type="auto"/>
            <w:noWrap/>
            <w:vAlign w:val="center"/>
          </w:tcPr>
          <w:p w14:paraId="349215A7">
            <w:pPr>
              <w:pStyle w:val="33"/>
              <w:jc w:val="both"/>
            </w:pPr>
            <w:r>
              <w:t>3.已补充不同温度梯度条件下待测温度场的类型、数量及测试工况统计。</w:t>
            </w:r>
          </w:p>
        </w:tc>
      </w:tr>
      <w:tr w14:paraId="29C8A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noWrap/>
            <w:vAlign w:val="center"/>
          </w:tcPr>
          <w:p w14:paraId="5FE945D5">
            <w:pPr>
              <w:pStyle w:val="33"/>
            </w:pPr>
            <w:r>
              <w:t>万国根</w:t>
            </w:r>
          </w:p>
        </w:tc>
        <w:tc>
          <w:tcPr>
            <w:tcW w:w="0" w:type="auto"/>
            <w:noWrap/>
            <w:vAlign w:val="center"/>
          </w:tcPr>
          <w:p w14:paraId="1328DD90">
            <w:pPr>
              <w:pStyle w:val="33"/>
              <w:jc w:val="both"/>
            </w:pPr>
            <w:r>
              <w:t>1.增加测试参考标准。</w:t>
            </w:r>
          </w:p>
        </w:tc>
        <w:tc>
          <w:tcPr>
            <w:tcW w:w="0" w:type="auto"/>
            <w:noWrap/>
            <w:vAlign w:val="center"/>
          </w:tcPr>
          <w:p w14:paraId="21C8A758">
            <w:pPr>
              <w:pStyle w:val="33"/>
              <w:jc w:val="both"/>
            </w:pPr>
            <w:r>
              <w:t>1.已在测试依据中补充相关测试参考标准和引用文件。</w:t>
            </w:r>
          </w:p>
        </w:tc>
      </w:tr>
      <w:tr w14:paraId="41E70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noWrap/>
            <w:vAlign w:val="center"/>
          </w:tcPr>
          <w:p w14:paraId="10B3DE91">
            <w:pPr>
              <w:pStyle w:val="33"/>
            </w:pPr>
          </w:p>
        </w:tc>
        <w:tc>
          <w:tcPr>
            <w:tcW w:w="0" w:type="auto"/>
            <w:noWrap/>
            <w:vAlign w:val="center"/>
          </w:tcPr>
          <w:p w14:paraId="5F6E2C94">
            <w:pPr>
              <w:pStyle w:val="33"/>
              <w:jc w:val="both"/>
            </w:pPr>
            <w:r>
              <w:t>2.增加测试环境描述，配图说明测试系统组成、拓扑图、测试材料组成。</w:t>
            </w:r>
          </w:p>
        </w:tc>
        <w:tc>
          <w:tcPr>
            <w:tcW w:w="0" w:type="auto"/>
            <w:noWrap/>
            <w:vAlign w:val="center"/>
          </w:tcPr>
          <w:p w14:paraId="20B103AF">
            <w:pPr>
              <w:pStyle w:val="33"/>
              <w:jc w:val="both"/>
            </w:pPr>
            <w:r>
              <w:t>2.已补充测试环境和测试系统组成说明，增加系统拓扑图及测试材料说明，明确试件尺寸、层数和材料组成等信息。</w:t>
            </w:r>
          </w:p>
        </w:tc>
      </w:tr>
      <w:tr w14:paraId="36A26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noWrap/>
            <w:vAlign w:val="center"/>
          </w:tcPr>
          <w:p w14:paraId="56653A76">
            <w:pPr>
              <w:pStyle w:val="33"/>
            </w:pPr>
          </w:p>
        </w:tc>
        <w:tc>
          <w:tcPr>
            <w:tcW w:w="0" w:type="auto"/>
            <w:noWrap/>
            <w:vAlign w:val="center"/>
          </w:tcPr>
          <w:p w14:paraId="0480B5D6">
            <w:pPr>
              <w:pStyle w:val="33"/>
              <w:jc w:val="both"/>
            </w:pPr>
            <w:r>
              <w:t>3.细化测试项目：针对三种材料分别论述；写出测试用例；明确结果与技术指标（技术任务书）的满足程度。</w:t>
            </w:r>
          </w:p>
        </w:tc>
        <w:tc>
          <w:tcPr>
            <w:tcW w:w="0" w:type="auto"/>
            <w:noWrap/>
            <w:vAlign w:val="center"/>
          </w:tcPr>
          <w:p w14:paraId="58CC749C">
            <w:pPr>
              <w:pStyle w:val="33"/>
              <w:jc w:val="both"/>
            </w:pPr>
            <w:r>
              <w:t>3.已针对多层材料、金属基复合材料和硅基/碳基复合材料分别细化测试项目和测试用例，并对照技术任务书明确测试结果、判定指标及指标满足情况。</w:t>
            </w:r>
          </w:p>
        </w:tc>
      </w:tr>
    </w:tbl>
    <w:p w14:paraId="0EA6128A">
      <w:pPr>
        <w:pStyle w:val="3"/>
      </w:pPr>
      <w:r>
        <w:rPr>
          <w:rFonts w:hint="eastAsia"/>
        </w:rPr>
        <w:t>“超声波全波形温度场重构理论及方法研究”项目测试报告专家意见及修改情况对照见</w:t>
      </w:r>
      <w:r>
        <w:fldChar w:fldCharType="begin"/>
      </w:r>
      <w:r>
        <w:instrText xml:space="preserve"> </w:instrText>
      </w:r>
      <w:r>
        <w:rPr>
          <w:rFonts w:hint="eastAsia"/>
        </w:rPr>
        <w:instrText xml:space="preserve">REF _Ref235774408 \h</w:instrText>
      </w:r>
      <w:r>
        <w:instrText xml:space="preserve"> </w:instrText>
      </w:r>
      <w:r>
        <w:fldChar w:fldCharType="separate"/>
      </w:r>
      <w:r>
        <w:rPr>
          <w:rFonts w:hint="eastAsia"/>
        </w:rPr>
        <w:t xml:space="preserve">表 </w:t>
      </w:r>
      <w:r>
        <w:t>4</w:t>
      </w:r>
      <w:r>
        <w:noBreakHyphen/>
      </w:r>
      <w:r>
        <w:t>2</w:t>
      </w:r>
      <w:r>
        <w:fldChar w:fldCharType="end"/>
      </w:r>
    </w:p>
    <w:p w14:paraId="1421FB0C">
      <w:pPr>
        <w:pStyle w:val="33"/>
      </w:pPr>
      <w:bookmarkStart w:id="147" w:name="_Ref2357744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bookmarkEnd w:id="147"/>
      <w:r>
        <w:rPr>
          <w:rFonts w:hint="eastAsia"/>
        </w:rPr>
        <w:t xml:space="preserve"> 测试报告专家意见及修改情况对照表</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
        <w:gridCol w:w="2814"/>
        <w:gridCol w:w="5503"/>
      </w:tblGrid>
      <w:tr w14:paraId="6CC1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noWrap/>
            <w:vAlign w:val="center"/>
          </w:tcPr>
          <w:p w14:paraId="76A8B6B3">
            <w:pPr>
              <w:pStyle w:val="33"/>
            </w:pPr>
            <w:r>
              <w:t>专家</w:t>
            </w:r>
          </w:p>
        </w:tc>
        <w:tc>
          <w:tcPr>
            <w:tcW w:w="0" w:type="auto"/>
            <w:noWrap/>
            <w:vAlign w:val="center"/>
          </w:tcPr>
          <w:p w14:paraId="4175EBD6">
            <w:pPr>
              <w:pStyle w:val="33"/>
            </w:pPr>
            <w:r>
              <w:t>专家意见</w:t>
            </w:r>
          </w:p>
        </w:tc>
        <w:tc>
          <w:tcPr>
            <w:tcW w:w="0" w:type="auto"/>
            <w:noWrap/>
            <w:vAlign w:val="center"/>
          </w:tcPr>
          <w:p w14:paraId="63E53F7D">
            <w:pPr>
              <w:pStyle w:val="33"/>
            </w:pPr>
            <w:r>
              <w:t>修改情况</w:t>
            </w:r>
          </w:p>
        </w:tc>
      </w:tr>
      <w:tr w14:paraId="54D52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noWrap/>
            <w:vAlign w:val="center"/>
          </w:tcPr>
          <w:p w14:paraId="5A61E50B">
            <w:pPr>
              <w:pStyle w:val="33"/>
            </w:pPr>
            <w:r>
              <w:t>陈炳才</w:t>
            </w:r>
          </w:p>
        </w:tc>
        <w:tc>
          <w:tcPr>
            <w:tcW w:w="0" w:type="auto"/>
            <w:noWrap/>
            <w:vAlign w:val="center"/>
          </w:tcPr>
          <w:p w14:paraId="789CBA93">
            <w:pPr>
              <w:pStyle w:val="33"/>
              <w:jc w:val="both"/>
            </w:pPr>
            <w:r>
              <w:t>1.该报告中的一些晦涩词汇，如“场景”，在文中多次出现且用词形式不同，需要规范定义。</w:t>
            </w:r>
          </w:p>
        </w:tc>
        <w:tc>
          <w:tcPr>
            <w:tcW w:w="0" w:type="auto"/>
            <w:noWrap/>
            <w:vAlign w:val="center"/>
          </w:tcPr>
          <w:p w14:paraId="2FAE829A">
            <w:pPr>
              <w:pStyle w:val="33"/>
              <w:jc w:val="both"/>
            </w:pPr>
            <w:r>
              <w:t>1.已在测试报告第1章（绪论）或第3章（测试方案）开篇，增加了“测试场景”的定义小节，明确区分了“物理工况场景”（一维/二维、稳态/瞬态）与“算法验证场景”，并在全文进行了统一替换。</w:t>
            </w:r>
          </w:p>
        </w:tc>
      </w:tr>
      <w:tr w14:paraId="2A85C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noWrap/>
            <w:vAlign w:val="center"/>
          </w:tcPr>
          <w:p w14:paraId="10869A25">
            <w:pPr>
              <w:pStyle w:val="33"/>
            </w:pPr>
          </w:p>
        </w:tc>
        <w:tc>
          <w:tcPr>
            <w:tcW w:w="0" w:type="auto"/>
            <w:noWrap/>
            <w:vAlign w:val="center"/>
          </w:tcPr>
          <w:p w14:paraId="16D42562">
            <w:pPr>
              <w:pStyle w:val="33"/>
              <w:jc w:val="both"/>
            </w:pPr>
            <w:r>
              <w:t>2.建议将数据结果分析内容去掉，只在表格中保留必要的结论。</w:t>
            </w:r>
          </w:p>
        </w:tc>
        <w:tc>
          <w:tcPr>
            <w:tcW w:w="0" w:type="auto"/>
            <w:noWrap/>
            <w:vAlign w:val="center"/>
          </w:tcPr>
          <w:p w14:paraId="63AACCF5">
            <w:pPr>
              <w:pStyle w:val="33"/>
              <w:jc w:val="both"/>
            </w:pPr>
            <w:r>
              <w:t>2.已大幅压缩正文中的文字性分析，将详细的数据推导过程移至附录，正文仅保留核心结论，重点依托优化后的图表展示结果。</w:t>
            </w:r>
          </w:p>
        </w:tc>
      </w:tr>
      <w:tr w14:paraId="71E62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noWrap/>
            <w:vAlign w:val="center"/>
          </w:tcPr>
          <w:p w14:paraId="685288F6">
            <w:pPr>
              <w:pStyle w:val="33"/>
            </w:pPr>
          </w:p>
        </w:tc>
        <w:tc>
          <w:tcPr>
            <w:tcW w:w="0" w:type="auto"/>
            <w:noWrap/>
            <w:vAlign w:val="center"/>
          </w:tcPr>
          <w:p w14:paraId="415D3CBA">
            <w:pPr>
              <w:pStyle w:val="33"/>
              <w:jc w:val="both"/>
            </w:pPr>
            <w:r>
              <w:t>3.建议为自研程序仿真平台定义一个名称或代号。</w:t>
            </w:r>
          </w:p>
        </w:tc>
        <w:tc>
          <w:tcPr>
            <w:tcW w:w="0" w:type="auto"/>
            <w:noWrap/>
            <w:vAlign w:val="center"/>
          </w:tcPr>
          <w:p w14:paraId="30EF92F9">
            <w:pPr>
              <w:pStyle w:val="33"/>
              <w:jc w:val="both"/>
            </w:pPr>
            <w:r>
              <w:t>3.经项目组讨论，将自主开发程序命名为“</w:t>
            </w:r>
            <w:r>
              <w:rPr>
                <w:rFonts w:hint="eastAsia"/>
              </w:rPr>
              <w:t>自研</w:t>
            </w:r>
            <w:r>
              <w:t>平台”，并在全文中统一使用该名称及英文缩写。</w:t>
            </w:r>
          </w:p>
        </w:tc>
      </w:tr>
      <w:tr w14:paraId="744B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noWrap/>
            <w:vAlign w:val="center"/>
          </w:tcPr>
          <w:p w14:paraId="2582AF87">
            <w:pPr>
              <w:pStyle w:val="33"/>
            </w:pPr>
          </w:p>
        </w:tc>
        <w:tc>
          <w:tcPr>
            <w:tcW w:w="0" w:type="auto"/>
            <w:noWrap/>
            <w:vAlign w:val="center"/>
          </w:tcPr>
          <w:p w14:paraId="21949381">
            <w:pPr>
              <w:pStyle w:val="33"/>
              <w:jc w:val="both"/>
            </w:pPr>
            <w:r>
              <w:t>4.完善并美化文中图表，符合标准规范。</w:t>
            </w:r>
          </w:p>
        </w:tc>
        <w:tc>
          <w:tcPr>
            <w:tcW w:w="0" w:type="auto"/>
            <w:noWrap/>
            <w:vAlign w:val="center"/>
          </w:tcPr>
          <w:p w14:paraId="5BEB7DF3">
            <w:pPr>
              <w:pStyle w:val="33"/>
              <w:jc w:val="both"/>
            </w:pPr>
            <w:r>
              <w:t>4.已对所有图表进行了重新绘制或美化，统一了字体、字号、线型及配色方案，确保图面清晰并符合科技报告出版规范。</w:t>
            </w:r>
          </w:p>
        </w:tc>
      </w:tr>
      <w:tr w14:paraId="461C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noWrap/>
            <w:vAlign w:val="center"/>
          </w:tcPr>
          <w:p w14:paraId="176DDBDD">
            <w:pPr>
              <w:pStyle w:val="33"/>
            </w:pPr>
            <w:r>
              <w:t>徐涛</w:t>
            </w:r>
          </w:p>
        </w:tc>
        <w:tc>
          <w:tcPr>
            <w:tcW w:w="0" w:type="auto"/>
            <w:noWrap/>
            <w:vAlign w:val="center"/>
          </w:tcPr>
          <w:p w14:paraId="6C9877D6">
            <w:pPr>
              <w:pStyle w:val="33"/>
              <w:jc w:val="both"/>
            </w:pPr>
            <w:r>
              <w:t>1.建议在报告中补充测试方法流程简述，明确各场景划分在测试流程中的对应关系。</w:t>
            </w:r>
          </w:p>
        </w:tc>
        <w:tc>
          <w:tcPr>
            <w:tcW w:w="0" w:type="auto"/>
            <w:noWrap/>
            <w:vAlign w:val="center"/>
          </w:tcPr>
          <w:p w14:paraId="303A42AE">
            <w:pPr>
              <w:pStyle w:val="33"/>
              <w:jc w:val="both"/>
            </w:pPr>
            <w:r>
              <w:t>1.测试报告新增了“3.2 测试实施流程图”，并配套撰写了流程说明，建立了“输入条件—测试场景—输出指标”的一一对应关系表。</w:t>
            </w:r>
          </w:p>
        </w:tc>
      </w:tr>
      <w:tr w14:paraId="60DAC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noWrap/>
            <w:vAlign w:val="center"/>
          </w:tcPr>
          <w:p w14:paraId="5D4EB59A">
            <w:pPr>
              <w:pStyle w:val="33"/>
            </w:pPr>
          </w:p>
        </w:tc>
        <w:tc>
          <w:tcPr>
            <w:tcW w:w="0" w:type="auto"/>
            <w:noWrap/>
            <w:vAlign w:val="center"/>
          </w:tcPr>
          <w:p w14:paraId="2F99B455">
            <w:pPr>
              <w:pStyle w:val="33"/>
              <w:jc w:val="both"/>
            </w:pPr>
            <w:r>
              <w:t>2.建议补充声学参数融合温度场反演方法与人工智能反演方法在精度等指标上的对比。</w:t>
            </w:r>
          </w:p>
        </w:tc>
        <w:tc>
          <w:tcPr>
            <w:tcW w:w="0" w:type="auto"/>
            <w:noWrap/>
            <w:vAlign w:val="center"/>
          </w:tcPr>
          <w:p w14:paraId="36A7DD1F">
            <w:pPr>
              <w:pStyle w:val="33"/>
              <w:jc w:val="both"/>
            </w:pPr>
            <w:r>
              <w:t>2.在测试报告第5章“测试结果分析”中新增了“5.4 算法性能对比分析”小节，从反演精度（MAE、RMSE）、计算耗时、抗噪能力三个维度，制作了详细的对比表格与柱状图。</w:t>
            </w:r>
          </w:p>
        </w:tc>
      </w:tr>
      <w:tr w14:paraId="3E44F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noWrap/>
            <w:vAlign w:val="center"/>
          </w:tcPr>
          <w:p w14:paraId="4474DC88">
            <w:pPr>
              <w:pStyle w:val="33"/>
            </w:pPr>
            <w:r>
              <w:t>李恋</w:t>
            </w:r>
          </w:p>
        </w:tc>
        <w:tc>
          <w:tcPr>
            <w:tcW w:w="0" w:type="auto"/>
            <w:noWrap/>
            <w:vAlign w:val="center"/>
          </w:tcPr>
          <w:p w14:paraId="523D211A">
            <w:pPr>
              <w:pStyle w:val="33"/>
              <w:jc w:val="both"/>
            </w:pPr>
            <w:r>
              <w:t>1.表4-1、表4-2中大段文字可提取关键词指标，精简表格，使报告更具可读性。</w:t>
            </w:r>
          </w:p>
        </w:tc>
        <w:tc>
          <w:tcPr>
            <w:tcW w:w="0" w:type="auto"/>
            <w:noWrap/>
            <w:vAlign w:val="center"/>
          </w:tcPr>
          <w:p w14:paraId="0E2BB82B">
            <w:pPr>
              <w:pStyle w:val="33"/>
              <w:jc w:val="both"/>
            </w:pPr>
            <w:r>
              <w:t>1.已对该类各表进行了重构，剔除了冗余描述，提炼了“关键指标”列，并对表格格式进行了标准化处理，提升了查阅效率。</w:t>
            </w:r>
          </w:p>
        </w:tc>
      </w:tr>
      <w:tr w14:paraId="0EC76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noWrap/>
            <w:vAlign w:val="center"/>
          </w:tcPr>
          <w:p w14:paraId="76838733">
            <w:pPr>
              <w:pStyle w:val="33"/>
            </w:pPr>
          </w:p>
        </w:tc>
        <w:tc>
          <w:tcPr>
            <w:tcW w:w="0" w:type="auto"/>
            <w:noWrap/>
            <w:vAlign w:val="center"/>
          </w:tcPr>
          <w:p w14:paraId="2EE6B5E0">
            <w:pPr>
              <w:pStyle w:val="33"/>
              <w:jc w:val="both"/>
            </w:pPr>
            <w:r>
              <w:t>2.三个模块场景分类方法不一致，建议都以被测对象进行分类测试，以便和性能指标进行对比。</w:t>
            </w:r>
          </w:p>
        </w:tc>
        <w:tc>
          <w:tcPr>
            <w:tcW w:w="0" w:type="auto"/>
            <w:noWrap/>
            <w:vAlign w:val="center"/>
          </w:tcPr>
          <w:p w14:paraId="63DC2013">
            <w:pPr>
              <w:pStyle w:val="33"/>
              <w:jc w:val="both"/>
            </w:pPr>
            <w:r>
              <w:t>2.已对测试报告第4章“测试内容与结果”的结构进行了调整，严格按照“多层金属材料”“金属基复合材料”“硅基/碳基复合材料”的分类逻辑重新组织测试内容，确保与性能指标逐一对应。</w:t>
            </w:r>
          </w:p>
        </w:tc>
      </w:tr>
      <w:tr w14:paraId="3454F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noWrap/>
            <w:vAlign w:val="center"/>
          </w:tcPr>
          <w:p w14:paraId="11D1DCC6">
            <w:pPr>
              <w:pStyle w:val="33"/>
            </w:pPr>
            <w:r>
              <w:t>万国根</w:t>
            </w:r>
          </w:p>
        </w:tc>
        <w:tc>
          <w:tcPr>
            <w:tcW w:w="0" w:type="auto"/>
            <w:noWrap/>
            <w:vAlign w:val="center"/>
          </w:tcPr>
          <w:p w14:paraId="3B0F4FD4">
            <w:pPr>
              <w:pStyle w:val="33"/>
              <w:jc w:val="both"/>
            </w:pPr>
            <w:r>
              <w:t>1.在每个试验中，增加测试方法、测试流程图、测试环境。</w:t>
            </w:r>
          </w:p>
        </w:tc>
        <w:tc>
          <w:tcPr>
            <w:tcW w:w="0" w:type="auto"/>
            <w:noWrap/>
            <w:vAlign w:val="center"/>
          </w:tcPr>
          <w:p w14:paraId="55763ED2">
            <w:pPr>
              <w:pStyle w:val="33"/>
              <w:jc w:val="both"/>
            </w:pPr>
            <w:r>
              <w:t>1.针对热声固耦合、多参数反演、AI重构及实验测试四个模块，分别在对应章节增加了“测试方法”专节，细化了操作步骤，并在附录中完善了实验环境配置清单。</w:t>
            </w:r>
          </w:p>
        </w:tc>
      </w:tr>
      <w:tr w14:paraId="4866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noWrap/>
            <w:vAlign w:val="center"/>
          </w:tcPr>
          <w:p w14:paraId="39B17098">
            <w:pPr>
              <w:pStyle w:val="33"/>
            </w:pPr>
          </w:p>
        </w:tc>
        <w:tc>
          <w:tcPr>
            <w:tcW w:w="0" w:type="auto"/>
            <w:noWrap/>
            <w:vAlign w:val="center"/>
          </w:tcPr>
          <w:p w14:paraId="6739595F">
            <w:pPr>
              <w:pStyle w:val="33"/>
              <w:jc w:val="both"/>
            </w:pPr>
            <w:r>
              <w:t>2. P3，图1-1，改为系统构成框图。</w:t>
            </w:r>
          </w:p>
        </w:tc>
        <w:tc>
          <w:tcPr>
            <w:tcW w:w="0" w:type="auto"/>
            <w:noWrap/>
            <w:vAlign w:val="center"/>
          </w:tcPr>
          <w:p w14:paraId="1E268FC5">
            <w:pPr>
              <w:pStyle w:val="33"/>
              <w:jc w:val="both"/>
            </w:pPr>
            <w:r>
              <w:t>2.已重新绘制“超声波温度场重构系统总体构成框图”，清晰展示了硬件层、算法层与应用层的逻辑关系。</w:t>
            </w:r>
          </w:p>
        </w:tc>
      </w:tr>
      <w:tr w14:paraId="41127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noWrap/>
            <w:vAlign w:val="center"/>
          </w:tcPr>
          <w:p w14:paraId="13134F67">
            <w:pPr>
              <w:pStyle w:val="33"/>
            </w:pPr>
          </w:p>
        </w:tc>
        <w:tc>
          <w:tcPr>
            <w:tcW w:w="0" w:type="auto"/>
            <w:noWrap/>
            <w:vAlign w:val="center"/>
          </w:tcPr>
          <w:p w14:paraId="66D9E6E6">
            <w:pPr>
              <w:pStyle w:val="33"/>
              <w:jc w:val="both"/>
            </w:pPr>
            <w:r>
              <w:t>3.P195，AI算法介绍一下。</w:t>
            </w:r>
          </w:p>
        </w:tc>
        <w:tc>
          <w:tcPr>
            <w:tcW w:w="0" w:type="auto"/>
            <w:noWrap/>
            <w:vAlign w:val="center"/>
          </w:tcPr>
          <w:p w14:paraId="507C0681">
            <w:pPr>
              <w:pStyle w:val="33"/>
              <w:jc w:val="both"/>
            </w:pPr>
            <w:r>
              <w:t>3.已将原测试报告中简略的AI方法描述扩充为独立小节，详细阐述了神经网络架构（如PINN物理约束设置）、数据集构建方式及训练策略。</w:t>
            </w:r>
          </w:p>
        </w:tc>
      </w:tr>
      <w:tr w14:paraId="74481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noWrap/>
            <w:vAlign w:val="center"/>
          </w:tcPr>
          <w:p w14:paraId="7BF36F19">
            <w:pPr>
              <w:pStyle w:val="33"/>
            </w:pPr>
            <w:r>
              <w:t>周新志</w:t>
            </w:r>
          </w:p>
        </w:tc>
        <w:tc>
          <w:tcPr>
            <w:tcW w:w="0" w:type="auto"/>
            <w:noWrap/>
            <w:vAlign w:val="center"/>
          </w:tcPr>
          <w:p w14:paraId="44FA0A6B">
            <w:pPr>
              <w:pStyle w:val="33"/>
              <w:jc w:val="both"/>
            </w:pPr>
            <w:r>
              <w:t>1.在每种测试试验中，简要补充测试方法的技术路线，增加报告的可读性。</w:t>
            </w:r>
          </w:p>
        </w:tc>
        <w:tc>
          <w:tcPr>
            <w:tcW w:w="0" w:type="auto"/>
            <w:noWrap/>
            <w:vAlign w:val="center"/>
          </w:tcPr>
          <w:p w14:paraId="476E79EC">
            <w:pPr>
              <w:pStyle w:val="33"/>
              <w:jc w:val="both"/>
            </w:pPr>
            <w:r>
              <w:t>1.针对热声固耦合、多参数反演、AI重构及实验测试四个模块，分别在对应章节增加了“测试方法”专节，补充测试方法和技术路线，细化了操作步骤，并完善了测试环境说明。</w:t>
            </w:r>
          </w:p>
        </w:tc>
      </w:tr>
      <w:tr w14:paraId="46974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noWrap/>
            <w:vAlign w:val="center"/>
          </w:tcPr>
          <w:p w14:paraId="0DC38D85">
            <w:pPr>
              <w:pStyle w:val="33"/>
            </w:pPr>
          </w:p>
        </w:tc>
        <w:tc>
          <w:tcPr>
            <w:tcW w:w="0" w:type="auto"/>
            <w:noWrap/>
            <w:vAlign w:val="center"/>
          </w:tcPr>
          <w:p w14:paraId="2218E609">
            <w:pPr>
              <w:pStyle w:val="33"/>
              <w:jc w:val="both"/>
            </w:pPr>
            <w:r>
              <w:t>2.对报告中出现的公式，增加对公式参数符号的标注。</w:t>
            </w:r>
          </w:p>
        </w:tc>
        <w:tc>
          <w:tcPr>
            <w:tcW w:w="0" w:type="auto"/>
            <w:noWrap/>
            <w:vAlign w:val="center"/>
          </w:tcPr>
          <w:p w14:paraId="303D9C05">
            <w:pPr>
              <w:pStyle w:val="33"/>
              <w:jc w:val="both"/>
            </w:pPr>
            <w:r>
              <w:t>2.已对所有核心公式（特别是热声固耦合方程及反演目标函数）后的参数列表进行了补全，明确了每个符号的物理意义、单位及取值范围。</w:t>
            </w:r>
          </w:p>
        </w:tc>
      </w:tr>
    </w:tbl>
    <w:p w14:paraId="33A017FB">
      <w:pPr>
        <w:pStyle w:val="2"/>
      </w:pPr>
      <w:bookmarkStart w:id="148" w:name="_Toc235910486"/>
      <w:r>
        <w:rPr>
          <w:rFonts w:hint="eastAsia"/>
        </w:rPr>
        <w:t>关键技术攻关</w:t>
      </w:r>
      <w:bookmarkEnd w:id="148"/>
    </w:p>
    <w:p w14:paraId="1FC4CCC8">
      <w:pPr>
        <w:pStyle w:val="4"/>
      </w:pPr>
      <w:bookmarkStart w:id="149" w:name="_Toc235910487"/>
      <w:r>
        <w:rPr>
          <w:rFonts w:hint="eastAsia"/>
        </w:rPr>
        <w:t>关键技术及解决措施</w:t>
      </w:r>
      <w:bookmarkEnd w:id="149"/>
    </w:p>
    <w:p w14:paraId="5BF0CAE7">
      <w:pPr>
        <w:pStyle w:val="5"/>
      </w:pPr>
      <w:bookmarkStart w:id="150" w:name="_Toc235910488"/>
      <w:r>
        <w:t>复合材料热声固耦合分析关键技术及解决措施</w:t>
      </w:r>
      <w:bookmarkEnd w:id="150"/>
    </w:p>
    <w:p w14:paraId="3FA4ED3D">
      <w:pPr>
        <w:pStyle w:val="6"/>
      </w:pPr>
      <w:r>
        <w:t>温度相关多材料参数统一建模技术</w:t>
      </w:r>
    </w:p>
    <w:p w14:paraId="352E1786">
      <w:pPr>
        <w:pStyle w:val="3"/>
      </w:pPr>
      <w:r>
        <w:rPr>
          <w:rFonts w:hint="eastAsia"/>
        </w:rPr>
        <w:t>技术难点：多层材料、金属基材料、SiC纤维和SiC基体的导热系数、密度、比热容、弹性模量、泊松比、热膨胀系数及黏性参数均可能随温度变化。不同数据来源的表达形式、单位和有效温区不一致，容易造成量级错误、参数错配或非物理外推。</w:t>
      </w:r>
    </w:p>
    <w:p w14:paraId="44494BC4">
      <w:pPr>
        <w:pStyle w:val="3"/>
      </w:pPr>
      <w:r>
        <w:rPr>
          <w:rFonts w:hint="eastAsia"/>
        </w:rPr>
        <w:t>解决措施：建立统一材料属性接口，支持常数、解析表达式和离散温度表三种输入方式；按局部温度实时评价材料参数，对表格数据进行分段插值，并设置有效温区、非负性、有限值和刚度量级检查。材料模型同时支持各向同性、正交各向异性和一般各向异性形式。</w:t>
      </w:r>
    </w:p>
    <w:p w14:paraId="4AEC811C">
      <w:pPr>
        <w:pStyle w:val="3"/>
      </w:pPr>
      <w:r>
        <w:rPr>
          <w:rFonts w:hint="eastAsia"/>
        </w:rPr>
        <w:t>温度相关材料的一般表示为：</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7457"/>
        <w:gridCol w:w="733"/>
      </w:tblGrid>
      <w:tr w14:paraId="209A4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4" w:type="pct"/>
            <w:vAlign w:val="center"/>
          </w:tcPr>
          <w:p w14:paraId="6E21E004">
            <w:pPr>
              <w:pStyle w:val="33"/>
            </w:pPr>
          </w:p>
        </w:tc>
        <w:tc>
          <w:tcPr>
            <w:tcW w:w="4276" w:type="pct"/>
            <w:vAlign w:val="center"/>
          </w:tcPr>
          <w:p w14:paraId="249BF948">
            <w:pPr>
              <w:pStyle w:val="33"/>
            </w:pPr>
            <m:oMathPara>
              <m:oMath>
                <m:r>
                  <m:rPr/>
                  <w:rPr>
                    <w:rFonts w:ascii="Cambria Math" w:hAnsi="Cambria Math"/>
                  </w:rPr>
                  <m:t>P</m:t>
                </m:r>
                <m:r>
                  <m:rPr>
                    <m:sty m:val="p"/>
                  </m:rPr>
                  <w:rPr>
                    <w:rFonts w:ascii="Cambria Math" w:hAnsi="Cambria Math"/>
                  </w:rPr>
                  <m:t xml:space="preserve"> = </m:t>
                </m:r>
                <m:r>
                  <m:rPr/>
                  <w:rPr>
                    <w:rFonts w:ascii="Cambria Math" w:hAnsi="Cambria Math"/>
                  </w:rPr>
                  <m:t>P</m:t>
                </m:r>
                <m:r>
                  <m:rPr>
                    <m:sty m:val="p"/>
                  </m:rPr>
                  <w:rPr>
                    <w:rFonts w:ascii="Cambria Math" w:hAnsi="Cambria Math"/>
                  </w:rPr>
                  <m:t>(</m:t>
                </m:r>
                <m:r>
                  <m:rPr/>
                  <w:rPr>
                    <w:rFonts w:ascii="Cambria Math" w:hAnsi="Cambria Math"/>
                  </w:rPr>
                  <m:t>T</m:t>
                </m:r>
                <m:r>
                  <m:rPr>
                    <m:sty m:val="p"/>
                  </m:rPr>
                  <w:rPr>
                    <w:rFonts w:ascii="Cambria Math" w:hAnsi="Cambria Math"/>
                  </w:rPr>
                  <m:t xml:space="preserve">)，  </m:t>
                </m:r>
                <m:r>
                  <m:rPr/>
                  <w:rPr>
                    <w:rFonts w:ascii="Cambria Math" w:hAnsi="Cambria Math"/>
                  </w:rPr>
                  <m:t>T</m:t>
                </m:r>
                <m:r>
                  <m:rPr>
                    <m:sty m:val="p"/>
                  </m:rPr>
                  <w:rPr>
                    <w:rFonts w:ascii="Cambria Math" w:hAnsi="Cambria Math"/>
                  </w:rPr>
                  <m:t xml:space="preserve"> ∈ [</m:t>
                </m:r>
                <m:r>
                  <m:rPr/>
                  <w:rPr>
                    <w:rFonts w:ascii="Cambria Math" w:hAnsi="Cambria Math"/>
                  </w:rPr>
                  <m:t>Tmin</m:t>
                </m:r>
                <m:r>
                  <m:rPr>
                    <m:sty m:val="p"/>
                  </m:rPr>
                  <w:rPr>
                    <w:rFonts w:ascii="Cambria Math" w:hAnsi="Cambria Math"/>
                  </w:rPr>
                  <m:t>,</m:t>
                </m:r>
                <m:r>
                  <m:rPr/>
                  <w:rPr>
                    <w:rFonts w:ascii="Cambria Math" w:hAnsi="Cambria Math"/>
                  </w:rPr>
                  <m:t>Tmax</m:t>
                </m:r>
                <m:r>
                  <m:rPr>
                    <m:sty m:val="p"/>
                  </m:rPr>
                  <w:rPr>
                    <w:rFonts w:ascii="Cambria Math" w:hAnsi="Cambria Math"/>
                  </w:rPr>
                  <m:t>]</m:t>
                </m:r>
              </m:oMath>
            </m:oMathPara>
          </w:p>
        </w:tc>
        <w:tc>
          <w:tcPr>
            <w:tcW w:w="420" w:type="pct"/>
            <w:vAlign w:val="center"/>
          </w:tcPr>
          <w:p w14:paraId="0EB71481">
            <w:pPr>
              <w:pStyle w:val="33"/>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公式 \* ARABIC \s 1</w:instrText>
            </w:r>
            <w:r>
              <w:instrText xml:space="preserve"> </w:instrText>
            </w:r>
            <w:r>
              <w:fldChar w:fldCharType="separate"/>
            </w:r>
            <w:r>
              <w:t>1</w:t>
            </w:r>
            <w:r>
              <w:fldChar w:fldCharType="end"/>
            </w:r>
            <w:r>
              <w:rPr>
                <w:rFonts w:hint="eastAsia"/>
              </w:rPr>
              <w:t>)</w:t>
            </w:r>
          </w:p>
        </w:tc>
      </w:tr>
    </w:tbl>
    <w:p w14:paraId="59CB9EA6">
      <w:pPr>
        <w:pStyle w:val="3"/>
      </w:pPr>
      <w:r>
        <w:t>其中P可代表导热系数、密度、比热、弹性参数、热膨胀系数或黏性参数；当局部温度超出数据有效范围时，程序给出限制或预警，避免静默外推。</w:t>
      </w:r>
    </w:p>
    <w:p w14:paraId="73922469">
      <w:pPr>
        <w:pStyle w:val="6"/>
      </w:pPr>
      <w:r>
        <w:t>基于T6二次三角形单元的二维有限元技术</w:t>
      </w:r>
    </w:p>
    <w:p w14:paraId="488BD5BE">
      <w:pPr>
        <w:pStyle w:val="3"/>
      </w:pPr>
      <w:r>
        <w:t>技术难点：多材料结构、弯曲边界、纤维—基体界面和压电探头区域具有较复杂的几何特征，线性单元难以同时保证边界拟合、温度梯度、热应力和高频弹性波传播精度。</w:t>
      </w:r>
    </w:p>
    <w:p w14:paraId="3793AEC5">
      <w:pPr>
        <w:pStyle w:val="3"/>
      </w:pPr>
      <w:r>
        <w:rPr>
          <w:rFonts w:hint="eastAsia"/>
        </w:rPr>
        <w:t>解决措施：二维热传导、热弹性和超声传播统一采用T6六节点二次三角形单元，边界和界面采用三节点二次线单元。通过高斯积分装配导热、热容、弹性刚度、质量、阻尼及载荷矩阵，并检查单元节点顺序、雅可比行列式和网格退化情况。</w:t>
      </w:r>
    </w:p>
    <w:p w14:paraId="37A47FC1">
      <w:pPr>
        <w:pStyle w:val="3"/>
      </w:pPr>
      <w:r>
        <w:rPr>
          <w:rFonts w:hint="eastAsia"/>
        </w:rPr>
        <w:t>瞬态热传导控制方程为：</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7457"/>
        <w:gridCol w:w="733"/>
      </w:tblGrid>
      <w:tr w14:paraId="6B3BF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4" w:type="pct"/>
            <w:vAlign w:val="center"/>
          </w:tcPr>
          <w:p w14:paraId="3CC5CDD4">
            <w:pPr>
              <w:pStyle w:val="33"/>
            </w:pPr>
          </w:p>
        </w:tc>
        <w:tc>
          <w:tcPr>
            <w:tcW w:w="4276" w:type="pct"/>
            <w:vAlign w:val="center"/>
          </w:tcPr>
          <w:p w14:paraId="0B761922">
            <w:pPr>
              <w:pStyle w:val="33"/>
              <w:rPr>
                <w:i/>
              </w:rPr>
            </w:pPr>
            <m:oMathPara>
              <m:oMath>
                <m:r>
                  <m:rPr>
                    <m:sty m:val="p"/>
                  </m:rPr>
                  <w:rPr>
                    <w:rFonts w:ascii="Cambria Math" w:hAnsi="Cambria Math"/>
                  </w:rPr>
                  <m:t>ρ cₚ ∂T/∂t = ∇·(k ∇T) + Q</m:t>
                </m:r>
              </m:oMath>
            </m:oMathPara>
          </w:p>
        </w:tc>
        <w:tc>
          <w:tcPr>
            <w:tcW w:w="420" w:type="pct"/>
            <w:vAlign w:val="center"/>
          </w:tcPr>
          <w:p w14:paraId="4CAEDC08">
            <w:pPr>
              <w:pStyle w:val="33"/>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公式 \* ARABIC \s 1</w:instrText>
            </w:r>
            <w:r>
              <w:instrText xml:space="preserve"> </w:instrText>
            </w:r>
            <w:r>
              <w:fldChar w:fldCharType="separate"/>
            </w:r>
            <w:r>
              <w:t>2</w:t>
            </w:r>
            <w:r>
              <w:fldChar w:fldCharType="end"/>
            </w:r>
            <w:r>
              <w:rPr>
                <w:rFonts w:hint="eastAsia"/>
              </w:rPr>
              <w:t>)</w:t>
            </w:r>
          </w:p>
        </w:tc>
      </w:tr>
    </w:tbl>
    <w:p w14:paraId="77B11E52">
      <w:pPr>
        <w:pStyle w:val="3"/>
      </w:pPr>
      <w:r>
        <w:t>T6单元采用面积坐标L₁、L₂、L₃，其典型二次形函数为：</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7457"/>
        <w:gridCol w:w="733"/>
      </w:tblGrid>
      <w:tr w14:paraId="2A19E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4" w:type="pct"/>
            <w:vAlign w:val="center"/>
          </w:tcPr>
          <w:p w14:paraId="60E532D6">
            <w:pPr>
              <w:pStyle w:val="33"/>
            </w:pPr>
          </w:p>
        </w:tc>
        <w:tc>
          <w:tcPr>
            <w:tcW w:w="4276" w:type="pct"/>
            <w:vAlign w:val="center"/>
          </w:tcPr>
          <w:p w14:paraId="53DC301B">
            <w:pPr>
              <w:pStyle w:val="33"/>
              <w:rPr>
                <w:i/>
              </w:rPr>
            </w:pPr>
            <m:oMathPara>
              <m:oMath>
                <m:r>
                  <m:rPr>
                    <m:sty m:val="p"/>
                  </m:rPr>
                  <w:rPr>
                    <w:rFonts w:ascii="Cambria Math" w:hAnsi="Cambria Math"/>
                  </w:rPr>
                  <m:t>N₁ = L₁(2L₁−1)，  N₄ = 4L₁L₂，  N₅ = 4L₂L₃</m:t>
                </m:r>
              </m:oMath>
            </m:oMathPara>
          </w:p>
        </w:tc>
        <w:tc>
          <w:tcPr>
            <w:tcW w:w="420" w:type="pct"/>
            <w:vAlign w:val="center"/>
          </w:tcPr>
          <w:p w14:paraId="412E5905">
            <w:pPr>
              <w:pStyle w:val="33"/>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公式 \* ARABIC \s 1</w:instrText>
            </w:r>
            <w:r>
              <w:instrText xml:space="preserve"> </w:instrText>
            </w:r>
            <w:r>
              <w:fldChar w:fldCharType="separate"/>
            </w:r>
            <w:r>
              <w:t>3</w:t>
            </w:r>
            <w:r>
              <w:fldChar w:fldCharType="end"/>
            </w:r>
            <w:r>
              <w:rPr>
                <w:rFonts w:hint="eastAsia"/>
              </w:rPr>
              <w:t>)</w:t>
            </w:r>
          </w:p>
        </w:tc>
      </w:tr>
    </w:tbl>
    <w:p w14:paraId="3FABF74A">
      <w:pPr>
        <w:pStyle w:val="3"/>
      </w:pPr>
      <w:r>
        <w:t>针对大规模矩阵装配，程序采用Python负责流程与数据管理、Fortran负责高斯积分和核心矩阵装配的混合实现方式，同时使用稀疏COO数据结构和积分点预计算降低重复开销。</w:t>
      </w:r>
    </w:p>
    <w:p w14:paraId="433AB0F8">
      <w:pPr>
        <w:pStyle w:val="6"/>
      </w:pPr>
      <w:r>
        <w:t>热—力—超声多物理场顺序耦合技术</w:t>
      </w:r>
    </w:p>
    <w:p w14:paraId="3DA3E0D4">
      <w:pPr>
        <w:pStyle w:val="3"/>
      </w:pPr>
      <w:r>
        <w:rPr>
          <w:rFonts w:hint="eastAsia"/>
        </w:rPr>
        <w:t>技术难点：温度变化会改变材料密度、刚度、热膨胀和阻尼，并产生热应力；上述状态又会影响超声波速、传播路径、反射透射和接收信号。热过程与超声传播的时间尺度相差较大，直接采用统一时间步联合求解会带来过高计算成本。</w:t>
      </w:r>
    </w:p>
    <w:p w14:paraId="52F4EA79">
      <w:pPr>
        <w:pStyle w:val="3"/>
      </w:pPr>
      <w:r>
        <w:rPr>
          <w:rFonts w:hint="eastAsia"/>
        </w:rPr>
        <w:t>解决措施：采用单向顺序耦合。先求稳态或瞬态温度场，再按局部温度更新刚度和热应变，求解准静态或动力学力学响应，最后将温度、密度、刚度、预应力和黏性状态传递给超声模型。</w:t>
      </w:r>
    </w:p>
    <w:p w14:paraId="18D40C69">
      <w:pPr>
        <w:pStyle w:val="3"/>
      </w:pPr>
      <w:r>
        <w:rPr>
          <w:rFonts w:hint="eastAsia"/>
        </w:rPr>
        <w:t>热力动力学方程可写为：</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7457"/>
        <w:gridCol w:w="733"/>
      </w:tblGrid>
      <w:tr w14:paraId="7C87A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4" w:type="pct"/>
            <w:vAlign w:val="center"/>
          </w:tcPr>
          <w:p w14:paraId="19ECD391">
            <w:pPr>
              <w:pStyle w:val="33"/>
            </w:pPr>
          </w:p>
        </w:tc>
        <w:tc>
          <w:tcPr>
            <w:tcW w:w="4276" w:type="pct"/>
            <w:vAlign w:val="center"/>
          </w:tcPr>
          <w:p w14:paraId="2D7D16BA">
            <w:pPr>
              <w:pStyle w:val="33"/>
              <w:rPr>
                <w:i/>
              </w:rPr>
            </w:pPr>
            <m:oMathPara>
              <m:oMath>
                <m:r>
                  <m:rPr>
                    <m:sty m:val="p"/>
                  </m:rPr>
                  <w:rPr>
                    <w:rFonts w:ascii="Cambria Math" w:hAnsi="Cambria Math"/>
                  </w:rPr>
                  <m:t>M ü + C u̇ + K(T)u = fext + fth(T)</m:t>
                </m:r>
              </m:oMath>
            </m:oMathPara>
          </w:p>
        </w:tc>
        <w:tc>
          <w:tcPr>
            <w:tcW w:w="420" w:type="pct"/>
            <w:vAlign w:val="center"/>
          </w:tcPr>
          <w:p w14:paraId="32DDA820">
            <w:pPr>
              <w:pStyle w:val="33"/>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公式 \* ARABIC \s 1</w:instrText>
            </w:r>
            <w:r>
              <w:instrText xml:space="preserve"> </w:instrText>
            </w:r>
            <w:r>
              <w:fldChar w:fldCharType="separate"/>
            </w:r>
            <w:r>
              <w:t>4</w:t>
            </w:r>
            <w:r>
              <w:fldChar w:fldCharType="end"/>
            </w:r>
            <w:r>
              <w:rPr>
                <w:rFonts w:hint="eastAsia"/>
              </w:rPr>
              <w:t>)</w:t>
            </w:r>
          </w:p>
        </w:tc>
      </w:tr>
    </w:tbl>
    <w:p w14:paraId="7A8CB19E">
      <w:pPr>
        <w:pStyle w:val="33"/>
      </w:pPr>
      <w:r>
        <w:drawing>
          <wp:inline distT="0" distB="0" distL="0" distR="0">
            <wp:extent cx="5066030" cy="2292350"/>
            <wp:effectExtent l="0" t="0" r="1270" b="0"/>
            <wp:docPr id="1867542943" name="Picture 2" descr="热传导分析向热弹性分析传递温度和材料状态，热弹性分析向超声传播分析传递密度、刚度、预应力和阻尼。" title="图2  热—力—超声状态场传递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42943" name="Picture 2" descr="热传导分析向热弹性分析传递温度和材料状态，热弹性分析向超声传播分析传递密度、刚度、预应力和阻尼。" title="图2  热—力—超声状态场传递关系"/>
                    <pic:cNvPicPr>
                      <a:picLocks noChangeAspect="1"/>
                    </pic:cNvPicPr>
                  </pic:nvPicPr>
                  <pic:blipFill>
                    <a:blip r:embed="rId78"/>
                    <a:srcRect l="3294" t="18794" r="2847" b="3198"/>
                    <a:stretch>
                      <a:fillRect/>
                    </a:stretch>
                  </pic:blipFill>
                  <pic:spPr>
                    <a:xfrm>
                      <a:off x="0" y="0"/>
                      <a:ext cx="5068450" cy="2293445"/>
                    </a:xfrm>
                    <a:prstGeom prst="rect">
                      <a:avLst/>
                    </a:prstGeom>
                    <a:ln>
                      <a:noFill/>
                    </a:ln>
                  </pic:spPr>
                </pic:pic>
              </a:graphicData>
            </a:graphic>
          </wp:inline>
        </w:drawing>
      </w:r>
    </w:p>
    <w:p w14:paraId="0286EF5E">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热—力—超声状态场传递关系</w:t>
      </w:r>
    </w:p>
    <w:p w14:paraId="0D998B18">
      <w:pPr>
        <w:pStyle w:val="33"/>
      </w:pPr>
    </w:p>
    <w:p w14:paraId="5679D60F">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 xml:space="preserve"> </w:t>
      </w:r>
      <w:r>
        <w:t>多物理场数据传递字段</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7"/>
        <w:gridCol w:w="1142"/>
        <w:gridCol w:w="1605"/>
        <w:gridCol w:w="1607"/>
        <w:gridCol w:w="3063"/>
      </w:tblGrid>
      <w:tr w14:paraId="052D9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59" w:type="pct"/>
            <w:tcMar>
              <w:top w:w="80" w:type="dxa"/>
              <w:left w:w="120" w:type="dxa"/>
              <w:bottom w:w="80" w:type="dxa"/>
              <w:right w:w="120" w:type="dxa"/>
            </w:tcMar>
            <w:vAlign w:val="center"/>
          </w:tcPr>
          <w:p w14:paraId="1B15F317">
            <w:pPr>
              <w:pStyle w:val="33"/>
            </w:pPr>
            <w:r>
              <w:t>数据字段</w:t>
            </w:r>
          </w:p>
        </w:tc>
        <w:tc>
          <w:tcPr>
            <w:tcW w:w="653" w:type="pct"/>
            <w:tcMar>
              <w:top w:w="80" w:type="dxa"/>
              <w:left w:w="120" w:type="dxa"/>
              <w:bottom w:w="80" w:type="dxa"/>
              <w:right w:w="120" w:type="dxa"/>
            </w:tcMar>
            <w:vAlign w:val="center"/>
          </w:tcPr>
          <w:p w14:paraId="341B7393">
            <w:pPr>
              <w:pStyle w:val="33"/>
            </w:pPr>
            <w:r>
              <w:t>单位</w:t>
            </w:r>
          </w:p>
        </w:tc>
        <w:tc>
          <w:tcPr>
            <w:tcW w:w="918" w:type="pct"/>
            <w:tcMar>
              <w:top w:w="80" w:type="dxa"/>
              <w:left w:w="120" w:type="dxa"/>
              <w:bottom w:w="80" w:type="dxa"/>
              <w:right w:w="120" w:type="dxa"/>
            </w:tcMar>
            <w:vAlign w:val="center"/>
          </w:tcPr>
          <w:p w14:paraId="1C2DAD6A">
            <w:pPr>
              <w:pStyle w:val="33"/>
            </w:pPr>
            <w:r>
              <w:t>产生阶段</w:t>
            </w:r>
          </w:p>
        </w:tc>
        <w:tc>
          <w:tcPr>
            <w:tcW w:w="919" w:type="pct"/>
            <w:tcMar>
              <w:top w:w="80" w:type="dxa"/>
              <w:left w:w="120" w:type="dxa"/>
              <w:bottom w:w="80" w:type="dxa"/>
              <w:right w:w="120" w:type="dxa"/>
            </w:tcMar>
            <w:vAlign w:val="center"/>
          </w:tcPr>
          <w:p w14:paraId="1F627B46">
            <w:pPr>
              <w:pStyle w:val="33"/>
            </w:pPr>
            <w:r>
              <w:t>使用阶段</w:t>
            </w:r>
          </w:p>
        </w:tc>
        <w:tc>
          <w:tcPr>
            <w:tcW w:w="1751" w:type="pct"/>
            <w:tcMar>
              <w:top w:w="80" w:type="dxa"/>
              <w:left w:w="120" w:type="dxa"/>
              <w:bottom w:w="80" w:type="dxa"/>
              <w:right w:w="120" w:type="dxa"/>
            </w:tcMar>
            <w:vAlign w:val="center"/>
          </w:tcPr>
          <w:p w14:paraId="201FF603">
            <w:pPr>
              <w:pStyle w:val="33"/>
            </w:pPr>
            <w:r>
              <w:t>主要作用</w:t>
            </w:r>
          </w:p>
        </w:tc>
      </w:tr>
      <w:tr w14:paraId="6DB67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9" w:type="pct"/>
            <w:vAlign w:val="center"/>
          </w:tcPr>
          <w:p w14:paraId="4065A7C7">
            <w:pPr>
              <w:pStyle w:val="33"/>
              <w:jc w:val="both"/>
            </w:pPr>
            <w:r>
              <w:t>温度T</w:t>
            </w:r>
          </w:p>
        </w:tc>
        <w:tc>
          <w:tcPr>
            <w:tcW w:w="653" w:type="pct"/>
            <w:vAlign w:val="center"/>
          </w:tcPr>
          <w:p w14:paraId="16E246F3">
            <w:pPr>
              <w:pStyle w:val="33"/>
              <w:jc w:val="both"/>
            </w:pPr>
            <w:r>
              <w:t>K</w:t>
            </w:r>
          </w:p>
        </w:tc>
        <w:tc>
          <w:tcPr>
            <w:tcW w:w="918" w:type="pct"/>
            <w:vAlign w:val="center"/>
          </w:tcPr>
          <w:p w14:paraId="01C8A0F6">
            <w:pPr>
              <w:pStyle w:val="33"/>
              <w:jc w:val="both"/>
            </w:pPr>
            <w:r>
              <w:t>热传导</w:t>
            </w:r>
          </w:p>
        </w:tc>
        <w:tc>
          <w:tcPr>
            <w:tcW w:w="919" w:type="pct"/>
            <w:vAlign w:val="center"/>
          </w:tcPr>
          <w:p w14:paraId="08D3B831">
            <w:pPr>
              <w:pStyle w:val="33"/>
              <w:jc w:val="both"/>
            </w:pPr>
            <w:r>
              <w:t>力学、超声</w:t>
            </w:r>
          </w:p>
        </w:tc>
        <w:tc>
          <w:tcPr>
            <w:tcW w:w="1751" w:type="pct"/>
            <w:vAlign w:val="center"/>
          </w:tcPr>
          <w:p w14:paraId="3D4DD378">
            <w:pPr>
              <w:pStyle w:val="33"/>
              <w:jc w:val="both"/>
            </w:pPr>
            <w:r>
              <w:t>评价温度相关材料参数</w:t>
            </w:r>
          </w:p>
        </w:tc>
      </w:tr>
      <w:tr w14:paraId="68780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9" w:type="pct"/>
            <w:vAlign w:val="center"/>
          </w:tcPr>
          <w:p w14:paraId="0D293FFA">
            <w:pPr>
              <w:pStyle w:val="33"/>
              <w:jc w:val="both"/>
            </w:pPr>
            <w:r>
              <w:t>密度ρ</w:t>
            </w:r>
          </w:p>
        </w:tc>
        <w:tc>
          <w:tcPr>
            <w:tcW w:w="653" w:type="pct"/>
            <w:vAlign w:val="center"/>
          </w:tcPr>
          <w:p w14:paraId="02882487">
            <w:pPr>
              <w:pStyle w:val="33"/>
              <w:jc w:val="both"/>
            </w:pPr>
            <w:r>
              <w:t>kg/m³</w:t>
            </w:r>
          </w:p>
        </w:tc>
        <w:tc>
          <w:tcPr>
            <w:tcW w:w="918" w:type="pct"/>
            <w:vAlign w:val="center"/>
          </w:tcPr>
          <w:p w14:paraId="3BEE0631">
            <w:pPr>
              <w:pStyle w:val="33"/>
              <w:jc w:val="both"/>
            </w:pPr>
            <w:r>
              <w:t>材料/热分析</w:t>
            </w:r>
          </w:p>
        </w:tc>
        <w:tc>
          <w:tcPr>
            <w:tcW w:w="919" w:type="pct"/>
            <w:vAlign w:val="center"/>
          </w:tcPr>
          <w:p w14:paraId="357053A8">
            <w:pPr>
              <w:pStyle w:val="33"/>
              <w:jc w:val="both"/>
            </w:pPr>
            <w:r>
              <w:t>力学、超声</w:t>
            </w:r>
          </w:p>
        </w:tc>
        <w:tc>
          <w:tcPr>
            <w:tcW w:w="1751" w:type="pct"/>
            <w:vAlign w:val="center"/>
          </w:tcPr>
          <w:p w14:paraId="314613F2">
            <w:pPr>
              <w:pStyle w:val="33"/>
              <w:jc w:val="both"/>
            </w:pPr>
            <w:r>
              <w:t>组装质量矩阵并计算波速</w:t>
            </w:r>
          </w:p>
        </w:tc>
      </w:tr>
      <w:tr w14:paraId="2E70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9" w:type="pct"/>
            <w:vAlign w:val="center"/>
          </w:tcPr>
          <w:p w14:paraId="5F0215CB">
            <w:pPr>
              <w:pStyle w:val="33"/>
              <w:jc w:val="both"/>
            </w:pPr>
            <w:r>
              <w:t>导热张量k</w:t>
            </w:r>
          </w:p>
        </w:tc>
        <w:tc>
          <w:tcPr>
            <w:tcW w:w="653" w:type="pct"/>
            <w:vAlign w:val="center"/>
          </w:tcPr>
          <w:p w14:paraId="6E0AF2CC">
            <w:pPr>
              <w:pStyle w:val="33"/>
              <w:jc w:val="both"/>
            </w:pPr>
            <w:r>
              <w:t>W/(m·K)</w:t>
            </w:r>
          </w:p>
        </w:tc>
        <w:tc>
          <w:tcPr>
            <w:tcW w:w="918" w:type="pct"/>
            <w:vAlign w:val="center"/>
          </w:tcPr>
          <w:p w14:paraId="35116516">
            <w:pPr>
              <w:pStyle w:val="33"/>
              <w:jc w:val="both"/>
            </w:pPr>
            <w:r>
              <w:t>材料/均匀化</w:t>
            </w:r>
          </w:p>
        </w:tc>
        <w:tc>
          <w:tcPr>
            <w:tcW w:w="919" w:type="pct"/>
            <w:vAlign w:val="center"/>
          </w:tcPr>
          <w:p w14:paraId="775FC2E6">
            <w:pPr>
              <w:pStyle w:val="33"/>
              <w:jc w:val="both"/>
            </w:pPr>
            <w:r>
              <w:t>热传导</w:t>
            </w:r>
          </w:p>
        </w:tc>
        <w:tc>
          <w:tcPr>
            <w:tcW w:w="1751" w:type="pct"/>
            <w:vAlign w:val="center"/>
          </w:tcPr>
          <w:p w14:paraId="2FC4DD74">
            <w:pPr>
              <w:pStyle w:val="33"/>
              <w:jc w:val="both"/>
            </w:pPr>
            <w:r>
              <w:t>计算各向异性热流</w:t>
            </w:r>
          </w:p>
        </w:tc>
      </w:tr>
      <w:tr w14:paraId="091AD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9" w:type="pct"/>
            <w:vAlign w:val="center"/>
          </w:tcPr>
          <w:p w14:paraId="2B267FD3">
            <w:pPr>
              <w:pStyle w:val="33"/>
              <w:jc w:val="both"/>
            </w:pPr>
            <w:r>
              <w:t>弹性刚度C</w:t>
            </w:r>
          </w:p>
        </w:tc>
        <w:tc>
          <w:tcPr>
            <w:tcW w:w="653" w:type="pct"/>
            <w:vAlign w:val="center"/>
          </w:tcPr>
          <w:p w14:paraId="7F029D70">
            <w:pPr>
              <w:pStyle w:val="33"/>
              <w:jc w:val="both"/>
            </w:pPr>
            <w:r>
              <w:t>Pa</w:t>
            </w:r>
          </w:p>
        </w:tc>
        <w:tc>
          <w:tcPr>
            <w:tcW w:w="918" w:type="pct"/>
            <w:vAlign w:val="center"/>
          </w:tcPr>
          <w:p w14:paraId="225EBF16">
            <w:pPr>
              <w:pStyle w:val="33"/>
              <w:jc w:val="both"/>
            </w:pPr>
            <w:r>
              <w:t>材料/均匀化</w:t>
            </w:r>
          </w:p>
        </w:tc>
        <w:tc>
          <w:tcPr>
            <w:tcW w:w="919" w:type="pct"/>
            <w:vAlign w:val="center"/>
          </w:tcPr>
          <w:p w14:paraId="27D569F6">
            <w:pPr>
              <w:pStyle w:val="33"/>
              <w:jc w:val="both"/>
            </w:pPr>
            <w:r>
              <w:t>力学、超声</w:t>
            </w:r>
          </w:p>
        </w:tc>
        <w:tc>
          <w:tcPr>
            <w:tcW w:w="1751" w:type="pct"/>
            <w:vAlign w:val="center"/>
          </w:tcPr>
          <w:p w14:paraId="414EDA55">
            <w:pPr>
              <w:pStyle w:val="33"/>
              <w:jc w:val="both"/>
            </w:pPr>
            <w:r>
              <w:t>计算应力和弹性波传播</w:t>
            </w:r>
          </w:p>
        </w:tc>
      </w:tr>
      <w:tr w14:paraId="4E54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9" w:type="pct"/>
            <w:vAlign w:val="center"/>
          </w:tcPr>
          <w:p w14:paraId="64FD3C38">
            <w:pPr>
              <w:pStyle w:val="33"/>
              <w:jc w:val="both"/>
            </w:pPr>
            <w:r>
              <w:t>热膨胀α</w:t>
            </w:r>
          </w:p>
        </w:tc>
        <w:tc>
          <w:tcPr>
            <w:tcW w:w="653" w:type="pct"/>
            <w:vAlign w:val="center"/>
          </w:tcPr>
          <w:p w14:paraId="61FC1B90">
            <w:pPr>
              <w:pStyle w:val="33"/>
              <w:jc w:val="both"/>
            </w:pPr>
            <w:r>
              <w:t>1/K</w:t>
            </w:r>
          </w:p>
        </w:tc>
        <w:tc>
          <w:tcPr>
            <w:tcW w:w="918" w:type="pct"/>
            <w:vAlign w:val="center"/>
          </w:tcPr>
          <w:p w14:paraId="1FBA60BF">
            <w:pPr>
              <w:pStyle w:val="33"/>
              <w:jc w:val="both"/>
            </w:pPr>
            <w:r>
              <w:t>材料/均匀化</w:t>
            </w:r>
          </w:p>
        </w:tc>
        <w:tc>
          <w:tcPr>
            <w:tcW w:w="919" w:type="pct"/>
            <w:vAlign w:val="center"/>
          </w:tcPr>
          <w:p w14:paraId="4C1E3569">
            <w:pPr>
              <w:pStyle w:val="33"/>
              <w:jc w:val="both"/>
            </w:pPr>
            <w:r>
              <w:t>热力耦合</w:t>
            </w:r>
          </w:p>
        </w:tc>
        <w:tc>
          <w:tcPr>
            <w:tcW w:w="1751" w:type="pct"/>
            <w:vAlign w:val="center"/>
          </w:tcPr>
          <w:p w14:paraId="3DF3D58F">
            <w:pPr>
              <w:pStyle w:val="33"/>
              <w:jc w:val="both"/>
            </w:pPr>
            <w:r>
              <w:t>计算热应变和热应力</w:t>
            </w:r>
          </w:p>
        </w:tc>
      </w:tr>
      <w:tr w14:paraId="761E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9" w:type="pct"/>
            <w:vAlign w:val="center"/>
          </w:tcPr>
          <w:p w14:paraId="22CA88D0">
            <w:pPr>
              <w:pStyle w:val="33"/>
              <w:jc w:val="both"/>
            </w:pPr>
            <w:r>
              <w:t>预应力σ₀</w:t>
            </w:r>
          </w:p>
        </w:tc>
        <w:tc>
          <w:tcPr>
            <w:tcW w:w="653" w:type="pct"/>
            <w:vAlign w:val="center"/>
          </w:tcPr>
          <w:p w14:paraId="4EEF5AAB">
            <w:pPr>
              <w:pStyle w:val="33"/>
              <w:jc w:val="both"/>
            </w:pPr>
            <w:r>
              <w:t>Pa</w:t>
            </w:r>
          </w:p>
        </w:tc>
        <w:tc>
          <w:tcPr>
            <w:tcW w:w="918" w:type="pct"/>
            <w:vAlign w:val="center"/>
          </w:tcPr>
          <w:p w14:paraId="4F763A6C">
            <w:pPr>
              <w:pStyle w:val="33"/>
              <w:jc w:val="both"/>
            </w:pPr>
            <w:r>
              <w:t>热力耦合</w:t>
            </w:r>
          </w:p>
        </w:tc>
        <w:tc>
          <w:tcPr>
            <w:tcW w:w="919" w:type="pct"/>
            <w:vAlign w:val="center"/>
          </w:tcPr>
          <w:p w14:paraId="05AC1515">
            <w:pPr>
              <w:pStyle w:val="33"/>
              <w:jc w:val="both"/>
            </w:pPr>
            <w:r>
              <w:t>超声</w:t>
            </w:r>
          </w:p>
        </w:tc>
        <w:tc>
          <w:tcPr>
            <w:tcW w:w="1751" w:type="pct"/>
            <w:vAlign w:val="center"/>
          </w:tcPr>
          <w:p w14:paraId="35B183EC">
            <w:pPr>
              <w:pStyle w:val="33"/>
              <w:jc w:val="both"/>
            </w:pPr>
            <w:r>
              <w:t>形成几何刚度并影响波传播</w:t>
            </w:r>
          </w:p>
        </w:tc>
      </w:tr>
      <w:tr w14:paraId="4FB3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9" w:type="pct"/>
            <w:vAlign w:val="center"/>
          </w:tcPr>
          <w:p w14:paraId="14808AC1">
            <w:pPr>
              <w:pStyle w:val="33"/>
              <w:jc w:val="both"/>
            </w:pPr>
            <w:r>
              <w:t>黏性矩阵H</w:t>
            </w:r>
          </w:p>
        </w:tc>
        <w:tc>
          <w:tcPr>
            <w:tcW w:w="653" w:type="pct"/>
            <w:vAlign w:val="center"/>
          </w:tcPr>
          <w:p w14:paraId="2257C0B1">
            <w:pPr>
              <w:pStyle w:val="33"/>
              <w:jc w:val="both"/>
            </w:pPr>
            <w:r>
              <w:t>Pa·s</w:t>
            </w:r>
          </w:p>
        </w:tc>
        <w:tc>
          <w:tcPr>
            <w:tcW w:w="918" w:type="pct"/>
            <w:vAlign w:val="center"/>
          </w:tcPr>
          <w:p w14:paraId="1B881115">
            <w:pPr>
              <w:pStyle w:val="33"/>
              <w:jc w:val="both"/>
            </w:pPr>
            <w:r>
              <w:t>材料/均匀化</w:t>
            </w:r>
          </w:p>
        </w:tc>
        <w:tc>
          <w:tcPr>
            <w:tcW w:w="919" w:type="pct"/>
            <w:vAlign w:val="center"/>
          </w:tcPr>
          <w:p w14:paraId="4E0410BE">
            <w:pPr>
              <w:pStyle w:val="33"/>
              <w:jc w:val="both"/>
            </w:pPr>
            <w:r>
              <w:t>力学、超声</w:t>
            </w:r>
          </w:p>
        </w:tc>
        <w:tc>
          <w:tcPr>
            <w:tcW w:w="1751" w:type="pct"/>
            <w:vAlign w:val="center"/>
          </w:tcPr>
          <w:p w14:paraId="0D03391F">
            <w:pPr>
              <w:pStyle w:val="33"/>
              <w:jc w:val="both"/>
            </w:pPr>
            <w:r>
              <w:t>描述Kelvin-Voigt耗散</w:t>
            </w:r>
          </w:p>
        </w:tc>
      </w:tr>
      <w:tr w14:paraId="4BA3D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9" w:type="pct"/>
            <w:vAlign w:val="center"/>
          </w:tcPr>
          <w:p w14:paraId="219BEEEC">
            <w:pPr>
              <w:pStyle w:val="33"/>
              <w:jc w:val="both"/>
            </w:pPr>
            <w:r>
              <w:t>节点编号/材料组</w:t>
            </w:r>
          </w:p>
        </w:tc>
        <w:tc>
          <w:tcPr>
            <w:tcW w:w="653" w:type="pct"/>
            <w:vAlign w:val="center"/>
          </w:tcPr>
          <w:p w14:paraId="76299E23">
            <w:pPr>
              <w:pStyle w:val="33"/>
              <w:jc w:val="both"/>
            </w:pPr>
            <w:r>
              <w:t>—</w:t>
            </w:r>
          </w:p>
        </w:tc>
        <w:tc>
          <w:tcPr>
            <w:tcW w:w="918" w:type="pct"/>
            <w:vAlign w:val="center"/>
          </w:tcPr>
          <w:p w14:paraId="35A48CB7">
            <w:pPr>
              <w:pStyle w:val="33"/>
              <w:jc w:val="both"/>
            </w:pPr>
            <w:r>
              <w:t>网格及结果输出</w:t>
            </w:r>
          </w:p>
        </w:tc>
        <w:tc>
          <w:tcPr>
            <w:tcW w:w="919" w:type="pct"/>
            <w:vAlign w:val="center"/>
          </w:tcPr>
          <w:p w14:paraId="04B726D2">
            <w:pPr>
              <w:pStyle w:val="33"/>
              <w:jc w:val="both"/>
            </w:pPr>
            <w:r>
              <w:t>全部后续阶段</w:t>
            </w:r>
          </w:p>
        </w:tc>
        <w:tc>
          <w:tcPr>
            <w:tcW w:w="1751" w:type="pct"/>
            <w:vAlign w:val="center"/>
          </w:tcPr>
          <w:p w14:paraId="0158EDB5">
            <w:pPr>
              <w:pStyle w:val="33"/>
              <w:jc w:val="both"/>
            </w:pPr>
            <w:r>
              <w:t>保证跨阶段字段准确对应</w:t>
            </w:r>
          </w:p>
        </w:tc>
      </w:tr>
    </w:tbl>
    <w:p w14:paraId="6809C35E">
      <w:pPr>
        <w:pStyle w:val="6"/>
      </w:pPr>
      <w:r>
        <w:t>SiC/SiC周期纤维多尺度均匀化技术</w:t>
      </w:r>
    </w:p>
    <w:p w14:paraId="5998D73F">
      <w:pPr>
        <w:pStyle w:val="3"/>
      </w:pPr>
      <w:r>
        <w:rPr>
          <w:rFonts w:hint="eastAsia"/>
        </w:rPr>
        <w:t>技术难点：SiC/SiC复合材料的纤维尺度远小于宏观构件尺寸。在宏观试件中显式建立全部纤维会产生数量巨大的单元和自由度，而简单混合公式又难以反映纤维排列、界面性能和材料各向异性。</w:t>
      </w:r>
    </w:p>
    <w:p w14:paraId="57866D84">
      <w:pPr>
        <w:pStyle w:val="3"/>
      </w:pPr>
      <w:r>
        <w:rPr>
          <w:rFonts w:hint="eastAsia"/>
        </w:rPr>
        <w:t>解决措施：建立“周期纤维单胞—等效材料—宏观试件”的多尺度有限元方法。单胞支持方形、矩形和六角周期排列，采用严格周期匹配的T6网格。在每个温度点施加两个单位宏观温度梯度、三个独立单位宏观应变和单位温升，并在目标频带求解复刚度胞元问题。</w:t>
      </w:r>
    </w:p>
    <w:p w14:paraId="5B2454CA">
      <w:pPr>
        <w:pStyle w:val="33"/>
      </w:pPr>
      <w:r>
        <w:drawing>
          <wp:inline distT="0" distB="0" distL="0" distR="0">
            <wp:extent cx="3535680" cy="2317750"/>
            <wp:effectExtent l="0" t="0" r="7620" b="6350"/>
            <wp:docPr id="1692030798" name="Picture 3" descr="由SiC纤维、SiC基体和界面参数建立周期T6单胞，求解均匀化工况并传递至宏观等效材料域。" title="图3  SiC/SiC周期纤维多尺度分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30798" name="Picture 3" descr="由SiC纤维、SiC基体和界面参数建立周期T6单胞，求解均匀化工况并传递至宏观等效材料域。" title="图3  SiC/SiC周期纤维多尺度分析流程"/>
                    <pic:cNvPicPr>
                      <a:picLocks noChangeAspect="1"/>
                    </pic:cNvPicPr>
                  </pic:nvPicPr>
                  <pic:blipFill>
                    <a:blip r:embed="rId79"/>
                    <a:stretch>
                      <a:fillRect/>
                    </a:stretch>
                  </pic:blipFill>
                  <pic:spPr>
                    <a:xfrm>
                      <a:off x="0" y="0"/>
                      <a:ext cx="3541131" cy="2321407"/>
                    </a:xfrm>
                    <a:prstGeom prst="rect">
                      <a:avLst/>
                    </a:prstGeom>
                  </pic:spPr>
                </pic:pic>
              </a:graphicData>
            </a:graphic>
          </wp:inline>
        </w:drawing>
      </w:r>
    </w:p>
    <w:p w14:paraId="1BD5C28B">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SiC/SiC周期纤维多尺度分析流程</w:t>
      </w:r>
    </w:p>
    <w:p w14:paraId="72951D51">
      <w:pPr>
        <w:pStyle w:val="3"/>
      </w:pPr>
      <w:r>
        <w:t>等效导热与等效刚度由体积平均热流和应力计算：</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7457"/>
        <w:gridCol w:w="733"/>
      </w:tblGrid>
      <w:tr w14:paraId="14FF9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4" w:type="pct"/>
            <w:vAlign w:val="center"/>
          </w:tcPr>
          <w:p w14:paraId="5D92AFEC">
            <w:pPr>
              <w:pStyle w:val="33"/>
            </w:pPr>
          </w:p>
        </w:tc>
        <w:tc>
          <w:tcPr>
            <w:tcW w:w="4276" w:type="pct"/>
            <w:vAlign w:val="center"/>
          </w:tcPr>
          <w:p w14:paraId="5F73E88B">
            <w:pPr>
              <w:pStyle w:val="33"/>
              <w:rPr>
                <w:i/>
              </w:rPr>
            </w:pPr>
            <m:oMathPara>
              <m:oMath>
                <m:r>
                  <m:rPr>
                    <m:sty m:val="p"/>
                  </m:rPr>
                  <w:rPr>
                    <w:rFonts w:ascii="Cambria Math" w:hAnsi="Cambria Math"/>
                  </w:rPr>
                  <m:t>⟨q⟩ = −Keff ḡ，    ⟨σ⟩ = Ceff ε̄</m:t>
                </m:r>
              </m:oMath>
            </m:oMathPara>
          </w:p>
        </w:tc>
        <w:tc>
          <w:tcPr>
            <w:tcW w:w="420" w:type="pct"/>
            <w:vAlign w:val="center"/>
          </w:tcPr>
          <w:p w14:paraId="7CAD0757">
            <w:pPr>
              <w:pStyle w:val="33"/>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公式 \* ARABIC \s 1</w:instrText>
            </w:r>
            <w:r>
              <w:instrText xml:space="preserve"> </w:instrText>
            </w:r>
            <w:r>
              <w:fldChar w:fldCharType="separate"/>
            </w:r>
            <w:r>
              <w:t>5</w:t>
            </w:r>
            <w:r>
              <w:fldChar w:fldCharType="end"/>
            </w:r>
            <w:r>
              <w:rPr>
                <w:rFonts w:hint="eastAsia"/>
              </w:rPr>
              <w:t>)</w:t>
            </w:r>
          </w:p>
        </w:tc>
      </w:tr>
    </w:tbl>
    <w:p w14:paraId="2C1959A7">
      <w:pPr>
        <w:pStyle w:val="3"/>
      </w:pPr>
      <w:r>
        <w:t>等效热膨胀系数、密度和比热分别采用：</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7457"/>
        <w:gridCol w:w="733"/>
      </w:tblGrid>
      <w:tr w14:paraId="0D923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4" w:type="pct"/>
            <w:vAlign w:val="center"/>
          </w:tcPr>
          <w:p w14:paraId="6391392D">
            <w:pPr>
              <w:pStyle w:val="33"/>
            </w:pPr>
          </w:p>
        </w:tc>
        <w:tc>
          <w:tcPr>
            <w:tcW w:w="4276" w:type="pct"/>
            <w:vAlign w:val="center"/>
          </w:tcPr>
          <w:p w14:paraId="554B678F">
            <w:pPr>
              <w:pStyle w:val="33"/>
              <w:rPr>
                <w:i/>
              </w:rPr>
            </w:pPr>
            <m:oMathPara>
              <m:oMath>
                <m:r>
                  <m:rPr>
                    <m:sty m:val="p"/>
                  </m:rPr>
                  <w:rPr>
                    <w:rFonts w:ascii="Cambria Math" w:hAnsi="Cambria Math"/>
                  </w:rPr>
                  <m:t>αeff = (Ceff)⁻¹[−⟨σΔT=1⟩]</m:t>
                </m:r>
              </m:oMath>
            </m:oMathPara>
          </w:p>
        </w:tc>
        <w:tc>
          <w:tcPr>
            <w:tcW w:w="420" w:type="pct"/>
            <w:vAlign w:val="center"/>
          </w:tcPr>
          <w:p w14:paraId="48D0CE96">
            <w:pPr>
              <w:pStyle w:val="33"/>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公式 \* ARABIC \s 1</w:instrText>
            </w:r>
            <w:r>
              <w:instrText xml:space="preserve"> </w:instrText>
            </w:r>
            <w:r>
              <w:fldChar w:fldCharType="separate"/>
            </w:r>
            <w:r>
              <w:t>6</w:t>
            </w:r>
            <w:r>
              <w:fldChar w:fldCharType="end"/>
            </w:r>
            <w:r>
              <w:rPr>
                <w:rFonts w:hint="eastAsia"/>
              </w:rPr>
              <w:t>)</w:t>
            </w:r>
          </w:p>
        </w:tc>
      </w:tr>
      <w:tr w14:paraId="455CC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4" w:type="pct"/>
          </w:tcPr>
          <w:p w14:paraId="3C7184E9">
            <w:pPr>
              <w:pStyle w:val="33"/>
            </w:pPr>
          </w:p>
        </w:tc>
        <w:tc>
          <w:tcPr>
            <w:tcW w:w="4276" w:type="pct"/>
          </w:tcPr>
          <w:p w14:paraId="6A04C4C5">
            <w:pPr>
              <w:pStyle w:val="33"/>
              <w:rPr>
                <w:i/>
              </w:rPr>
            </w:pPr>
            <m:oMathPara>
              <m:oMath>
                <m:r>
                  <m:rPr>
                    <m:sty m:val="p"/>
                  </m:rPr>
                  <w:rPr>
                    <w:rFonts w:ascii="Cambria Math" w:hAnsi="Cambria Math"/>
                  </w:rPr>
                  <m:t>ρeff = Σᵣ fᵣρᵣ，    cp,eff = (Σᵣ fᵣρᵣcp,ᵣ)/ρeff</m:t>
                </m:r>
              </m:oMath>
            </m:oMathPara>
          </w:p>
        </w:tc>
        <w:tc>
          <w:tcPr>
            <w:tcW w:w="420" w:type="pct"/>
          </w:tcPr>
          <w:p w14:paraId="53FDA982">
            <w:pPr>
              <w:pStyle w:val="33"/>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公式 \* ARABIC \s 1</w:instrText>
            </w:r>
            <w:r>
              <w:instrText xml:space="preserve"> </w:instrText>
            </w:r>
            <w:r>
              <w:fldChar w:fldCharType="separate"/>
            </w:r>
            <w:r>
              <w:t>7</w:t>
            </w:r>
            <w:r>
              <w:fldChar w:fldCharType="end"/>
            </w:r>
            <w:r>
              <w:rPr>
                <w:rFonts w:hint="eastAsia"/>
              </w:rPr>
              <w:t>)</w:t>
            </w:r>
          </w:p>
        </w:tc>
      </w:tr>
    </w:tbl>
    <w:p w14:paraId="137D1747">
      <w:pPr>
        <w:pStyle w:val="3"/>
      </w:pPr>
      <w:r>
        <w:t>频域等效黏性由复刚度虚部提取：</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7457"/>
        <w:gridCol w:w="733"/>
      </w:tblGrid>
      <w:tr w14:paraId="314C5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4" w:type="pct"/>
            <w:vAlign w:val="center"/>
          </w:tcPr>
          <w:p w14:paraId="40F2C873">
            <w:pPr>
              <w:pStyle w:val="33"/>
            </w:pPr>
          </w:p>
        </w:tc>
        <w:tc>
          <w:tcPr>
            <w:tcW w:w="4276" w:type="pct"/>
            <w:vAlign w:val="center"/>
          </w:tcPr>
          <w:p w14:paraId="3D00AC75">
            <w:pPr>
              <w:pStyle w:val="33"/>
              <w:rPr>
                <w:i/>
              </w:rPr>
            </w:pPr>
            <m:oMathPara>
              <m:oMath>
                <m:r>
                  <m:rPr>
                    <m:sty m:val="p"/>
                  </m:rPr>
                  <w:rPr>
                    <w:rFonts w:ascii="Cambria Math" w:hAnsi="Cambria Math"/>
                  </w:rPr>
                  <m:t>Heff(ω) = Im[C∗eff(ω)] / ω</m:t>
                </m:r>
              </m:oMath>
            </m:oMathPara>
          </w:p>
        </w:tc>
        <w:tc>
          <w:tcPr>
            <w:tcW w:w="420" w:type="pct"/>
            <w:vAlign w:val="center"/>
          </w:tcPr>
          <w:p w14:paraId="5DE4E5AF">
            <w:pPr>
              <w:pStyle w:val="33"/>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公式 \* ARABIC \s 1</w:instrText>
            </w:r>
            <w:r>
              <w:instrText xml:space="preserve"> </w:instrText>
            </w:r>
            <w:r>
              <w:fldChar w:fldCharType="separate"/>
            </w:r>
            <w:r>
              <w:t>8</w:t>
            </w:r>
            <w:r>
              <w:fldChar w:fldCharType="end"/>
            </w:r>
            <w:r>
              <w:rPr>
                <w:rFonts w:hint="eastAsia"/>
              </w:rPr>
              <w:t>)</w:t>
            </w:r>
          </w:p>
        </w:tc>
      </w:tr>
    </w:tbl>
    <w:p w14:paraId="594AA140">
      <w:pPr>
        <w:pStyle w:val="3"/>
      </w:pPr>
      <w:r>
        <w:t>均匀化结果以温度表和频率信息传递到宏观SiC/SiC等效材料。宏观网格不再重复划分纤维和基体，同时检查单胞尺度与最短波长之比a/λmin以及最短波长内宏观单元数，保证一阶均匀化和空间离散处于适用范围。</w:t>
      </w:r>
    </w:p>
    <w:p w14:paraId="1F190731">
      <w:pPr>
        <w:pStyle w:val="6"/>
      </w:pPr>
      <w:r>
        <w:t>复合材料界面及复杂边界处理技术</w:t>
      </w:r>
    </w:p>
    <w:p w14:paraId="1E35AEB5">
      <w:pPr>
        <w:pStyle w:val="3"/>
      </w:pPr>
      <w:r>
        <w:rPr>
          <w:rFonts w:hint="eastAsia"/>
        </w:rPr>
        <w:t>技术难点：材料相界面和层间界面可能存在热接触阻力、有限连接刚度和耗散，使温度、位移及应力在界面两侧发生跳跃，并直接影响超声反射和透射。共享节点只能描述理想连续界面。</w:t>
      </w:r>
    </w:p>
    <w:p w14:paraId="0C7C094F">
      <w:pPr>
        <w:pStyle w:val="3"/>
      </w:pPr>
      <w:r>
        <w:rPr>
          <w:rFonts w:hint="eastAsia"/>
        </w:rPr>
        <w:t>解决措施：通过复制界面节点，使界面两侧具有独立温度或位移自由度；热学界面采用热导或热阻模型，力学和超声界面采用法向、切向及法切耦合弹簧与可选黏性矩阵，并对刚度正定性和阻尼半正定性进行检查。</w:t>
      </w:r>
    </w:p>
    <w:p w14:paraId="0D7DCDFB">
      <w:pPr>
        <w:pStyle w:val="3"/>
      </w:pPr>
      <w:r>
        <w:t>界面传热与界面牵引关系为：</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7457"/>
        <w:gridCol w:w="733"/>
      </w:tblGrid>
      <w:tr w14:paraId="0C781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4" w:type="pct"/>
            <w:vAlign w:val="center"/>
          </w:tcPr>
          <w:p w14:paraId="2E53C517">
            <w:pPr>
              <w:pStyle w:val="33"/>
            </w:pPr>
          </w:p>
        </w:tc>
        <w:tc>
          <w:tcPr>
            <w:tcW w:w="4276" w:type="pct"/>
            <w:vAlign w:val="center"/>
          </w:tcPr>
          <w:p w14:paraId="5EBCD1F4">
            <w:pPr>
              <w:pStyle w:val="33"/>
              <w:rPr>
                <w:i/>
              </w:rPr>
            </w:pPr>
            <m:oMathPara>
              <m:oMath>
                <m:r>
                  <m:rPr>
                    <m:sty m:val="p"/>
                  </m:rPr>
                  <w:rPr>
                    <w:rFonts w:ascii="Cambria Math" w:hAnsi="Cambria Math"/>
                  </w:rPr>
                  <m:t>qint = h(T)(T⁺−T⁻) = (T⁺−T⁻)/R(T)</m:t>
                </m:r>
              </m:oMath>
            </m:oMathPara>
          </w:p>
        </w:tc>
        <w:tc>
          <w:tcPr>
            <w:tcW w:w="420" w:type="pct"/>
            <w:vAlign w:val="center"/>
          </w:tcPr>
          <w:p w14:paraId="0CCF6C3D">
            <w:pPr>
              <w:pStyle w:val="33"/>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公式 \* ARABIC \s 1</w:instrText>
            </w:r>
            <w:r>
              <w:instrText xml:space="preserve"> </w:instrText>
            </w:r>
            <w:r>
              <w:fldChar w:fldCharType="separate"/>
            </w:r>
            <w:r>
              <w:t>9</w:t>
            </w:r>
            <w:r>
              <w:fldChar w:fldCharType="end"/>
            </w:r>
            <w:r>
              <w:rPr>
                <w:rFonts w:hint="eastAsia"/>
              </w:rPr>
              <w:t>)</w:t>
            </w:r>
          </w:p>
        </w:tc>
      </w:tr>
      <w:tr w14:paraId="04D18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4" w:type="pct"/>
            <w:vAlign w:val="center"/>
          </w:tcPr>
          <w:p w14:paraId="762B9F29">
            <w:pPr>
              <w:pStyle w:val="33"/>
            </w:pPr>
          </w:p>
        </w:tc>
        <w:tc>
          <w:tcPr>
            <w:tcW w:w="4276" w:type="pct"/>
            <w:vAlign w:val="center"/>
          </w:tcPr>
          <w:p w14:paraId="0285D12C">
            <w:pPr>
              <w:pStyle w:val="33"/>
              <w:rPr>
                <w:i/>
              </w:rPr>
            </w:pPr>
            <m:oMathPara>
              <m:oMath>
                <m:r>
                  <m:rPr>
                    <m:sty m:val="p"/>
                  </m:rPr>
                  <w:rPr>
                    <w:rFonts w:ascii="Cambria Math" w:hAnsi="Cambria Math"/>
                  </w:rPr>
                  <m:t>tnt = Knt Δunt + Cnt Δu̇nt</m:t>
                </m:r>
              </m:oMath>
            </m:oMathPara>
          </w:p>
        </w:tc>
        <w:tc>
          <w:tcPr>
            <w:tcW w:w="420" w:type="pct"/>
            <w:vAlign w:val="center"/>
          </w:tcPr>
          <w:p w14:paraId="62B64067">
            <w:pPr>
              <w:pStyle w:val="33"/>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公式 \* ARABIC \s 1</w:instrText>
            </w:r>
            <w:r>
              <w:instrText xml:space="preserve"> </w:instrText>
            </w:r>
            <w:r>
              <w:fldChar w:fldCharType="separate"/>
            </w:r>
            <w:r>
              <w:t>10</w:t>
            </w:r>
            <w:r>
              <w:fldChar w:fldCharType="end"/>
            </w:r>
            <w:r>
              <w:rPr>
                <w:rFonts w:hint="eastAsia"/>
              </w:rPr>
              <w:t>)</w:t>
            </w:r>
          </w:p>
        </w:tc>
      </w:tr>
    </w:tbl>
    <w:p w14:paraId="75C7EEEF">
      <w:pPr>
        <w:pStyle w:val="3"/>
      </w:pPr>
      <w:r>
        <w:t>外边界统一支持指定温度、热流、对流、线性化辐射、绝热、位移约束、面力和探头接触段，并通过Gmsh物理组实现材料域、界面及外边界的可靠识别。</w:t>
      </w:r>
    </w:p>
    <w:p w14:paraId="122633B3">
      <w:pPr>
        <w:pStyle w:val="6"/>
      </w:pPr>
      <w:r>
        <w:t>不同时间尺度下的数值稳定与效率控制技术</w:t>
      </w:r>
    </w:p>
    <w:p w14:paraId="5E9A0AA7">
      <w:pPr>
        <w:pStyle w:val="3"/>
      </w:pPr>
      <w:r>
        <w:rPr>
          <w:rFonts w:hint="eastAsia"/>
        </w:rPr>
        <w:t>技术难点：热传导、结构动力学和高频超声传播的时间尺度差异显著。超声显式求解受最小网格尺寸、最大方向波速和激励频率共同约束；各向异性材料的最大波速不一定沿坐标轴出现。</w:t>
      </w:r>
    </w:p>
    <w:p w14:paraId="5697A473">
      <w:pPr>
        <w:pStyle w:val="3"/>
      </w:pPr>
      <w:r>
        <w:rPr>
          <w:rFonts w:hint="eastAsia"/>
        </w:rPr>
        <w:t>解决措施：热传导采用隐式时间推进和材料非线性迭代，热力动力学采用Newmark方法；超声阶段通过声学张量方向扫描获得最大波速，并联合CFL稳定性、最短波长空间离散、激励信号采样和压电电压采样条件确定最终时间步。</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7457"/>
        <w:gridCol w:w="733"/>
      </w:tblGrid>
      <w:tr w14:paraId="43654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4" w:type="pct"/>
            <w:vAlign w:val="center"/>
          </w:tcPr>
          <w:p w14:paraId="128CAC51">
            <w:pPr>
              <w:pStyle w:val="33"/>
            </w:pPr>
          </w:p>
        </w:tc>
        <w:tc>
          <w:tcPr>
            <w:tcW w:w="4276" w:type="pct"/>
            <w:vAlign w:val="center"/>
          </w:tcPr>
          <w:p w14:paraId="39BB5F6A">
            <w:pPr>
              <w:pStyle w:val="33"/>
              <w:rPr>
                <w:i/>
              </w:rPr>
            </w:pPr>
            <m:oMathPara>
              <m:oMath>
                <m:r>
                  <m:rPr>
                    <m:sty m:val="p"/>
                  </m:rPr>
                  <w:rPr>
                    <w:rFonts w:ascii="Cambria Math" w:hAnsi="Cambria Math"/>
                  </w:rPr>
                  <m:t>Δt ≤ CFL · hmin / cmax</m:t>
                </m:r>
              </m:oMath>
            </m:oMathPara>
          </w:p>
        </w:tc>
        <w:tc>
          <w:tcPr>
            <w:tcW w:w="420" w:type="pct"/>
            <w:vAlign w:val="center"/>
          </w:tcPr>
          <w:p w14:paraId="644843FE">
            <w:pPr>
              <w:pStyle w:val="33"/>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公式 \* ARABIC \s 1</w:instrText>
            </w:r>
            <w:r>
              <w:instrText xml:space="preserve"> </w:instrText>
            </w:r>
            <w:r>
              <w:fldChar w:fldCharType="separate"/>
            </w:r>
            <w:r>
              <w:t>11</w:t>
            </w:r>
            <w:r>
              <w:fldChar w:fldCharType="end"/>
            </w:r>
            <w:r>
              <w:rPr>
                <w:rFonts w:hint="eastAsia"/>
              </w:rPr>
              <w:t>)</w:t>
            </w:r>
          </w:p>
        </w:tc>
      </w:tr>
    </w:tbl>
    <w:p w14:paraId="1EC7A3FA">
      <w:pPr>
        <w:pStyle w:val="3"/>
      </w:pPr>
      <w:r>
        <w:t>PML最大阻尼系数按照目标反射系数和吸收层厚度确定：</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7457"/>
        <w:gridCol w:w="733"/>
      </w:tblGrid>
      <w:tr w14:paraId="4E9FF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4" w:type="pct"/>
            <w:vAlign w:val="center"/>
          </w:tcPr>
          <w:p w14:paraId="6BEA6CE8">
            <w:pPr>
              <w:pStyle w:val="33"/>
            </w:pPr>
          </w:p>
        </w:tc>
        <w:tc>
          <w:tcPr>
            <w:tcW w:w="4276" w:type="pct"/>
            <w:vAlign w:val="center"/>
          </w:tcPr>
          <w:p w14:paraId="1B60FE3D">
            <w:pPr>
              <w:pStyle w:val="33"/>
              <w:rPr>
                <w:i/>
              </w:rPr>
            </w:pPr>
            <m:oMathPara>
              <m:oMath>
                <m:r>
                  <m:rPr>
                    <m:sty m:val="p"/>
                  </m:rPr>
                  <w:rPr>
                    <w:rFonts w:ascii="Cambria Math" w:hAnsi="Cambria Math"/>
                  </w:rPr>
                  <m:t>σmax = −(p+1)cref ln(R) / (2L)</m:t>
                </m:r>
              </m:oMath>
            </m:oMathPara>
          </w:p>
        </w:tc>
        <w:tc>
          <w:tcPr>
            <w:tcW w:w="420" w:type="pct"/>
            <w:vAlign w:val="center"/>
          </w:tcPr>
          <w:p w14:paraId="73062AAC">
            <w:pPr>
              <w:pStyle w:val="33"/>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公式 \* ARABIC \s 1</w:instrText>
            </w:r>
            <w:r>
              <w:instrText xml:space="preserve"> </w:instrText>
            </w:r>
            <w:r>
              <w:fldChar w:fldCharType="separate"/>
            </w:r>
            <w:r>
              <w:t>12</w:t>
            </w:r>
            <w:r>
              <w:fldChar w:fldCharType="end"/>
            </w:r>
            <w:r>
              <w:rPr>
                <w:rFonts w:hint="eastAsia"/>
              </w:rPr>
              <w:t>)</w:t>
            </w:r>
          </w:p>
        </w:tc>
      </w:tr>
    </w:tbl>
    <w:p w14:paraId="68FC21D4">
      <w:pPr>
        <w:pStyle w:val="33"/>
      </w:pPr>
      <w:r>
        <w:drawing>
          <wp:inline distT="0" distB="0" distL="0" distR="0">
            <wp:extent cx="5290185" cy="2889250"/>
            <wp:effectExtent l="0" t="0" r="5715" b="6350"/>
            <wp:docPr id="4" name="Picture 4" descr="从网格质量、方向波速、波长分辨率和时间步检查，到稀疏装配、Fortran加速、PML和运行状态监测的控制流程。" title="图4  数值稳定性与计算效率控制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从网格质量、方向波速、波长分辨率和时间步检查，到稀疏装配、Fortran加速、PML和运行状态监测的控制流程。" title="图4  数值稳定性与计算效率控制流程"/>
                    <pic:cNvPicPr>
                      <a:picLocks noChangeAspect="1"/>
                    </pic:cNvPicPr>
                  </pic:nvPicPr>
                  <pic:blipFill>
                    <a:blip r:embed="rId80"/>
                    <a:srcRect l="1999" t="4347" b="9642"/>
                    <a:stretch>
                      <a:fillRect/>
                    </a:stretch>
                  </pic:blipFill>
                  <pic:spPr>
                    <a:xfrm>
                      <a:off x="0" y="0"/>
                      <a:ext cx="5292077" cy="2890028"/>
                    </a:xfrm>
                    <a:prstGeom prst="rect">
                      <a:avLst/>
                    </a:prstGeom>
                    <a:ln>
                      <a:noFill/>
                    </a:ln>
                  </pic:spPr>
                </pic:pic>
              </a:graphicData>
            </a:graphic>
          </wp:inline>
        </w:drawing>
      </w:r>
    </w:p>
    <w:p w14:paraId="2BAAAB11">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t>数值稳定性与计算效率控制流程</w:t>
      </w:r>
    </w:p>
    <w:p w14:paraId="4D7177FA">
      <w:pPr>
        <w:pStyle w:val="6"/>
      </w:pPr>
      <w:r>
        <w:t>超声人工边界、激励及接收控制技术</w:t>
      </w:r>
    </w:p>
    <w:p w14:paraId="151492A1">
      <w:pPr>
        <w:pStyle w:val="3"/>
      </w:pPr>
      <w:r>
        <w:t>技术难点：有限计算域外边界会产生非物理反射；机械牵引源若存在非零合力或合力矩，还可能激发整体刚体运动，使低频漂移与真实弹性波响应混叠。</w:t>
      </w:r>
    </w:p>
    <w:p w14:paraId="5149F80A">
      <w:pPr>
        <w:pStyle w:val="3"/>
      </w:pPr>
      <w:r>
        <w:t>解决措施：采用PML吸收离开主域的波场，阻尼从主域交界处平滑增加至外边界，并引入阻尼矩阵、零阶矩阵和记忆变量。激励端支持力、牵引、速度、位移和tone burst；对有限孔径牵引源计算合力和力矩，并支持最小范数自平衡修正。接收端支持孔径加权，并输出原始信号、刚体运动分量及刚体扣除信号。</w:t>
      </w:r>
    </w:p>
    <w:p w14:paraId="1DBD7166">
      <w:pPr>
        <w:pStyle w:val="6"/>
      </w:pPr>
      <w:r>
        <w:t>压电换能器有限元建模技术</w:t>
      </w:r>
    </w:p>
    <w:p w14:paraId="07B420C3">
      <w:pPr>
        <w:pStyle w:val="3"/>
      </w:pPr>
      <w:r>
        <w:t>技术难点：压电换能器涉及结构位移场与电势场耦合，需要正确处理压电材料区域、电压电极、接地电极、材料极化方向以及试件—探头之间的数据衔接。</w:t>
      </w:r>
    </w:p>
    <w:p w14:paraId="24598FFD">
      <w:pPr>
        <w:pStyle w:val="3"/>
      </w:pPr>
      <w:r>
        <w:t>解决措施：建立准静态压电有限元模型，在压电材料区域求解电势自由度，通过压电耦合矩阵将电压激励转换为结构内力，并将结构变形反馈至电学方程。网格中分别定义压电面组、电压电极、接地电极和侧边界组。</w:t>
      </w:r>
    </w:p>
    <w:p w14:paraId="1AF5AAC3">
      <w:pPr>
        <w:pStyle w:val="3"/>
      </w:pPr>
      <w:r>
        <w:t>离散后的机电耦合方程可写为：</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
        <w:gridCol w:w="7405"/>
        <w:gridCol w:w="837"/>
      </w:tblGrid>
      <w:tr w14:paraId="12EF2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4" w:type="pct"/>
            <w:vAlign w:val="center"/>
          </w:tcPr>
          <w:p w14:paraId="5DA4CA1D">
            <w:pPr>
              <w:pStyle w:val="33"/>
            </w:pPr>
          </w:p>
        </w:tc>
        <w:tc>
          <w:tcPr>
            <w:tcW w:w="4246" w:type="pct"/>
            <w:vAlign w:val="center"/>
          </w:tcPr>
          <w:p w14:paraId="15EA9B1F">
            <w:pPr>
              <w:pStyle w:val="33"/>
              <w:rPr>
                <w:i/>
              </w:rPr>
            </w:pPr>
            <m:oMathPara>
              <m:oMath>
                <m:r>
                  <m:rPr>
                    <m:sty m:val="p"/>
                  </m:rPr>
                  <w:rPr>
                    <w:rFonts w:ascii="Cambria Math" w:hAnsi="Cambria Math"/>
                  </w:rPr>
                  <m:t>Kuu u + Kuφ φ = f，    Kφu u − Kφφ φ = q</m:t>
                </m:r>
              </m:oMath>
            </m:oMathPara>
          </w:p>
        </w:tc>
        <w:tc>
          <w:tcPr>
            <w:tcW w:w="480" w:type="pct"/>
            <w:vAlign w:val="center"/>
          </w:tcPr>
          <w:p w14:paraId="644DACE8">
            <w:pPr>
              <w:pStyle w:val="33"/>
            </w:pPr>
            <w:r>
              <w:rPr>
                <w:rFonts w:hint="eastAsia"/>
              </w:rPr>
              <w:t>(</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公式 \* ARABIC \s 1</w:instrText>
            </w:r>
            <w:r>
              <w:instrText xml:space="preserve"> </w:instrText>
            </w:r>
            <w:r>
              <w:fldChar w:fldCharType="separate"/>
            </w:r>
            <w:r>
              <w:t>13</w:t>
            </w:r>
            <w:r>
              <w:fldChar w:fldCharType="end"/>
            </w:r>
            <w:r>
              <w:rPr>
                <w:rFonts w:hint="eastAsia"/>
              </w:rPr>
              <w:t>)</w:t>
            </w:r>
          </w:p>
        </w:tc>
      </w:tr>
    </w:tbl>
    <w:p w14:paraId="7BA153B9">
      <w:pPr>
        <w:pStyle w:val="3"/>
      </w:pPr>
      <w:r>
        <w:t>热或热力阶段可仅求解试件区域，超声阶段再恢复包含真实探头的完整网格；缺失的探头温度由邻近试件节点插值，密度和弹性参数由压电材料配置补齐。</w:t>
      </w:r>
    </w:p>
    <w:p w14:paraId="7715C848">
      <w:pPr>
        <w:pStyle w:val="6"/>
      </w:pPr>
      <w:r>
        <w:t>一维与二维协同建模技术</w:t>
      </w:r>
    </w:p>
    <w:p w14:paraId="19B15789">
      <w:pPr>
        <w:pStyle w:val="3"/>
      </w:pPr>
      <w:r>
        <w:t>技术难点：二维模型能够描述局部热斑、复杂界面、剪切波和探头孔径，但计算成本较高；一维模型适合快速计算，却不能解析横向非均匀性和模态转换。</w:t>
      </w:r>
    </w:p>
    <w:p w14:paraId="4377F378">
      <w:pPr>
        <w:pStyle w:val="3"/>
      </w:pPr>
      <w:r>
        <w:t>解决措施：建立相互独立的一维和二维有限元求解体系。一维模块面向多层板厚度方向或杆轴方向问题，支持显式分层、等效复合材料、热接触阻力、热力耦合、纵向超声、PML和一维压电杆换能器；二维模块用于局部几何、多材料分布、复杂界面及完整波场分析。两类模型统一坐标、单位、材料基准温度和边界物理含义，形成快速分析与精细分析相结合的路径。</w:t>
      </w:r>
    </w:p>
    <w:p w14:paraId="6BC40E1E">
      <w:pPr>
        <w:pStyle w:val="6"/>
      </w:pPr>
      <w:r>
        <w:t>多物理场后处理与质量控制技术</w:t>
      </w:r>
    </w:p>
    <w:p w14:paraId="5B5E98B2">
      <w:pPr>
        <w:pStyle w:val="3"/>
      </w:pPr>
      <w:r>
        <w:t>技术难点：计算会产生温度、热流、位移、应力、应变、速度、电势和接收波形等大量数据，仅输出原始节点值难以直接支持工程判断。</w:t>
      </w:r>
    </w:p>
    <w:p w14:paraId="5714D1FC">
      <w:pPr>
        <w:pStyle w:val="3"/>
      </w:pPr>
      <w:r>
        <w:t>解决措施：统一输出CSV、VTU和PVD，可按节点、单元、监控点及用户定义曲线输出温度、温度梯度、热流、位移、应变、应力和材料参数。超声后处理支持Hilbert包络、峰值和阈值到达时间、互相关TOF、AIC到达时间、频谱、中心频率、STFT和小波时频分析。配置阶段同时检查材料单位、有效温区、物理组、边界完整性、网格质量、波长分辨率和界面参数。</w:t>
      </w:r>
    </w:p>
    <w:p w14:paraId="54C88AE9">
      <w:pPr>
        <w:pStyle w:val="5"/>
      </w:pPr>
      <w:bookmarkStart w:id="151" w:name="_Toc235910489"/>
      <w:r>
        <w:t>声学多参数融合温度场反演关键技术及解决措施</w:t>
      </w:r>
      <w:bookmarkEnd w:id="151"/>
    </w:p>
    <w:p w14:paraId="2C85E8BC">
      <w:pPr>
        <w:pStyle w:val="6"/>
      </w:pPr>
      <w:r>
        <w:t>单参数与多参数融合反演模型构建</w:t>
      </w:r>
    </w:p>
    <w:p w14:paraId="283E30D7">
      <w:pPr>
        <w:ind w:firstLine="420"/>
      </w:pPr>
      <w:r>
        <w:t>超声声时反映了声波传播路径上声速变化的积分效应，能够用于表征材料内部温度的整体变化。但是，当不同温度场在传播路径上的平均声速相近时，可能得到相似的声时结果，仅依靠声时进行反演容易出现声学信息不足和不同温度场难以区分的问题。为此，本项目在单参数声时反演的基础上，引入超声幅值相对衰减、不同波型声时以及不同回波参数，建立了声学多参数融合反演模型。</w:t>
      </w:r>
    </w:p>
    <w:p w14:paraId="74E478F3">
      <w:pPr>
        <w:ind w:firstLine="420"/>
      </w:pPr>
      <w:r>
        <w:t>针对不同材料的结构和声学传播特点，分别设置了相应的声学特征组合。对于金属基复合材料，采用纵波声时和幅值相对衰减作为反演输入；对于正交各向异性的硅基/碳基复合材料，同时采用纵波声时、横波声时和幅值比，以利用不同波型对各向异性弹性参数和温度变化的不同响应；对于多层材料，采用层间界面回波声时、试件底面回波声时以及底面回波与界面回波的幅值比，使上层材料、下层材料和层间传播过程均能够受到声学参数约束。</w:t>
      </w:r>
    </w:p>
    <w:p w14:paraId="7C01021A">
      <w:pPr>
        <w:ind w:firstLine="420"/>
      </w:pPr>
      <w:r>
        <w:t>在声学正演过程中，程序首先根据当前反演温度场计算材料的温度相关声速和衰减系数，再沿超声传播路径计算预测声时和衰减积分。幅值参数保持线性幅值比形式，不进行分贝转换。一般材料的幅值相对衰减可表示为：</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7457"/>
        <w:gridCol w:w="733"/>
      </w:tblGrid>
      <w:tr w14:paraId="2DC1A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4" w:type="pct"/>
            <w:vAlign w:val="center"/>
          </w:tcPr>
          <w:p w14:paraId="4DBA9B27">
            <w:pPr>
              <w:pStyle w:val="33"/>
            </w:pPr>
          </w:p>
        </w:tc>
        <w:tc>
          <w:tcPr>
            <w:tcW w:w="4276" w:type="pct"/>
            <w:vAlign w:val="center"/>
          </w:tcPr>
          <w:p w14:paraId="0ADEFCD1">
            <w:pPr>
              <w:pStyle w:val="36"/>
            </w:pPr>
            <m:oMathPara>
              <m:oMath>
                <m:sSub>
                  <m:sSubPr/>
                  <m:e>
                    <m:r>
                      <m:rPr/>
                      <m:t>R</m:t>
                    </m:r>
                  </m:e>
                  <m:sub>
                    <m:r>
                      <m:rPr/>
                      <m:t>pre</m:t>
                    </m:r>
                  </m:sub>
                </m:sSub>
                <m:r>
                  <m:rPr/>
                  <m:t>=exp</m:t>
                </m:r>
                <m:d>
                  <m:dPr>
                    <m:begChr m:val="["/>
                    <m:endChr m:val="]"/>
                  </m:dPr>
                  <m:e>
                    <m:r>
                      <m:rPr/>
                      <m:t>−2</m:t>
                    </m:r>
                    <m:sSub>
                      <m:sSubPr/>
                      <m:e>
                        <m:r>
                          <m:rPr/>
                          <m:t>∫</m:t>
                        </m:r>
                      </m:e>
                      <m:sub>
                        <m:r>
                          <m:rPr/>
                          <m:t>Γ</m:t>
                        </m:r>
                      </m:sub>
                    </m:sSub>
                    <m:r>
                      <m:rPr/>
                      <m:t>α(T)ds</m:t>
                    </m:r>
                  </m:e>
                </m:d>
              </m:oMath>
            </m:oMathPara>
          </w:p>
        </w:tc>
        <w:tc>
          <w:tcPr>
            <w:tcW w:w="420" w:type="pct"/>
            <w:vAlign w:val="center"/>
          </w:tcPr>
          <w:p w14:paraId="279582A4">
            <w:pPr>
              <w:pStyle w:val="33"/>
            </w:pPr>
            <w:r>
              <w:rPr>
                <w:rFonts w:hint="eastAsia"/>
              </w:rPr>
              <w:t>(</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公式 \* ARABIC \s 1 </w:instrText>
            </w:r>
            <w:r>
              <w:rPr>
                <w:rFonts w:hint="eastAsia"/>
              </w:rPr>
              <w:fldChar w:fldCharType="separate"/>
            </w:r>
            <w:r>
              <w:t>14</w:t>
            </w:r>
            <w:r>
              <w:rPr>
                <w:rFonts w:hint="eastAsia"/>
              </w:rPr>
              <w:fldChar w:fldCharType="end"/>
            </w:r>
            <w:r>
              <w:rPr>
                <w:rFonts w:hint="eastAsia"/>
              </w:rPr>
              <w:t>)</w:t>
            </w:r>
          </w:p>
        </w:tc>
      </w:tr>
    </w:tbl>
    <w:p w14:paraId="79464548">
      <w:pPr>
        <w:ind w:firstLine="420"/>
      </w:pPr>
      <w:r>
        <w:t>式中，Rₚᵣₑ为预测幅值相对衰减；α(T)为温度相关衰减系数；Γ为超声传播路径；s为路径长度；系数2表示超声波的往返传播过程。</w:t>
      </w:r>
    </w:p>
    <w:p w14:paraId="17DCD2AB">
      <w:pPr>
        <w:ind w:firstLine="420"/>
      </w:pPr>
      <w:r>
        <w:t>对于多层材料，底面回波与界面回波的预测幅值比表示为：</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7457"/>
        <w:gridCol w:w="733"/>
      </w:tblGrid>
      <w:tr w14:paraId="33D02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4" w:type="pct"/>
            <w:vAlign w:val="center"/>
          </w:tcPr>
          <w:p w14:paraId="0D8AB92D">
            <w:pPr>
              <w:pStyle w:val="33"/>
            </w:pPr>
          </w:p>
        </w:tc>
        <w:tc>
          <w:tcPr>
            <w:tcW w:w="4276" w:type="pct"/>
            <w:vAlign w:val="center"/>
          </w:tcPr>
          <w:p w14:paraId="1DEE98AA">
            <w:pPr>
              <w:spacing w:before="60" w:after="60" w:line="276" w:lineRule="auto"/>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pre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m:rPr/>
                      <w:rPr>
                        <w:rFonts w:ascii="Cambria Math" w:hAnsi="Cambria Math"/>
                      </w:rPr>
                      <m:t>2</m:t>
                    </m:r>
                    <m:d>
                      <m:dPr>
                        <m:ctrlPr>
                          <w:rPr>
                            <w:rFonts w:ascii="Cambria Math" w:hAnsi="Cambria Math"/>
                          </w:rPr>
                        </m:ctrlPr>
                      </m:dPr>
                      <m:e>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bottom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interface</m:t>
                            </m:r>
                            <m:ctrlPr>
                              <w:rPr>
                                <w:rFonts w:ascii="Cambria Math" w:hAnsi="Cambria Math"/>
                              </w:rPr>
                            </m:ctrlPr>
                          </m:sub>
                        </m:sSub>
                        <m:ctrlPr>
                          <w:rPr>
                            <w:rFonts w:ascii="Cambria Math" w:hAnsi="Cambria Math"/>
                          </w:rPr>
                        </m:ctrlPr>
                      </m:e>
                    </m:d>
                    <m:ctrlPr>
                      <w:rPr>
                        <w:rFonts w:ascii="Cambria Math" w:hAnsi="Cambria Math"/>
                      </w:rPr>
                    </m:ctrlPr>
                  </m:e>
                </m:d>
              </m:oMath>
            </m:oMathPara>
          </w:p>
        </w:tc>
        <w:tc>
          <w:tcPr>
            <w:tcW w:w="420" w:type="pct"/>
            <w:vAlign w:val="center"/>
          </w:tcPr>
          <w:p w14:paraId="656376C4">
            <w:pPr>
              <w:pStyle w:val="33"/>
            </w:pPr>
            <w:r>
              <w:rPr>
                <w:rFonts w:hint="eastAsia"/>
              </w:rPr>
              <w:t>(</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公式 \* ARABIC \s 1 </w:instrText>
            </w:r>
            <w:r>
              <w:rPr>
                <w:rFonts w:hint="eastAsia"/>
              </w:rPr>
              <w:fldChar w:fldCharType="separate"/>
            </w:r>
            <w:r>
              <w:t>15</w:t>
            </w:r>
            <w:r>
              <w:rPr>
                <w:rFonts w:hint="eastAsia"/>
              </w:rPr>
              <w:fldChar w:fldCharType="end"/>
            </w:r>
            <w:r>
              <w:rPr>
                <w:rFonts w:hint="eastAsia"/>
              </w:rPr>
              <w:t>)</w:t>
            </w:r>
          </w:p>
        </w:tc>
      </w:tr>
    </w:tbl>
    <w:p w14:paraId="52BD1F66">
      <w:pPr>
        <w:ind w:firstLine="420"/>
      </w:pPr>
      <w:r>
        <w:t>式中，</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bottom</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interface</m:t>
            </m:r>
            <m:ctrlPr>
              <w:rPr>
                <w:rFonts w:ascii="Cambria Math" w:hAnsi="Cambria Math"/>
              </w:rPr>
            </m:ctrlPr>
          </m:sub>
        </m:sSub>
      </m:oMath>
      <w:r>
        <w:t>分别为底面回波路径和界面回波路径对应的衰减积分，Cᵣ为界面反射幅值修正系数。</w:t>
      </w:r>
    </w:p>
    <w:p w14:paraId="3C6A6538">
      <w:pPr>
        <w:ind w:firstLine="420"/>
      </w:pPr>
      <w:r>
        <w:t>由于声时、幅值衰减和不同波型参数的量纲及数值范围不同，本项目采用相对残差对各类声学参数进行无量纲化，并通过权重将其组合为统一目标函数。以声时和幅值相对衰减融合为例，目标函数为：</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40"/>
        <w:gridCol w:w="780"/>
      </w:tblGrid>
      <w:tr w14:paraId="3DEC4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pct"/>
            <w:vAlign w:val="center"/>
          </w:tcPr>
          <w:p w14:paraId="58B9F507">
            <w:pPr>
              <w:spacing w:before="60" w:after="60" w:line="276" w:lineRule="auto"/>
              <w:jc w:val="center"/>
            </w:pPr>
            <m:oMathPara>
              <m:oMath>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multi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t</m:t>
                    </m:r>
                    <m:ctrlPr>
                      <w:rPr>
                        <w:rFonts w:ascii="Cambria Math" w:hAnsi="Cambria Math"/>
                      </w:rPr>
                    </m:ctrlPr>
                  </m:sub>
                </m:sSub>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reg</m:t>
                    </m:r>
                    <m:ctrlPr>
                      <w:rPr>
                        <w:rFonts w:ascii="Cambria Math" w:hAnsi="Cambria Math"/>
                      </w:rPr>
                    </m:ctrlPr>
                  </m:sub>
                </m:sSub>
              </m:oMath>
            </m:oMathPara>
          </w:p>
        </w:tc>
        <w:tc>
          <w:tcPr>
            <w:tcW w:w="420" w:type="pct"/>
            <w:vAlign w:val="center"/>
          </w:tcPr>
          <w:p w14:paraId="70F9E5A8">
            <w:pPr>
              <w:pStyle w:val="33"/>
            </w:pPr>
            <w:r>
              <w:rPr>
                <w:rFonts w:hint="eastAsia"/>
              </w:rPr>
              <w:t>(</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公式 \* ARABIC \s 1 </w:instrText>
            </w:r>
            <w:r>
              <w:rPr>
                <w:rFonts w:hint="eastAsia"/>
              </w:rPr>
              <w:fldChar w:fldCharType="separate"/>
            </w:r>
            <w:r>
              <w:t>16</w:t>
            </w:r>
            <w:r>
              <w:rPr>
                <w:rFonts w:hint="eastAsia"/>
              </w:rPr>
              <w:fldChar w:fldCharType="end"/>
            </w:r>
            <w:r>
              <w:rPr>
                <w:rFonts w:hint="eastAsia"/>
              </w:rPr>
              <w:t>)</w:t>
            </w:r>
          </w:p>
        </w:tc>
      </w:tr>
    </w:tbl>
    <w:p w14:paraId="2DA90F69">
      <w:pPr>
        <w:ind w:firstLine="420"/>
      </w:pPr>
      <w:r>
        <w:t>其中：</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40"/>
        <w:gridCol w:w="780"/>
      </w:tblGrid>
      <w:tr w14:paraId="235B7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pct"/>
            <w:vAlign w:val="center"/>
          </w:tcPr>
          <w:p w14:paraId="49C0FBB9">
            <w:pPr>
              <w:spacing w:before="60" w:after="60" w:line="276" w:lineRule="auto"/>
              <w:jc w:val="center"/>
            </w:pPr>
            <m:oMathPara>
              <m:oMath>
                <m:m>
                  <m:mPr>
                    <m:mcs>
                      <m:mc>
                        <m:mcPr>
                          <m:count m:val="1"/>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pre</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mea</m:t>
                                          </m:r>
                                          <m:ctrlPr>
                                            <w:rPr>
                                              <w:rFonts w:ascii="Cambria Math" w:hAnsi="Cambria Math"/>
                                            </w:rPr>
                                          </m:ctrlPr>
                                        </m:sup>
                                      </m:sSubSup>
                                      <m:ctrlPr>
                                        <w:rPr>
                                          <w:rFonts w:ascii="Cambria Math" w:hAnsi="Cambria Math"/>
                                        </w:rPr>
                                      </m:ctrlPr>
                                    </m:num>
                                    <m:den>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mea</m:t>
                                          </m:r>
                                          <m:ctrlPr>
                                            <w:rPr>
                                              <w:rFonts w:ascii="Cambria Math" w:hAnsi="Cambria Math"/>
                                            </w:rPr>
                                          </m:ctrlPr>
                                        </m:sup>
                                      </m:sSubSup>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r>
                        <m:rPr>
                          <m:sty m:val="p"/>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pre</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mea</m:t>
                                          </m:r>
                                          <m:ctrlPr>
                                            <w:rPr>
                                              <w:rFonts w:ascii="Cambria Math" w:hAnsi="Cambria Math"/>
                                            </w:rPr>
                                          </m:ctrlPr>
                                        </m:sup>
                                      </m:sSubSup>
                                      <m:ctrlPr>
                                        <w:rPr>
                                          <w:rFonts w:ascii="Cambria Math" w:hAnsi="Cambria Math"/>
                                        </w:rPr>
                                      </m:ctrlPr>
                                    </m:num>
                                    <m:den>
                                      <m:r>
                                        <m:rPr>
                                          <m:sty m:val="p"/>
                                        </m:rPr>
                                        <w:rPr>
                                          <w:rFonts w:ascii="Cambria Math" w:hAnsi="Cambria Math"/>
                                        </w:rPr>
                                        <m:t>max</m:t>
                                      </m:r>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mea</m:t>
                                                  </m:r>
                                                  <m:ctrlPr>
                                                    <w:rPr>
                                                      <w:rFonts w:ascii="Cambria Math" w:hAnsi="Cambria Math"/>
                                                    </w:rPr>
                                                  </m:ctrlPr>
                                                </m:sup>
                                              </m:sSubSup>
                                              <m:ctrlPr>
                                                <w:rPr>
                                                  <w:rFonts w:ascii="Cambria Math" w:hAnsi="Cambria Math"/>
                                                </w:rPr>
                                              </m:ctrlPr>
                                            </m:e>
                                          </m:d>
                                          <m:r>
                                            <m:rPr>
                                              <m:sty m:val="p"/>
                                            </m:rPr>
                                            <w:rPr>
                                              <w:rFonts w:ascii="Cambria Math" w:hAnsi="Cambria Math"/>
                                            </w:rPr>
                                            <m:t>,</m:t>
                                          </m:r>
                                          <m:r>
                                            <m:rPr/>
                                            <w:rPr>
                                              <w:rFonts w:ascii="Cambria Math" w:hAnsi="Cambria Math"/>
                                            </w:rPr>
                                            <m:t>ε</m:t>
                                          </m:r>
                                          <m:ctrlPr>
                                            <w:rPr>
                                              <w:rFonts w:ascii="Cambria Math" w:hAnsi="Cambria Math"/>
                                            </w:rPr>
                                          </m:ctrlPr>
                                        </m:e>
                                      </m:d>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r>
                        <m:rPr>
                          <m:sty m:val="p"/>
                        </m:rPr>
                        <w:rPr>
                          <w:rFonts w:ascii="Cambria Math" w:hAnsi="Cambria Math"/>
                        </w:rPr>
                        <m:t>.</m:t>
                      </m:r>
                      <m:ctrlPr>
                        <w:rPr>
                          <w:rFonts w:ascii="Cambria Math" w:hAnsi="Cambria Math"/>
                        </w:rPr>
                      </m:ctrlPr>
                    </m:e>
                  </m:mr>
                </m:m>
              </m:oMath>
            </m:oMathPara>
          </w:p>
        </w:tc>
        <w:tc>
          <w:tcPr>
            <w:tcW w:w="420" w:type="pct"/>
            <w:vAlign w:val="center"/>
          </w:tcPr>
          <w:p w14:paraId="0B85B41D">
            <w:pPr>
              <w:pStyle w:val="33"/>
            </w:pPr>
            <w:r>
              <w:rPr>
                <w:rFonts w:hint="eastAsia"/>
              </w:rPr>
              <w:t>(</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公式 \* ARABIC \s 1 </w:instrText>
            </w:r>
            <w:r>
              <w:rPr>
                <w:rFonts w:hint="eastAsia"/>
              </w:rPr>
              <w:fldChar w:fldCharType="separate"/>
            </w:r>
            <w:r>
              <w:t>17</w:t>
            </w:r>
            <w:r>
              <w:rPr>
                <w:rFonts w:hint="eastAsia"/>
              </w:rPr>
              <w:fldChar w:fldCharType="end"/>
            </w:r>
            <w:r>
              <w:rPr>
                <w:rFonts w:hint="eastAsia"/>
              </w:rPr>
              <w:t>)</w:t>
            </w:r>
          </w:p>
        </w:tc>
      </w:tr>
    </w:tbl>
    <w:p w14:paraId="05E7D4A3">
      <w:pPr>
        <w:ind w:firstLine="420"/>
      </w:pPr>
      <w:r>
        <w:t>式中，tᵢᵖʳᵉ和tᵢᵐᵉᵃ分别为预测声时和测量声时；Rᵢᵖʳᵉ和Rᵢᵐᵉᵃ分别为预测幅值参数和测量幅值参数；wₜ和wₐ分别为声时与幅值误差权重；</w:t>
      </w:r>
      <m:oMath>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reg</m:t>
            </m:r>
            <m:ctrlPr>
              <w:rPr>
                <w:rFonts w:ascii="Cambria Math" w:hAnsi="Cambria Math"/>
              </w:rPr>
            </m:ctrlPr>
          </m:sub>
        </m:sSub>
      </m:oMath>
      <w:r>
        <w:t>为平滑正则项；ε为防止分母为零设置的小量。</w:t>
      </w:r>
    </w:p>
    <w:p w14:paraId="29D5201F">
      <w:pPr>
        <w:ind w:firstLine="420"/>
      </w:pPr>
      <w:r>
        <w:t>对于正交各向异性材料，目标函数进一步表示为：</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40"/>
        <w:gridCol w:w="780"/>
      </w:tblGrid>
      <w:tr w14:paraId="6CB51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pct"/>
            <w:vAlign w:val="center"/>
          </w:tcPr>
          <w:p w14:paraId="703E13DC">
            <w:pPr>
              <w:spacing w:before="60" w:after="60" w:line="276" w:lineRule="auto"/>
              <w:jc w:val="center"/>
            </w:pPr>
            <m:oMathPara>
              <m:oMath>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multi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m:t>
                    </m:r>
                    <m:ctrlPr>
                      <w:rPr>
                        <w:rFonts w:ascii="Cambria Math" w:hAnsi="Cambria Math"/>
                      </w:rPr>
                    </m:ctrlPr>
                  </m:sub>
                </m:sSub>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λ</m:t>
                </m:r>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q</m:t>
                    </m:r>
                    <m:ctrlPr>
                      <w:rPr>
                        <w:rFonts w:ascii="Cambria Math" w:hAnsi="Cambria Math"/>
                      </w:rPr>
                    </m:ctrlPr>
                  </m:sub>
                </m:sSub>
              </m:oMath>
            </m:oMathPara>
          </w:p>
        </w:tc>
        <w:tc>
          <w:tcPr>
            <w:tcW w:w="420" w:type="pct"/>
            <w:vAlign w:val="center"/>
          </w:tcPr>
          <w:p w14:paraId="188CCD85">
            <w:pPr>
              <w:pStyle w:val="33"/>
            </w:pPr>
            <w:r>
              <w:rPr>
                <w:rFonts w:hint="eastAsia"/>
              </w:rPr>
              <w:t>(</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公式 \* ARABIC \s 1 </w:instrText>
            </w:r>
            <w:r>
              <w:rPr>
                <w:rFonts w:hint="eastAsia"/>
              </w:rPr>
              <w:fldChar w:fldCharType="separate"/>
            </w:r>
            <w:r>
              <w:t>18</w:t>
            </w:r>
            <w:r>
              <w:rPr>
                <w:rFonts w:hint="eastAsia"/>
              </w:rPr>
              <w:fldChar w:fldCharType="end"/>
            </w:r>
            <w:r>
              <w:rPr>
                <w:rFonts w:hint="eastAsia"/>
              </w:rPr>
              <w:t>)</w:t>
            </w:r>
          </w:p>
        </w:tc>
      </w:tr>
    </w:tbl>
    <w:p w14:paraId="7B6728B1">
      <w:pPr>
        <w:ind w:firstLine="420"/>
      </w:pPr>
      <w:r>
        <w:t>式中，</w:t>
      </w:r>
      <m:oMath>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L</m:t>
            </m:r>
            <m:ctrlPr>
              <w:rPr>
                <w:rFonts w:ascii="Cambria Math" w:hAnsi="Cambria Math"/>
              </w:rPr>
            </m:ctrlPr>
          </m:sub>
        </m:sSub>
      </m:oMath>
      <w:r>
        <w:t>、</w:t>
      </w:r>
      <m:oMath>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S</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A</m:t>
            </m:r>
            <m:ctrlPr>
              <w:rPr>
                <w:rFonts w:ascii="Cambria Math" w:hAnsi="Cambria Math"/>
              </w:rPr>
            </m:ctrlPr>
          </m:sub>
        </m:sSub>
      </m:oMath>
      <w:r>
        <w:t>分别为纵波声时、横波声时和幅值比的平均相对残差平方；</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A</m:t>
            </m:r>
            <m:ctrlPr>
              <w:rPr>
                <w:rFonts w:ascii="Cambria Math" w:hAnsi="Cambria Math"/>
              </w:rPr>
            </m:ctrlPr>
          </m:sub>
        </m:sSub>
      </m:oMath>
      <w:r>
        <w:t>为相应权重；</w:t>
      </w:r>
      <m:oMath>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q</m:t>
            </m:r>
            <m:ctrlPr>
              <w:rPr>
                <w:rFonts w:ascii="Cambria Math" w:hAnsi="Cambria Math"/>
              </w:rPr>
            </m:ctrlPr>
          </m:sub>
        </m:sSub>
      </m:oMath>
      <w:r>
        <w:t>为热流平滑约束。</w:t>
      </w:r>
    </w:p>
    <w:p w14:paraId="3F90F7BA">
      <w:pPr>
        <w:ind w:firstLine="420"/>
      </w:pPr>
      <w:r>
        <w:t>程序分别记录各类声学参数对应的误差分量和正则化误差，既能够输出总目标函数，也能够判断反演误差的主要来源。通过声时与幅值、纵波与横波以及界面回波与底面回波的联合使用，增加了可利用的独立声学信息，改善了单一声时参数对复杂温度场约束不足的问题。</w:t>
      </w:r>
    </w:p>
    <w:p w14:paraId="377C63ED">
      <w:pPr>
        <w:pStyle w:val="6"/>
      </w:pPr>
      <w:r>
        <w:t>温度场反演不适定性与稳定化处理</w:t>
      </w:r>
    </w:p>
    <w:p w14:paraId="3A124E45">
      <w:pPr>
        <w:ind w:firstLine="420"/>
      </w:pPr>
      <w:r>
        <w:t>温度场反演属于典型的反问题。超声测量获得的是传播路径上的积分信息，而温度场是空间连续分布，因此有限数量的声学参数通常不足以直接确定所有网格节点的温度。不同热流分布可能产生相近的声时或幅值结果，测量噪声和材料参数误差也可能在反演过程中被放大。此外，热流参数、温度场和试件厚度之间存在相关性，容易造成多解、局部最优和参数振荡。</w:t>
      </w:r>
    </w:p>
    <w:p w14:paraId="6B51785E">
      <w:pPr>
        <w:ind w:firstLine="420"/>
      </w:pPr>
      <w:r>
        <w:t>针对上述不适定性，本项目没有直接将每个温度节点作为独立反演变量，而是以边界热流控制参数作为待反演对象，通过热传导正演计算温度场。稳态一维工况采用1个热流参数，稳态二维工况采用4个空间热流控制参数；瞬态一维工况采用8个时间控制参数，瞬态二维工况采用4个空间控制点与8个时间控制点组成的32个热流参数。热流控制点之间通过线性插值构成连续热流分布，从而在保留温度场主要变化特征的同时降低未知参数维数。</w:t>
      </w:r>
    </w:p>
    <w:p w14:paraId="2F839D0B">
      <w:pPr>
        <w:ind w:firstLine="420"/>
      </w:pPr>
      <w:r>
        <w:t>对于瞬态反演，以金属基复合材料为例，20 s过程划分为50个计算时间步，时间步长为0.4 s，但仅设置8个时间控制点。程序首先在时间方向进行插值，再在二维工况下沿空间方向进行插值，得到各时间步完整的底面热流分布。通过控制点压缩，一维瞬态未知参数由50个减少为8个，二维瞬态未知参数由200个减少为32个，降低了参数间相关性和反演计算规模。</w:t>
      </w:r>
    </w:p>
    <w:p w14:paraId="672C823D">
      <w:pPr>
        <w:ind w:firstLine="420"/>
      </w:pPr>
      <w:r>
        <w:t>为抑制热流控制参数在空间和时间方向上的非物理振荡，程序引入二阶差分平滑正则项。统一目标函数写为：</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40"/>
        <w:gridCol w:w="780"/>
      </w:tblGrid>
      <w:tr w14:paraId="53198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pct"/>
            <w:vAlign w:val="center"/>
          </w:tcPr>
          <w:p w14:paraId="318D56CC">
            <w:pPr>
              <w:spacing w:before="60" w:after="60" w:line="276" w:lineRule="auto"/>
              <w:jc w:val="center"/>
            </w:pPr>
            <m:oMathPara>
              <m:oMath>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TOF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s</m:t>
                    </m:r>
                    <m:ctrlPr>
                      <w:rPr>
                        <w:rFonts w:ascii="Cambria Math" w:hAnsi="Cambria Math"/>
                      </w:rPr>
                    </m:ctrlPr>
                  </m:sub>
                </m:sSub>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space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t</m:t>
                    </m:r>
                    <m:ctrlPr>
                      <w:rPr>
                        <w:rFonts w:ascii="Cambria Math" w:hAnsi="Cambria Math"/>
                      </w:rPr>
                    </m:ctrlPr>
                  </m:sub>
                </m:sSub>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time</m:t>
                    </m:r>
                    <m:ctrlPr>
                      <w:rPr>
                        <w:rFonts w:ascii="Cambria Math" w:hAnsi="Cambria Math"/>
                      </w:rPr>
                    </m:ctrlPr>
                  </m:sub>
                </m:sSub>
              </m:oMath>
            </m:oMathPara>
          </w:p>
        </w:tc>
        <w:tc>
          <w:tcPr>
            <w:tcW w:w="420" w:type="pct"/>
            <w:vAlign w:val="center"/>
          </w:tcPr>
          <w:p w14:paraId="16479486">
            <w:pPr>
              <w:pStyle w:val="33"/>
            </w:pPr>
            <w:r>
              <w:rPr>
                <w:rFonts w:hint="eastAsia"/>
              </w:rPr>
              <w:t>(</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公式 \* ARABIC \s 1 </w:instrText>
            </w:r>
            <w:r>
              <w:rPr>
                <w:rFonts w:hint="eastAsia"/>
              </w:rPr>
              <w:fldChar w:fldCharType="separate"/>
            </w:r>
            <w:r>
              <w:t>19</w:t>
            </w:r>
            <w:r>
              <w:rPr>
                <w:rFonts w:hint="eastAsia"/>
              </w:rPr>
              <w:fldChar w:fldCharType="end"/>
            </w:r>
            <w:r>
              <w:rPr>
                <w:rFonts w:hint="eastAsia"/>
              </w:rPr>
              <w:t>)</w:t>
            </w:r>
          </w:p>
        </w:tc>
      </w:tr>
    </w:tbl>
    <w:p w14:paraId="153416F1">
      <w:pPr>
        <w:ind w:firstLine="420"/>
      </w:pPr>
      <w:r>
        <w:t>式中，</w:t>
      </w:r>
      <m:oMath>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TOF</m:t>
            </m:r>
            <m:ctrlPr>
              <w:rPr>
                <w:rFonts w:ascii="Cambria Math" w:hAnsi="Cambria Math"/>
              </w:rPr>
            </m:ctrlPr>
          </m:sub>
        </m:sSub>
      </m:oMath>
      <w:r>
        <w:t>为全体探头和全部时间步的声时相对误差平方均值；</w:t>
      </w:r>
      <m:oMath>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space</m:t>
            </m:r>
            <m:ctrlPr>
              <w:rPr>
                <w:rFonts w:ascii="Cambria Math" w:hAnsi="Cambria Math"/>
              </w:rPr>
            </m:ctrlPr>
          </m:sub>
        </m:sSub>
      </m:oMath>
      <w:r>
        <w:t>为空间方向热流平滑项；</w:t>
      </w:r>
      <m:oMath>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time</m:t>
            </m:r>
            <m:ctrlPr>
              <w:rPr>
                <w:rFonts w:ascii="Cambria Math" w:hAnsi="Cambria Math"/>
              </w:rPr>
            </m:ctrlPr>
          </m:sub>
        </m:sSub>
      </m:oMath>
      <w:r>
        <w:t>为时间方向热流平滑项；λₛ和λₜ为正则化权重。稳态工况不使用时间平滑项，一维工况不使用空间平滑项，使同一目标函数结构能够适配不同反演模式。</w:t>
      </w:r>
    </w:p>
    <w:p w14:paraId="0A60CB5C">
      <w:pPr>
        <w:ind w:firstLine="420"/>
      </w:pPr>
      <w:r>
        <w:t>程序还对热流、厚度和温度设置明确的物理上下界。优化器产生新参数后，首先进行边界投影，避免出现负热流、厚度越界或明显超过材料适用温度范围的参数。当热学求解不收敛、材料物性出现非有限值、声速不大于零、声线未到达底面、回波顺序异常或预测幅值不满足物理条件时，该候选参数被判定为无效解，并赋予较大的惩罚目标函数。</w:t>
      </w:r>
    </w:p>
    <w:p w14:paraId="3E66378D">
      <w:pPr>
        <w:ind w:firstLine="420"/>
      </w:pPr>
      <w:r>
        <w:t>在数据层面，程序对输入声时、幅值、探头编号、时间步和数据矩阵尺寸进行检查；在目标函数层面采用相对残差，降低不同参数量级的影响；在参数层面使用控制点压缩、边界约束和平滑正则化；在优化层面采用全局搜索与局部精修相结合的方法。上述措施共同提高了温度场反演的稳定性，降低了测量扰动、初始值和参数相关性对反演结果的影响。</w:t>
      </w:r>
    </w:p>
    <w:p w14:paraId="726DFFBA">
      <w:pPr>
        <w:pStyle w:val="6"/>
      </w:pPr>
      <w:r>
        <w:t>全局搜索与局部精修相结合的优化方法</w:t>
      </w:r>
    </w:p>
    <w:p w14:paraId="00F864CE">
      <w:pPr>
        <w:ind w:firstLine="420"/>
      </w:pPr>
      <w:r>
        <w:t>温度场反演目标函数需要通过热学正演、温度相关声速计算、声线追踪和声学特征计算获得，单次目标函数评价的计算成本较高。同时，目标函数具有较强非线性并可能存在多个局部极值。单独采用局部梯度方法容易受到初始参数影响，单独采用全局搜索方法则需要大量正演计算。为兼顾搜索范围、反演精度和计算效率，本项目建立了BO+FD和PSO+CG两种组合优化方法。</w:t>
      </w:r>
    </w:p>
    <w:p w14:paraId="543FEB68">
      <w:pPr>
        <w:ind w:firstLine="420"/>
      </w:pPr>
      <w:r>
        <w:t>BO+FD方法首先利用贝叶斯优化进行全局初值搜索。程序将热流参数归一化至[0,1]区间，利用初始热流和拉丁超立方样本建立初始样本集，并通过RBF核高斯过程建立目标函数代理模型。代理模型同时预测候选参数处的目标函数均值和不确定性，再利用期望改进函数选择下一组真实正演参数。候选参数由全局随机样本、低热流偏置样本、当前最优解附近样本以及多个优秀样本附近的局部样本共同组成，使贝叶斯阶段同时具备全局探索和局部利用能力。</w:t>
      </w:r>
    </w:p>
    <w:p w14:paraId="3336D3F1">
      <w:pPr>
        <w:ind w:firstLine="420"/>
      </w:pPr>
      <w:r>
        <w:t>贝叶斯优化获得较优参数后，采用有限差分进行局部精修。对第i个参数施加小扰动，梯度近似为：</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40"/>
        <w:gridCol w:w="780"/>
      </w:tblGrid>
      <w:tr w14:paraId="3AF80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pct"/>
            <w:vAlign w:val="center"/>
          </w:tcPr>
          <w:p w14:paraId="596D9DB7">
            <w:pPr>
              <w:spacing w:before="60" w:after="60" w:line="276" w:lineRule="auto"/>
              <w:jc w:val="center"/>
            </w:pPr>
            <m:oMathPara>
              <m:oMath>
                <m:f>
                  <m:fPr>
                    <m:ctrlPr>
                      <w:rPr>
                        <w:rFonts w:ascii="Cambria Math" w:hAnsi="Cambria Math"/>
                      </w:rPr>
                    </m:ctrlPr>
                  </m:fPr>
                  <m:num>
                    <m:r>
                      <m:rPr>
                        <m:sty m:val="p"/>
                      </m:rPr>
                      <w:rPr>
                        <w:rFonts w:ascii="Cambria Math" w:hAnsi="Cambria Math"/>
                      </w:rPr>
                      <m:t>∂</m:t>
                    </m:r>
                    <m:r>
                      <m:rPr/>
                      <w:rPr>
                        <w:rFonts w:ascii="Cambria Math" w:hAnsi="Cambria Math"/>
                      </w:rPr>
                      <m:t>J</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J</m:t>
                    </m:r>
                    <m:d>
                      <m:dPr>
                        <m:ctrlPr>
                          <w:rPr>
                            <w:rFonts w:ascii="Cambria Math" w:hAnsi="Cambria Math"/>
                          </w:rPr>
                        </m:ctrlPr>
                      </m:dPr>
                      <m:e>
                        <m:r>
                          <m:rPr>
                            <m:sty m:val="b"/>
                          </m:rPr>
                          <w:rPr>
                            <w:rFonts w:ascii="Cambria Math" w:hAnsi="Cambria Math"/>
                          </w:rPr>
                          <m:t>q</m:t>
                        </m:r>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J</m:t>
                    </m:r>
                    <m:d>
                      <m:dPr>
                        <m:ctrlPr>
                          <w:rPr>
                            <w:rFonts w:ascii="Cambria Math" w:hAnsi="Cambria Math"/>
                          </w:rPr>
                        </m:ctrlPr>
                      </m:dPr>
                      <m:e>
                        <m:r>
                          <m:rPr>
                            <m:sty m:val="b"/>
                          </m:rPr>
                          <w:rPr>
                            <w:rFonts w:ascii="Cambria Math" w:hAnsi="Cambria Math"/>
                          </w:rPr>
                          <m:t>q</m:t>
                        </m:r>
                        <m:ctrlPr>
                          <w:rPr>
                            <w:rFonts w:ascii="Cambria Math" w:hAnsi="Cambria Math"/>
                          </w:rPr>
                        </m:ctrlPr>
                      </m:e>
                    </m:d>
                    <m:ctrlPr>
                      <w:rPr>
                        <w:rFonts w:ascii="Cambria Math" w:hAnsi="Cambria Math"/>
                      </w:rPr>
                    </m:ctrlPr>
                  </m:num>
                  <m:den>
                    <m:r>
                      <m:rPr/>
                      <w:rPr>
                        <w:rFonts w:ascii="Cambria Math" w:hAnsi="Cambria Math"/>
                      </w:rPr>
                      <m:t>Δ</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oMath>
            </m:oMathPara>
          </w:p>
        </w:tc>
        <w:tc>
          <w:tcPr>
            <w:tcW w:w="420" w:type="pct"/>
            <w:vAlign w:val="center"/>
          </w:tcPr>
          <w:p w14:paraId="5D48552A">
            <w:pPr>
              <w:pStyle w:val="33"/>
            </w:pPr>
            <w:r>
              <w:rPr>
                <w:rFonts w:hint="eastAsia"/>
              </w:rPr>
              <w:t>(</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公式 \* ARABIC \s 1 </w:instrText>
            </w:r>
            <w:r>
              <w:rPr>
                <w:rFonts w:hint="eastAsia"/>
              </w:rPr>
              <w:fldChar w:fldCharType="separate"/>
            </w:r>
            <w:r>
              <w:t>20</w:t>
            </w:r>
            <w:r>
              <w:rPr>
                <w:rFonts w:hint="eastAsia"/>
              </w:rPr>
              <w:fldChar w:fldCharType="end"/>
            </w:r>
            <w:r>
              <w:rPr>
                <w:rFonts w:hint="eastAsia"/>
              </w:rPr>
              <w:t>)</w:t>
            </w:r>
          </w:p>
        </w:tc>
      </w:tr>
    </w:tbl>
    <w:p w14:paraId="57CCA1BA">
      <w:pPr>
        <w:ind w:firstLine="420"/>
      </w:pPr>
      <w:r>
        <w:t>当参数接近上限时，程序自动采用后向差分。有限差分梯度计算中的各参数扰动相互独立，可通过多线程或多进程并行完成。局部更新采用带边界投影的共轭搜索方向和Armijo回溯线搜索，只有候选参数能够满足目标函数下降条件时才接受更新。当共轭方向不再是下降方向时，程序自动重置为负梯度方向，并根据目标函数改善量、梯度范数和连续无明显改善次数进行提前终止。</w:t>
      </w:r>
    </w:p>
    <w:p w14:paraId="60654804">
      <w:pPr>
        <w:ind w:firstLine="420"/>
      </w:pPr>
      <w:r>
        <w:t>PSO+CG方法首先通过粒子群进行全局搜索。每个粒子表示一组热流控制参数，其速度和位置由粒子自身历史最优位置、邻域最优位置和全局最优位置共同更新。程序采用随迭代变化的惯性权重和学习系数，使搜索前期保持较大的全局探索能力，后期逐步增强局部收敛能力。针对瞬态高维热流参数，粒子初始化采用经过平滑处理的随机扰动，并利用热流粗糙度作为声时误差相近条件下的辅助评价指标。</w:t>
      </w:r>
    </w:p>
    <w:p w14:paraId="2888AD6D">
      <w:pPr>
        <w:ind w:firstLine="420"/>
      </w:pPr>
      <w:r>
        <w:t>为防止粒子群过早聚集，程序持续计算粒子群多样性。当全局最优值连续多轮未明显改善或粒子群多样性过低时，对部分较差粒子进行重启。重启粒子由全局最优粒子、优秀粒子均值、优秀粒子差分和随机平滑扰动共同生成，从而恢复搜索范围。粒子群每轮对所有粒子进行独立正演评价，程序利用进程并行缩短计算时间。</w:t>
      </w:r>
    </w:p>
    <w:p w14:paraId="1E71FEA0">
      <w:pPr>
        <w:ind w:firstLine="420"/>
      </w:pPr>
      <w:r>
        <w:t>粒子群搜索结束后，将全局最优粒子传递至共轭梯度阶段。交接过程中测试不同程度的轻度平滑处理，只有当目标函数基本不恶化且综合平滑评分改善时，才接受平滑后的热流参数。共轭梯度阶段通过有限差分计算梯度，根据当前梯度与上一迭代方向构造共轭方向，并利用声时残差沿搜索方向的变化估算步长。只有新目标函数不大于当前目标函数时才接受更新。</w:t>
      </w:r>
    </w:p>
    <w:p w14:paraId="1641F34E">
      <w:pPr>
        <w:ind w:firstLine="420"/>
      </w:pPr>
      <w:r>
        <w:t>两种组合优化方法均采用“全局搜索确定较优区域—局部方法提高反演精度”的技术路线。BO+FD适合利用较少真实正演样本建立代理模型，并在较优区域进行有限差分精修；PSO+CG适合通过多个粒子并行搜索复杂参数空间，再利用共轭梯度提高局部收敛精度。两种方法均降低了单一局部优化方法对初始值的敏感性。</w:t>
      </w:r>
    </w:p>
    <w:p w14:paraId="7B1FAD22">
      <w:pPr>
        <w:pStyle w:val="6"/>
      </w:pPr>
      <w:r>
        <w:t>温度场与试件厚度联合反演技术</w:t>
      </w:r>
    </w:p>
    <w:p w14:paraId="0941DB3B">
      <w:pPr>
        <w:ind w:firstLine="420"/>
      </w:pPr>
      <w:r>
        <w:t>超声传播时间不仅与材料内部温度有关，还与试件的实际传播距离有关。当试件厚度存在制造偏差、热膨胀或测量误差时，厚度变化和温度引起的声速变化会同时作用于声时。若在反演中将厚度固定为不准确的名义值，优化算法可能通过调整温度场补偿厚度误差，导致虽然预测声时与测量值接近，但反演温度场偏离真实结果。</w:t>
      </w:r>
    </w:p>
    <w:p w14:paraId="3E840CDF">
      <w:pPr>
        <w:ind w:firstLine="420"/>
      </w:pPr>
      <w:r>
        <w:t>为解决温度与厚度相互耦合的问题，本项目使用环境温度数据反演出预测厚度，由于试件厚度并不会随温度变化，所有后续使用预测厚度来进行温度场反演工作。</w:t>
      </w:r>
    </w:p>
    <w:p w14:paraId="6AEEA7D1">
      <w:pPr>
        <w:ind w:firstLine="420"/>
      </w:pPr>
      <w:r>
        <w:t>每组候选参数进入正演计算后，程序根据候选厚度重新建立物理坐标和温度场计算区域，再利用候选热流求解温度场。随后根据温度场计算声速分布和超声传播路径，得到预测声时或多参数声学特征。因此，厚度并不是在反演完成后进行附加修正，而是直接参与每一次热学和声学正演。</w:t>
      </w:r>
    </w:p>
    <w:p w14:paraId="60A8F0D7">
      <w:pPr>
        <w:ind w:firstLine="420"/>
      </w:pPr>
      <w:r>
        <w:t>为避免厚度变化导致网格数量和控制点位置发生不一致，程序采用归一化厚度坐标：</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40"/>
        <w:gridCol w:w="780"/>
      </w:tblGrid>
      <w:tr w14:paraId="3ED1F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pct"/>
            <w:vAlign w:val="center"/>
          </w:tcPr>
          <w:p w14:paraId="4C2C41F2">
            <w:pPr>
              <w:spacing w:before="60" w:after="60" w:line="276" w:lineRule="auto"/>
              <w:jc w:val="center"/>
              <w:rPr>
                <w:rFonts w:eastAsiaTheme="minorEastAsia"/>
                <w:i/>
              </w:rPr>
            </w:pPr>
            <m:oMathPara>
              <m:oMath>
                <m:r>
                  <m:rPr/>
                  <w:rPr>
                    <w:rFonts w:ascii="Cambria Math" w:hAnsi="Cambria Math" w:eastAsia="Cambria Math"/>
                  </w:rPr>
                  <m:t>η=</m:t>
                </m:r>
                <m:r>
                  <m:rPr/>
                  <w:rPr>
                    <w:rFonts w:ascii="Cambria Math" w:hAnsi="Cambria Math" w:eastAsiaTheme="minorEastAsia"/>
                  </w:rPr>
                  <m:t>y/H</m:t>
                </m:r>
              </m:oMath>
            </m:oMathPara>
          </w:p>
        </w:tc>
        <w:tc>
          <w:tcPr>
            <w:tcW w:w="420" w:type="pct"/>
            <w:vAlign w:val="center"/>
          </w:tcPr>
          <w:p w14:paraId="58EAB296">
            <w:pPr>
              <w:pStyle w:val="33"/>
            </w:pPr>
            <w:r>
              <w:rPr>
                <w:rFonts w:hint="eastAsia"/>
              </w:rPr>
              <w:t>(</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公式 \* ARABIC \s 1 </w:instrText>
            </w:r>
            <w:r>
              <w:rPr>
                <w:rFonts w:hint="eastAsia"/>
              </w:rPr>
              <w:fldChar w:fldCharType="separate"/>
            </w:r>
            <w:r>
              <w:t>21</w:t>
            </w:r>
            <w:r>
              <w:rPr>
                <w:rFonts w:hint="eastAsia"/>
              </w:rPr>
              <w:fldChar w:fldCharType="end"/>
            </w:r>
            <w:r>
              <w:rPr>
                <w:rFonts w:hint="eastAsia"/>
              </w:rPr>
              <w:t>)</w:t>
            </w:r>
          </w:p>
        </w:tc>
      </w:tr>
    </w:tbl>
    <w:p w14:paraId="19059554">
      <w:pPr>
        <w:ind w:firstLine="420"/>
      </w:pPr>
      <w:r>
        <w:t>其中，η</w:t>
      </w:r>
      <w:r>
        <w:rPr>
          <w:rFonts w:ascii="Cambria Math" w:hAnsi="Cambria Math" w:cs="Cambria Math"/>
        </w:rPr>
        <w:t>∈</w:t>
      </w:r>
      <w:r>
        <w:t>[0,1]为归一化厚度坐标。温度场、测温点和热流边界首先在归一化坐标下定义，再根据当前候选厚度映射至实际物理坐标。该方法能够在厚度变化时保持网格拓扑、控制点相对位置和评价点定义一致。</w:t>
      </w:r>
    </w:p>
    <w:p w14:paraId="063E8346">
      <w:pPr>
        <w:ind w:firstLine="420"/>
      </w:pPr>
      <w:r>
        <w:t>联合目标函数由声学参数误差和热流平滑项组成：</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40"/>
        <w:gridCol w:w="780"/>
      </w:tblGrid>
      <w:tr w14:paraId="7CEB4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pct"/>
            <w:vAlign w:val="center"/>
          </w:tcPr>
          <w:p w14:paraId="273EBA0C">
            <m:oMathPara>
              <m:oMath>
                <m:sSub>
                  <m:sSubPr>
                    <m:ctrlPr>
                      <w:rPr>
                        <w:rFonts w:ascii="Cambria Math" w:hAnsi="Cambria Math"/>
                        <w:i/>
                      </w:rPr>
                    </m:ctrlPr>
                  </m:sSubPr>
                  <m:e>
                    <m:r>
                      <m:rPr/>
                      <w:rPr>
                        <w:rFonts w:ascii="Cambria Math" w:hAnsi="Cambria Math"/>
                      </w:rPr>
                      <m:t>J</m:t>
                    </m:r>
                    <m:ctrlPr>
                      <w:rPr>
                        <w:rFonts w:ascii="Cambria Math" w:hAnsi="Cambria Math"/>
                        <w:i/>
                      </w:rPr>
                    </m:ctrlPr>
                  </m:e>
                  <m:sub>
                    <m:r>
                      <m:rPr/>
                      <w:rPr>
                        <w:rFonts w:ascii="Cambria Math" w:hAnsi="Cambria Math"/>
                      </w:rPr>
                      <m:t>joint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J</m:t>
                    </m:r>
                    <m:ctrlPr>
                      <w:rPr>
                        <w:rFonts w:ascii="Cambria Math" w:hAnsi="Cambria Math"/>
                        <w:i/>
                      </w:rPr>
                    </m:ctrlPr>
                  </m:e>
                  <m:sub>
                    <m:r>
                      <m:rPr/>
                      <w:rPr>
                        <w:rFonts w:ascii="Cambria Math" w:hAnsi="Cambria Math"/>
                      </w:rPr>
                      <m:t>acoustic</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λ</m:t>
                    </m:r>
                    <m:ctrlPr>
                      <w:rPr>
                        <w:rFonts w:ascii="Cambria Math" w:hAnsi="Cambria Math"/>
                        <w:i/>
                      </w:rPr>
                    </m:ctrlPr>
                  </m:e>
                  <m:sub>
                    <m:r>
                      <m:rPr/>
                      <w:rPr>
                        <w:rFonts w:ascii="Cambria Math" w:hAnsi="Cambria Math"/>
                      </w:rPr>
                      <m:t>q</m:t>
                    </m:r>
                    <m:ctrlPr>
                      <w:rPr>
                        <w:rFonts w:ascii="Cambria Math" w:hAnsi="Cambria Math"/>
                        <w:i/>
                      </w:rPr>
                    </m:ctrlPr>
                  </m:sub>
                </m:sSub>
                <m:sSub>
                  <m:sSubPr>
                    <m:ctrlPr>
                      <w:rPr>
                        <w:rFonts w:ascii="Cambria Math" w:hAnsi="Cambria Math"/>
                        <w:i/>
                      </w:rPr>
                    </m:ctrlPr>
                  </m:sSubPr>
                  <m:e>
                    <m:r>
                      <m:rPr/>
                      <w:rPr>
                        <w:rFonts w:ascii="Cambria Math" w:hAnsi="Cambria Math"/>
                      </w:rPr>
                      <m:t>J</m:t>
                    </m:r>
                    <m:ctrlPr>
                      <w:rPr>
                        <w:rFonts w:ascii="Cambria Math" w:hAnsi="Cambria Math"/>
                        <w:i/>
                      </w:rPr>
                    </m:ctrlPr>
                  </m:e>
                  <m:sub>
                    <m:r>
                      <m:rPr/>
                      <w:rPr>
                        <w:rFonts w:ascii="Cambria Math" w:hAnsi="Cambria Math"/>
                      </w:rPr>
                      <m:t>q</m:t>
                    </m:r>
                    <m:ctrlPr>
                      <w:rPr>
                        <w:rFonts w:ascii="Cambria Math" w:hAnsi="Cambria Math"/>
                        <w:i/>
                      </w:rPr>
                    </m:ctrlPr>
                  </m:sub>
                </m:sSub>
              </m:oMath>
            </m:oMathPara>
          </w:p>
        </w:tc>
        <w:tc>
          <w:tcPr>
            <w:tcW w:w="420" w:type="pct"/>
            <w:vAlign w:val="center"/>
          </w:tcPr>
          <w:p w14:paraId="2C7418E1">
            <w:pPr>
              <w:pStyle w:val="33"/>
            </w:pPr>
            <w:r>
              <w:rPr>
                <w:rFonts w:hint="eastAsia"/>
              </w:rPr>
              <w:t>(</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公式 \* ARABIC \s 1 </w:instrText>
            </w:r>
            <w:r>
              <w:rPr>
                <w:rFonts w:hint="eastAsia"/>
              </w:rPr>
              <w:fldChar w:fldCharType="separate"/>
            </w:r>
            <w:r>
              <w:t>22</w:t>
            </w:r>
            <w:r>
              <w:rPr>
                <w:rFonts w:hint="eastAsia"/>
              </w:rPr>
              <w:fldChar w:fldCharType="end"/>
            </w:r>
            <w:r>
              <w:rPr>
                <w:rFonts w:hint="eastAsia"/>
              </w:rPr>
              <w:t>)</w:t>
            </w:r>
          </w:p>
        </w:tc>
      </w:tr>
    </w:tbl>
    <w:p w14:paraId="68A66D9E">
      <w:pPr>
        <w:ind w:firstLine="420"/>
      </w:pPr>
      <w:r>
        <w:t>厚度通过传播距离、温度场计算区域和声线路径直接影响</w:t>
      </w:r>
      <m:oMath>
        <m:sSub>
          <m:sSubPr>
            <m:ctrlPr>
              <w:rPr>
                <w:rFonts w:ascii="Cambria Math" w:hAnsi="Cambria Math"/>
                <w:i/>
              </w:rPr>
            </m:ctrlPr>
          </m:sSubPr>
          <m:e>
            <m:r>
              <m:rPr/>
              <w:rPr>
                <w:rFonts w:ascii="Cambria Math" w:hAnsi="Cambria Math"/>
              </w:rPr>
              <m:t>J</m:t>
            </m:r>
            <m:ctrlPr>
              <w:rPr>
                <w:rFonts w:ascii="Cambria Math" w:hAnsi="Cambria Math"/>
                <w:i/>
              </w:rPr>
            </m:ctrlPr>
          </m:e>
          <m:sub>
            <m:r>
              <m:rPr/>
              <w:rPr>
                <w:rFonts w:ascii="Cambria Math" w:hAnsi="Cambria Math"/>
              </w:rPr>
              <m:t>acoustic</m:t>
            </m:r>
            <m:ctrlPr>
              <w:rPr>
                <w:rFonts w:ascii="Cambria Math" w:hAnsi="Cambria Math"/>
                <w:i/>
              </w:rPr>
            </m:ctrlPr>
          </m:sub>
        </m:sSub>
      </m:oMath>
      <w:r>
        <w:t>，热流参数则通过温度和声速影响声学特征。程序对厚度和热流分别设置物理上下界，并采用参数归一化减小不同量级对优化过程的影响。室温条件下的基准声时数据还用于校核厚度初值和可行范围，降低温度与厚度之间的强相关性。</w:t>
      </w:r>
    </w:p>
    <w:p w14:paraId="53C837EA">
      <w:pPr>
        <w:ind w:firstLine="420"/>
      </w:pPr>
      <w:r>
        <w:t>通过上述处理，程序实现了温度场和试件厚度的同步求解，输出反演热流、重构温度场、反演厚度、预测声学参数以及相应误差。联合反演避免了将厚度误差全部归因于温度变化，提高了复杂工况下反演结果的物理合理性。</w:t>
      </w:r>
    </w:p>
    <w:p w14:paraId="4315ECF7">
      <w:pPr>
        <w:pStyle w:val="6"/>
      </w:pPr>
      <w:r>
        <w:t>二维非均匀温度场中的弯曲声线处理</w:t>
      </w:r>
    </w:p>
    <w:p w14:paraId="3B309B38">
      <w:pPr>
        <w:ind w:firstLine="420"/>
      </w:pPr>
      <w:r>
        <w:t>材料的密度、弹性模量和声速均会随温度变化。当二维温度场在宽度方向和厚度方向上均不均匀时，材料内部形成空间变化的声速场，超声波传播方向会随局部声速梯度发生变化。若仍使用常温恒定声速和固定垂直路径计算声时，将不能准确表示高温非均匀条件下的超声传播过程。</w:t>
      </w:r>
    </w:p>
    <w:p w14:paraId="52BF84DD">
      <w:pPr>
        <w:ind w:firstLine="420"/>
      </w:pPr>
      <w:r>
        <w:t>本项目建立了“热流—温度场—声速场—声线路径—传播时间—目标函数”的动态耦合计算链。对于金属基复合材料，在平面应力条件下，纵波声速表示为：</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40"/>
        <w:gridCol w:w="780"/>
      </w:tblGrid>
      <w:tr w14:paraId="3DDDE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pct"/>
            <w:vAlign w:val="center"/>
          </w:tcPr>
          <w:p w14:paraId="1859041B">
            <w:pPr>
              <w:spacing w:before="60" w:after="60" w:line="276" w:lineRule="auto"/>
              <w:jc w:val="center"/>
            </w:pPr>
            <m:oMathPara>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rPr>
                          <m:t>E</m:t>
                        </m:r>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num>
                      <m:den>
                        <m:r>
                          <m:rPr/>
                          <w:rPr>
                            <w:rFonts w:ascii="Cambria Math" w:hAnsi="Cambria Math"/>
                          </w:rPr>
                          <m:t>ρ</m:t>
                        </m:r>
                        <m:d>
                          <m:dPr>
                            <m:ctrlPr>
                              <w:rPr>
                                <w:rFonts w:ascii="Cambria Math" w:hAnsi="Cambria Math"/>
                              </w:rPr>
                            </m:ctrlPr>
                          </m:dPr>
                          <m:e>
                            <m:r>
                              <m:rPr/>
                              <w:rPr>
                                <w:rFonts w:ascii="Cambria Math" w:hAnsi="Cambria Math"/>
                              </w:rPr>
                              <m:t>T</m:t>
                            </m:r>
                            <m:ctrlPr>
                              <w:rPr>
                                <w:rFonts w:ascii="Cambria Math" w:hAnsi="Cambria Math"/>
                              </w:rPr>
                            </m:ctrlPr>
                          </m:e>
                        </m:d>
                        <m:d>
                          <m:dPr>
                            <m:ctrlPr>
                              <w:rPr>
                                <w:rFonts w:ascii="Cambria Math" w:hAnsi="Cambria Math"/>
                              </w:rPr>
                            </m:ctrlPr>
                          </m:dPr>
                          <m:e>
                            <m:r>
                              <m:rPr/>
                              <w:rPr>
                                <w:rFonts w:ascii="Cambria Math" w:hAnsi="Cambria Math"/>
                              </w:rPr>
                              <m:t>1</m:t>
                            </m:r>
                            <m:r>
                              <m:rPr>
                                <m:sty m:val="p"/>
                              </m:rPr>
                              <w:rPr>
                                <w:rFonts w:ascii="Cambria Math" w:hAnsi="Cambria Math"/>
                              </w:rPr>
                              <m:t>−</m:t>
                            </m:r>
                            <m:sSup>
                              <m:sSupPr>
                                <m:ctrlPr>
                                  <w:rPr>
                                    <w:rFonts w:ascii="Cambria Math" w:hAnsi="Cambria Math"/>
                                  </w:rPr>
                                </m:ctrlPr>
                              </m:sSupPr>
                              <m:e>
                                <m:r>
                                  <m:rPr/>
                                  <w:rPr>
                                    <w:rFonts w:ascii="Cambria Math" w:hAnsi="Cambria Math"/>
                                  </w:rPr>
                                  <m:t>ν</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ctrlPr>
                          <w:rPr>
                            <w:rFonts w:ascii="Cambria Math" w:hAnsi="Cambria Math"/>
                          </w:rPr>
                        </m:ctrlPr>
                      </m:den>
                    </m:f>
                    <m:ctrlPr>
                      <w:rPr>
                        <w:rFonts w:ascii="Cambria Math" w:hAnsi="Cambria Math"/>
                      </w:rPr>
                    </m:ctrlPr>
                  </m:e>
                </m:rad>
              </m:oMath>
            </m:oMathPara>
          </w:p>
        </w:tc>
        <w:tc>
          <w:tcPr>
            <w:tcW w:w="420" w:type="pct"/>
            <w:vAlign w:val="center"/>
          </w:tcPr>
          <w:p w14:paraId="29FF2FEA">
            <w:pPr>
              <w:pStyle w:val="33"/>
            </w:pPr>
            <w:r>
              <w:rPr>
                <w:rFonts w:hint="eastAsia"/>
              </w:rPr>
              <w:t>(</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公式 \* ARABIC \s 1 </w:instrText>
            </w:r>
            <w:r>
              <w:rPr>
                <w:rFonts w:hint="eastAsia"/>
              </w:rPr>
              <w:fldChar w:fldCharType="separate"/>
            </w:r>
            <w:r>
              <w:t>23</w:t>
            </w:r>
            <w:r>
              <w:rPr>
                <w:rFonts w:hint="eastAsia"/>
              </w:rPr>
              <w:fldChar w:fldCharType="end"/>
            </w:r>
            <w:r>
              <w:rPr>
                <w:rFonts w:hint="eastAsia"/>
              </w:rPr>
              <w:t>)</w:t>
            </w:r>
          </w:p>
        </w:tc>
      </w:tr>
    </w:tbl>
    <w:p w14:paraId="0627191D">
      <w:pPr>
        <w:ind w:firstLine="420"/>
      </w:pPr>
      <w:r>
        <w:t>式中，</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oMath>
      <w:r>
        <w:t>为温度T下的纵波声速，单位为m/s；E(T)为温度相关弹性模量，单位为Pa；ρ(T)为温度相关密度，单位为kg/m³；ν为泊松比。程序根据当前温度场逐网格计算声速，得到空间声速场c[T(x,y)]。</w:t>
      </w:r>
    </w:p>
    <w:p w14:paraId="24FB2AE7">
      <w:pPr>
        <w:ind w:firstLine="420"/>
      </w:pPr>
      <w:r>
        <w:t>给定声线路径Γ后，超声往返回波声时表示为：</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40"/>
        <w:gridCol w:w="780"/>
      </w:tblGrid>
      <w:tr w14:paraId="4DB19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pct"/>
            <w:vAlign w:val="center"/>
          </w:tcPr>
          <w:p w14:paraId="52A9B0B1">
            <w:pPr>
              <w:spacing w:before="60" w:after="60" w:line="276" w:lineRule="auto"/>
              <w:jc w:val="center"/>
            </w:pPr>
            <m:oMathPara>
              <m:oMath>
                <m:r>
                  <m:rPr>
                    <m:sty m:val="p"/>
                  </m:rPr>
                  <w:rPr>
                    <w:rFonts w:ascii="Cambria Math" w:hAnsi="Cambria Math"/>
                  </w:rPr>
                  <m:t>TOF=</m:t>
                </m:r>
                <m:r>
                  <m:rPr/>
                  <w:rPr>
                    <w:rFonts w:ascii="Cambria Math" w:hAnsi="Cambria Math"/>
                  </w:rPr>
                  <m:t>2</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one</m:t>
                    </m:r>
                    <m:r>
                      <m:rPr>
                        <m:nor/>
                        <m:sty m:val="p"/>
                      </m:rPr>
                      <m:t>-</m:t>
                    </m:r>
                    <m:r>
                      <m:rPr>
                        <m:sty m:val="p"/>
                      </m:rPr>
                      <w:rPr>
                        <w:rFonts w:ascii="Cambria Math" w:hAnsi="Cambria Math"/>
                      </w:rPr>
                      <m:t>way</m:t>
                    </m:r>
                    <m:ctrlPr>
                      <w:rPr>
                        <w:rFonts w:ascii="Cambria Math" w:hAnsi="Cambria Math"/>
                      </w:rPr>
                    </m:ctrlPr>
                  </m:sub>
                </m:sSub>
                <m:r>
                  <m:rPr>
                    <m:sty m:val="p"/>
                  </m:rPr>
                  <w:rPr>
                    <w:rFonts w:ascii="Cambria Math" w:hAnsi="Cambria Math"/>
                  </w:rPr>
                  <m:t>=</m:t>
                </m:r>
                <m:r>
                  <m:rPr/>
                  <w:rPr>
                    <w:rFonts w:ascii="Cambria Math" w:hAnsi="Cambria Math"/>
                  </w:rPr>
                  <m:t>2</m:t>
                </m:r>
                <m:sSub>
                  <m:sSubPr>
                    <m:ctrlPr>
                      <w:rPr>
                        <w:rFonts w:ascii="Cambria Math" w:hAnsi="Cambria Math"/>
                        <w:i/>
                      </w:rPr>
                    </m:ctrlPr>
                  </m:sSubPr>
                  <m:e>
                    <m:r>
                      <m:rPr/>
                      <w:rPr>
                        <w:rFonts w:ascii="Cambria Math" w:hAnsi="Cambria Math"/>
                      </w:rPr>
                      <m:t>∫</m:t>
                    </m:r>
                    <m:ctrlPr>
                      <w:rPr>
                        <w:rFonts w:ascii="Cambria Math" w:hAnsi="Cambria Math"/>
                        <w:i/>
                      </w:rPr>
                    </m:ctrlPr>
                  </m:e>
                  <m:sub>
                    <m:r>
                      <m:rPr/>
                      <w:rPr>
                        <w:rFonts w:ascii="Cambria Math" w:hAnsi="Cambria Math"/>
                      </w:rPr>
                      <m:t>Γ</m:t>
                    </m:r>
                    <m:ctrlPr>
                      <w:rPr>
                        <w:rFonts w:ascii="Cambria Math" w:hAnsi="Cambria Math"/>
                        <w:i/>
                      </w:rPr>
                    </m:ctrlPr>
                  </m:sub>
                </m:sSub>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c</m:t>
                    </m:r>
                    <m:d>
                      <m:dPr>
                        <m:begChr m:val="["/>
                        <m:endChr m:val="]"/>
                        <m:ctrlPr>
                          <w:rPr>
                            <w:rFonts w:ascii="Cambria Math" w:hAnsi="Cambria Math"/>
                          </w:rPr>
                        </m:ctrlPr>
                      </m:dPr>
                      <m:e>
                        <m:r>
                          <m:rPr/>
                          <w:rPr>
                            <w:rFonts w:ascii="Cambria Math" w:hAnsi="Cambria Math"/>
                          </w:rPr>
                          <m:t>T</m:t>
                        </m:r>
                        <m:d>
                          <m:dPr>
                            <m:ctrlPr>
                              <w:rPr>
                                <w:rFonts w:ascii="Cambria Math" w:hAnsi="Cambria Math"/>
                              </w:rPr>
                            </m:ctrlPr>
                          </m:dPr>
                          <m:e>
                            <m:r>
                              <m:rPr/>
                              <w:rPr>
                                <w:rFonts w:ascii="Cambria Math" w:hAnsi="Cambria Math"/>
                              </w:rPr>
                              <m:t>x</m:t>
                            </m:r>
                            <m:r>
                              <m:rPr>
                                <m:sty m:val="p"/>
                              </m:rPr>
                              <w:rPr>
                                <w:rFonts w:ascii="Cambria Math" w:hAnsi="Cambria Math"/>
                              </w:rPr>
                              <m:t>,</m:t>
                            </m:r>
                            <m:r>
                              <m:rPr/>
                              <w:rPr>
                                <w:rFonts w:ascii="Cambria Math" w:hAnsi="Cambria Math"/>
                              </w:rPr>
                              <m:t>y</m:t>
                            </m:r>
                            <m:ctrlPr>
                              <w:rPr>
                                <w:rFonts w:ascii="Cambria Math" w:hAnsi="Cambria Math"/>
                              </w:rPr>
                            </m:ctrlPr>
                          </m:e>
                        </m:d>
                        <m:ctrlPr>
                          <w:rPr>
                            <w:rFonts w:ascii="Cambria Math" w:hAnsi="Cambria Math"/>
                          </w:rPr>
                        </m:ctrlPr>
                      </m:e>
                    </m:d>
                    <m:ctrlPr>
                      <w:rPr>
                        <w:rFonts w:ascii="Cambria Math" w:hAnsi="Cambria Math"/>
                      </w:rPr>
                    </m:ctrlPr>
                  </m:den>
                </m:f>
                <m:r>
                  <m:rPr>
                    <m:sty m:val="p"/>
                  </m:rPr>
                  <w:rPr>
                    <w:rFonts w:ascii="Cambria Math" w:hAnsi="Cambria Math"/>
                  </w:rPr>
                  <m:t>d</m:t>
                </m:r>
                <m:r>
                  <m:rPr/>
                  <w:rPr>
                    <w:rFonts w:ascii="Cambria Math" w:hAnsi="Cambria Math"/>
                  </w:rPr>
                  <m:t>s</m:t>
                </m:r>
              </m:oMath>
            </m:oMathPara>
          </w:p>
        </w:tc>
        <w:tc>
          <w:tcPr>
            <w:tcW w:w="420" w:type="pct"/>
            <w:vAlign w:val="center"/>
          </w:tcPr>
          <w:p w14:paraId="52EC48CC">
            <w:pPr>
              <w:pStyle w:val="33"/>
            </w:pPr>
            <w:r>
              <w:rPr>
                <w:rFonts w:hint="eastAsia"/>
              </w:rPr>
              <w:t>(</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公式 \* ARABIC \s 1 </w:instrText>
            </w:r>
            <w:r>
              <w:rPr>
                <w:rFonts w:hint="eastAsia"/>
              </w:rPr>
              <w:fldChar w:fldCharType="separate"/>
            </w:r>
            <w:r>
              <w:t>24</w:t>
            </w:r>
            <w:r>
              <w:rPr>
                <w:rFonts w:hint="eastAsia"/>
              </w:rPr>
              <w:fldChar w:fldCharType="end"/>
            </w:r>
            <w:r>
              <w:rPr>
                <w:rFonts w:hint="eastAsia"/>
              </w:rPr>
              <w:t>)</w:t>
            </w:r>
          </w:p>
        </w:tc>
      </w:tr>
    </w:tbl>
    <w:p w14:paraId="307183DB">
      <w:pPr>
        <w:ind w:firstLine="420"/>
      </w:pPr>
      <w:r>
        <w:t>式中，s为单程路径长度。该表达式同时考虑声线路径长度及路径上各位置声速的变化。</w:t>
      </w:r>
    </w:p>
    <w:p w14:paraId="0DDC386F">
      <w:pPr>
        <w:ind w:firstLine="420"/>
      </w:pPr>
      <w:r>
        <w:t>一维工况下，超声波沿选定测温线的厚度方向传播，程序在竖直路径上提取局部声速，并通过数值积分计算声时。二维工况下，程序将声线状态定义为位置、角度和累计传播时间组成的状态向量：</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40"/>
        <w:gridCol w:w="780"/>
      </w:tblGrid>
      <w:tr w14:paraId="7AC68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276" w:type="pct"/>
            <w:vAlign w:val="center"/>
          </w:tcPr>
          <w:p w14:paraId="546DC5ED">
            <w:pPr>
              <w:spacing w:before="60" w:after="60" w:line="276" w:lineRule="auto"/>
              <w:jc w:val="center"/>
            </w:pPr>
            <m:oMathPara>
              <m:oMath>
                <m:r>
                  <m:rPr>
                    <m:sty m:val="b"/>
                  </m:rPr>
                  <w:rPr>
                    <w:rFonts w:ascii="Cambria Math" w:hAnsi="Cambria Math"/>
                  </w:rPr>
                  <m:t>S</m:t>
                </m:r>
                <m:d>
                  <m:dPr>
                    <m:ctrlPr>
                      <w:rPr>
                        <w:rFonts w:ascii="Cambria Math" w:hAnsi="Cambria Math"/>
                      </w:rPr>
                    </m:ctrlPr>
                  </m:dPr>
                  <m:e>
                    <m:r>
                      <m:rPr/>
                      <w:rPr>
                        <w:rFonts w:ascii="Cambria Math" w:hAnsi="Cambria Math"/>
                      </w:rPr>
                      <m:t>s</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1"/>
                              <m:mcJc m:val="center"/>
                            </m:mcPr>
                          </m:mc>
                        </m:mcs>
                        <m:plcHide m:val="1"/>
                        <m:ctrlPr>
                          <w:rPr>
                            <w:rFonts w:ascii="Cambria Math" w:hAnsi="Cambria Math"/>
                          </w:rPr>
                        </m:ctrlPr>
                      </m:mPr>
                      <m:mr>
                        <m:e>
                          <m:r>
                            <m:rPr/>
                            <w:rPr>
                              <w:rFonts w:ascii="Cambria Math" w:hAnsi="Cambria Math"/>
                            </w:rPr>
                            <m:t>x</m:t>
                          </m:r>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e>
                      </m:mr>
                      <m:mr>
                        <m:e>
                          <m:r>
                            <m:rPr/>
                            <w:rPr>
                              <w:rFonts w:ascii="Cambria Math" w:hAnsi="Cambria Math"/>
                            </w:rPr>
                            <m:t>y</m:t>
                          </m:r>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e>
                      </m:mr>
                      <m:mr>
                        <m:e>
                          <m:r>
                            <m:rPr/>
                            <w:rPr>
                              <w:rFonts w:ascii="Cambria Math" w:hAnsi="Cambria Math"/>
                            </w:rPr>
                            <m:t>θ</m:t>
                          </m:r>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e>
                      </m:mr>
                      <m:mr>
                        <m:e>
                          <m:r>
                            <m:rPr/>
                            <w:rPr>
                              <w:rFonts w:ascii="Cambria Math" w:hAnsi="Cambria Math"/>
                            </w:rPr>
                            <m:t>t</m:t>
                          </m:r>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e>
                      </m:mr>
                    </m:m>
                    <m:ctrlPr>
                      <w:rPr>
                        <w:rFonts w:ascii="Cambria Math" w:hAnsi="Cambria Math"/>
                      </w:rPr>
                    </m:ctrlPr>
                  </m:e>
                </m:d>
              </m:oMath>
            </m:oMathPara>
          </w:p>
        </w:tc>
        <w:tc>
          <w:tcPr>
            <w:tcW w:w="420" w:type="pct"/>
            <w:vAlign w:val="center"/>
          </w:tcPr>
          <w:p w14:paraId="124EF981">
            <w:pPr>
              <w:pStyle w:val="33"/>
            </w:pPr>
            <w:r>
              <w:rPr>
                <w:rFonts w:hint="eastAsia"/>
              </w:rPr>
              <w:t>(</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公式 \* ARABIC \s 1 </w:instrText>
            </w:r>
            <w:r>
              <w:rPr>
                <w:rFonts w:hint="eastAsia"/>
              </w:rPr>
              <w:fldChar w:fldCharType="separate"/>
            </w:r>
            <w:r>
              <w:t>25</w:t>
            </w:r>
            <w:r>
              <w:rPr>
                <w:rFonts w:hint="eastAsia"/>
              </w:rPr>
              <w:fldChar w:fldCharType="end"/>
            </w:r>
            <w:r>
              <w:rPr>
                <w:rFonts w:hint="eastAsia"/>
              </w:rPr>
              <w:t>)</w:t>
            </w:r>
          </w:p>
        </w:tc>
      </w:tr>
    </w:tbl>
    <w:p w14:paraId="2E0DA9E5">
      <w:pPr>
        <w:ind w:firstLine="420"/>
      </w:pPr>
      <w:r>
        <w:t>声线微分方程为：</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40"/>
        <w:gridCol w:w="780"/>
      </w:tblGrid>
      <w:tr w14:paraId="5BE71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pct"/>
            <w:vAlign w:val="center"/>
          </w:tcPr>
          <w:p w14:paraId="5D3B9307">
            <w:pPr>
              <w:spacing w:before="60" w:after="60" w:line="276" w:lineRule="auto"/>
              <w:jc w:val="center"/>
            </w:pPr>
            <m:oMathPara>
              <m:oMath>
                <m:m>
                  <m:mPr>
                    <m:mcs>
                      <m:mc>
                        <m:mcPr>
                          <m:count m:val="1"/>
                          <m:mcJc m:val="center"/>
                        </m:mcPr>
                      </m:mc>
                    </m:mcs>
                    <m:plcHide m:val="1"/>
                    <m:ctrlPr>
                      <w:rPr>
                        <w:rFonts w:ascii="Cambria Math" w:hAnsi="Cambria Math"/>
                      </w:rPr>
                    </m:ctrlPr>
                  </m:mPr>
                  <m:mr>
                    <m:e>
                      <m:f>
                        <m:fPr>
                          <m:ctrlPr>
                            <w:rPr>
                              <w:rFonts w:ascii="Cambria Math" w:hAnsi="Cambria Math"/>
                            </w:rPr>
                          </m:ctrlPr>
                        </m:fPr>
                        <m:num>
                          <m:r>
                            <m:rPr>
                              <m:sty m:val="p"/>
                            </m:rPr>
                            <w:rPr>
                              <w:rFonts w:ascii="Cambria Math" w:hAnsi="Cambria Math"/>
                            </w:rPr>
                            <m:t>d</m:t>
                          </m:r>
                          <m:r>
                            <m:rPr/>
                            <w:rPr>
                              <w:rFonts w:ascii="Cambria Math" w:hAnsi="Cambria Math"/>
                            </w:rPr>
                            <m:t>x</m:t>
                          </m:r>
                          <m:ctrlPr>
                            <w:rPr>
                              <w:rFonts w:ascii="Cambria Math" w:hAnsi="Cambria Math"/>
                            </w:rPr>
                          </m:ctrlPr>
                        </m:num>
                        <m:den>
                          <m:r>
                            <m:rPr>
                              <m:sty m:val="p"/>
                            </m:rPr>
                            <w:rPr>
                              <w:rFonts w:ascii="Cambria Math" w:hAnsi="Cambria Math"/>
                            </w:rPr>
                            <m:t>d</m:t>
                          </m:r>
                          <m:r>
                            <m:rPr/>
                            <w:rPr>
                              <w:rFonts w:ascii="Cambria Math" w:hAnsi="Cambria Math"/>
                            </w:rPr>
                            <m:t>s</m:t>
                          </m:r>
                          <m:ctrlPr>
                            <w:rPr>
                              <w:rFonts w:ascii="Cambria Math" w:hAnsi="Cambria Math"/>
                            </w:rPr>
                          </m:ctrlPr>
                        </m:den>
                      </m:f>
                      <m:r>
                        <m:rPr>
                          <m:sty m:val="p"/>
                        </m:rPr>
                        <w:rPr>
                          <w:rFonts w:ascii="Cambria Math" w:hAnsi="Cambria Math"/>
                        </w:rPr>
                        <m:t>=cos</m:t>
                      </m:r>
                      <m:r>
                        <m:rPr/>
                        <w:rPr>
                          <w:rFonts w:ascii="Cambria Math" w:hAnsi="Cambria Math"/>
                        </w:rPr>
                        <m:t>θ</m:t>
                      </m:r>
                      <m:r>
                        <m:rPr>
                          <m:sty m:val="p"/>
                        </m:rPr>
                        <w:rPr>
                          <w:rFonts w:ascii="Cambria Math" w:hAnsi="Cambria Math"/>
                        </w:rPr>
                        <m:t>,</m:t>
                      </m:r>
                      <m:ctrlPr>
                        <w:rPr>
                          <w:rFonts w:ascii="Cambria Math" w:hAnsi="Cambria Math"/>
                        </w:rPr>
                      </m:ctrlPr>
                    </m:e>
                  </m:mr>
                  <m:mr>
                    <m:e>
                      <m:f>
                        <m:fPr>
                          <m:ctrlPr>
                            <w:rPr>
                              <w:rFonts w:ascii="Cambria Math" w:hAnsi="Cambria Math"/>
                            </w:rPr>
                          </m:ctrlPr>
                        </m:fPr>
                        <m:num>
                          <m:r>
                            <m:rPr>
                              <m:sty m:val="p"/>
                            </m:rPr>
                            <w:rPr>
                              <w:rFonts w:ascii="Cambria Math" w:hAnsi="Cambria Math"/>
                            </w:rPr>
                            <m:t>d</m:t>
                          </m:r>
                          <m:r>
                            <m:rPr/>
                            <w:rPr>
                              <w:rFonts w:ascii="Cambria Math" w:hAnsi="Cambria Math"/>
                            </w:rPr>
                            <m:t>y</m:t>
                          </m:r>
                          <m:ctrlPr>
                            <w:rPr>
                              <w:rFonts w:ascii="Cambria Math" w:hAnsi="Cambria Math"/>
                            </w:rPr>
                          </m:ctrlPr>
                        </m:num>
                        <m:den>
                          <m:r>
                            <m:rPr>
                              <m:sty m:val="p"/>
                            </m:rPr>
                            <w:rPr>
                              <w:rFonts w:ascii="Cambria Math" w:hAnsi="Cambria Math"/>
                            </w:rPr>
                            <m:t>d</m:t>
                          </m:r>
                          <m:r>
                            <m:rPr/>
                            <w:rPr>
                              <w:rFonts w:ascii="Cambria Math" w:hAnsi="Cambria Math"/>
                            </w:rPr>
                            <m:t>s</m:t>
                          </m:r>
                          <m:ctrlPr>
                            <w:rPr>
                              <w:rFonts w:ascii="Cambria Math" w:hAnsi="Cambria Math"/>
                            </w:rPr>
                          </m:ctrlPr>
                        </m:den>
                      </m:f>
                      <m:r>
                        <m:rPr>
                          <m:sty m:val="p"/>
                        </m:rPr>
                        <w:rPr>
                          <w:rFonts w:ascii="Cambria Math" w:hAnsi="Cambria Math"/>
                        </w:rPr>
                        <m:t>=sin</m:t>
                      </m:r>
                      <m:r>
                        <m:rPr/>
                        <w:rPr>
                          <w:rFonts w:ascii="Cambria Math" w:hAnsi="Cambria Math"/>
                        </w:rPr>
                        <m:t>θ</m:t>
                      </m:r>
                      <m:r>
                        <m:rPr>
                          <m:sty m:val="p"/>
                        </m:rPr>
                        <w:rPr>
                          <w:rFonts w:ascii="Cambria Math" w:hAnsi="Cambria Math"/>
                        </w:rPr>
                        <m:t>,</m:t>
                      </m:r>
                      <m:ctrlPr>
                        <w:rPr>
                          <w:rFonts w:ascii="Cambria Math" w:hAnsi="Cambria Math"/>
                        </w:rPr>
                      </m:ctrlPr>
                    </m:e>
                  </m:mr>
                  <m:mr>
                    <m:e>
                      <m:f>
                        <m:fPr>
                          <m:ctrlPr>
                            <w:rPr>
                              <w:rFonts w:ascii="Cambria Math" w:hAnsi="Cambria Math"/>
                            </w:rPr>
                          </m:ctrlPr>
                        </m:fPr>
                        <m:num>
                          <m:r>
                            <m:rPr>
                              <m:sty m:val="p"/>
                            </m:rPr>
                            <w:rPr>
                              <w:rFonts w:ascii="Cambria Math" w:hAnsi="Cambria Math"/>
                            </w:rPr>
                            <m:t>d</m:t>
                          </m:r>
                          <m:r>
                            <m:rPr/>
                            <w:rPr>
                              <w:rFonts w:ascii="Cambria Math" w:hAnsi="Cambria Math"/>
                            </w:rPr>
                            <m:t>θ</m:t>
                          </m:r>
                          <m:ctrlPr>
                            <w:rPr>
                              <w:rFonts w:ascii="Cambria Math" w:hAnsi="Cambria Math"/>
                            </w:rPr>
                          </m:ctrlPr>
                        </m:num>
                        <m:den>
                          <m:r>
                            <m:rPr>
                              <m:sty m:val="p"/>
                            </m:rPr>
                            <w:rPr>
                              <w:rFonts w:ascii="Cambria Math" w:hAnsi="Cambria Math"/>
                            </w:rPr>
                            <m:t>d</m:t>
                          </m:r>
                          <m:r>
                            <m:rPr/>
                            <w:rPr>
                              <w:rFonts w:ascii="Cambria Math" w:hAnsi="Cambria Math"/>
                            </w:rPr>
                            <m:t>s</m:t>
                          </m:r>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sin</m:t>
                          </m:r>
                          <m:r>
                            <m:rPr/>
                            <w:rPr>
                              <w:rFonts w:ascii="Cambria Math" w:hAnsi="Cambria Math"/>
                            </w:rPr>
                            <m:t>θ </m:t>
                          </m:r>
                          <m:f>
                            <m:fPr>
                              <m:ctrlPr>
                                <w:rPr>
                                  <w:rFonts w:ascii="Cambria Math" w:hAnsi="Cambria Math"/>
                                </w:rPr>
                              </m:ctrlPr>
                            </m:fPr>
                            <m:num>
                              <m:r>
                                <m:rPr>
                                  <m:sty m:val="p"/>
                                </m:rPr>
                                <w:rPr>
                                  <w:rFonts w:ascii="Cambria Math" w:hAnsi="Cambria Math"/>
                                </w:rPr>
                                <m:t>∂</m:t>
                              </m:r>
                              <m:r>
                                <m:rPr/>
                                <w:rPr>
                                  <w:rFonts w:ascii="Cambria Math" w:hAnsi="Cambria Math"/>
                                </w:rPr>
                                <m:t>c</m:t>
                              </m:r>
                              <m:ctrlPr>
                                <w:rPr>
                                  <w:rFonts w:ascii="Cambria Math" w:hAnsi="Cambria Math"/>
                                </w:rPr>
                              </m:ctrlPr>
                            </m:num>
                            <m:den>
                              <m:r>
                                <m:rPr>
                                  <m:sty m:val="p"/>
                                </m:rPr>
                                <w:rPr>
                                  <w:rFonts w:ascii="Cambria Math" w:hAnsi="Cambria Math"/>
                                </w:rPr>
                                <m:t>∂</m:t>
                              </m:r>
                              <m:r>
                                <m:rPr/>
                                <w:rPr>
                                  <w:rFonts w:ascii="Cambria Math" w:hAnsi="Cambria Math"/>
                                </w:rPr>
                                <m:t>x</m:t>
                              </m:r>
                              <m:ctrlPr>
                                <w:rPr>
                                  <w:rFonts w:ascii="Cambria Math" w:hAnsi="Cambria Math"/>
                                </w:rPr>
                              </m:ctrlPr>
                            </m:den>
                          </m:f>
                          <m:r>
                            <m:rPr>
                              <m:sty m:val="p"/>
                            </m:rPr>
                            <w:rPr>
                              <w:rFonts w:ascii="Cambria Math" w:hAnsi="Cambria Math"/>
                            </w:rPr>
                            <m:t>−cos</m:t>
                          </m:r>
                          <m:r>
                            <m:rPr/>
                            <w:rPr>
                              <w:rFonts w:ascii="Cambria Math" w:hAnsi="Cambria Math"/>
                            </w:rPr>
                            <m:t>θ </m:t>
                          </m:r>
                          <m:f>
                            <m:fPr>
                              <m:ctrlPr>
                                <w:rPr>
                                  <w:rFonts w:ascii="Cambria Math" w:hAnsi="Cambria Math"/>
                                </w:rPr>
                              </m:ctrlPr>
                            </m:fPr>
                            <m:num>
                              <m:r>
                                <m:rPr>
                                  <m:sty m:val="p"/>
                                </m:rPr>
                                <w:rPr>
                                  <w:rFonts w:ascii="Cambria Math" w:hAnsi="Cambria Math"/>
                                </w:rPr>
                                <m:t>∂</m:t>
                              </m:r>
                              <m:r>
                                <m:rPr/>
                                <w:rPr>
                                  <w:rFonts w:ascii="Cambria Math" w:hAnsi="Cambria Math"/>
                                </w:rPr>
                                <m:t>c</m:t>
                              </m:r>
                              <m:ctrlPr>
                                <w:rPr>
                                  <w:rFonts w:ascii="Cambria Math" w:hAnsi="Cambria Math"/>
                                </w:rPr>
                              </m:ctrlPr>
                            </m:num>
                            <m:den>
                              <m:r>
                                <m:rPr>
                                  <m:sty m:val="p"/>
                                </m:rPr>
                                <w:rPr>
                                  <w:rFonts w:ascii="Cambria Math" w:hAnsi="Cambria Math"/>
                                </w:rPr>
                                <m:t>∂</m:t>
                              </m:r>
                              <m:r>
                                <m:rPr/>
                                <w:rPr>
                                  <w:rFonts w:ascii="Cambria Math" w:hAnsi="Cambria Math"/>
                                </w:rPr>
                                <m:t>y</m:t>
                              </m:r>
                              <m:ctrlPr>
                                <w:rPr>
                                  <w:rFonts w:ascii="Cambria Math" w:hAnsi="Cambria Math"/>
                                </w:rPr>
                              </m:ctrlPr>
                            </m:den>
                          </m:f>
                          <m:ctrlPr>
                            <w:rPr>
                              <w:rFonts w:ascii="Cambria Math" w:hAnsi="Cambria Math"/>
                            </w:rPr>
                          </m:ctrlPr>
                        </m:num>
                        <m:den>
                          <m:r>
                            <m:rPr/>
                            <w:rPr>
                              <w:rFonts w:ascii="Cambria Math" w:hAnsi="Cambria Math"/>
                            </w:rPr>
                            <m:t>c</m:t>
                          </m:r>
                          <m:ctrlPr>
                            <w:rPr>
                              <w:rFonts w:ascii="Cambria Math" w:hAnsi="Cambria Math"/>
                            </w:rPr>
                          </m:ctrlPr>
                        </m:den>
                      </m:f>
                      <m:r>
                        <m:rPr>
                          <m:sty m:val="p"/>
                        </m:rPr>
                        <w:rPr>
                          <w:rFonts w:ascii="Cambria Math" w:hAnsi="Cambria Math"/>
                        </w:rPr>
                        <m:t>,</m:t>
                      </m:r>
                      <m:ctrlPr>
                        <w:rPr>
                          <w:rFonts w:ascii="Cambria Math" w:hAnsi="Cambria Math"/>
                        </w:rPr>
                      </m:ctrlPr>
                    </m:e>
                  </m:mr>
                  <m:mr>
                    <m:e>
                      <m:f>
                        <m:fPr>
                          <m:ctrlPr>
                            <w:rPr>
                              <w:rFonts w:ascii="Cambria Math" w:hAnsi="Cambria Math"/>
                            </w:rPr>
                          </m:ctrlPr>
                        </m:fPr>
                        <m:num>
                          <m:r>
                            <m:rPr>
                              <m:sty m:val="p"/>
                            </m:rPr>
                            <w:rPr>
                              <w:rFonts w:ascii="Cambria Math" w:hAnsi="Cambria Math"/>
                            </w:rPr>
                            <m:t>d</m:t>
                          </m:r>
                          <m:r>
                            <m:rPr/>
                            <w:rPr>
                              <w:rFonts w:ascii="Cambria Math" w:hAnsi="Cambria Math"/>
                            </w:rPr>
                            <m:t>t</m:t>
                          </m:r>
                          <m:ctrlPr>
                            <w:rPr>
                              <w:rFonts w:ascii="Cambria Math" w:hAnsi="Cambria Math"/>
                            </w:rPr>
                          </m:ctrlPr>
                        </m:num>
                        <m:den>
                          <m:r>
                            <m:rPr>
                              <m:sty m:val="p"/>
                            </m:rPr>
                            <w:rPr>
                              <w:rFonts w:ascii="Cambria Math" w:hAnsi="Cambria Math"/>
                            </w:rPr>
                            <m:t>d</m:t>
                          </m:r>
                          <m:r>
                            <m:rPr/>
                            <w:rPr>
                              <w:rFonts w:ascii="Cambria Math" w:hAnsi="Cambria Math"/>
                            </w:rPr>
                            <m:t>s</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c</m:t>
                          </m:r>
                          <m:ctrlPr>
                            <w:rPr>
                              <w:rFonts w:ascii="Cambria Math" w:hAnsi="Cambria Math"/>
                            </w:rPr>
                          </m:ctrlPr>
                        </m:den>
                      </m:f>
                      <m:r>
                        <m:rPr>
                          <m:sty m:val="p"/>
                        </m:rPr>
                        <w:rPr>
                          <w:rFonts w:ascii="Cambria Math" w:hAnsi="Cambria Math"/>
                        </w:rPr>
                        <m:t>.</m:t>
                      </m:r>
                      <m:ctrlPr>
                        <w:rPr>
                          <w:rFonts w:ascii="Cambria Math" w:hAnsi="Cambria Math"/>
                        </w:rPr>
                      </m:ctrlPr>
                    </m:e>
                  </m:mr>
                </m:m>
              </m:oMath>
            </m:oMathPara>
          </w:p>
        </w:tc>
        <w:tc>
          <w:tcPr>
            <w:tcW w:w="420" w:type="pct"/>
            <w:vAlign w:val="center"/>
          </w:tcPr>
          <w:p w14:paraId="51844F68">
            <w:pPr>
              <w:pStyle w:val="33"/>
            </w:pPr>
            <w:r>
              <w:rPr>
                <w:rFonts w:hint="eastAsia"/>
              </w:rPr>
              <w:t>(</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公式 \* ARABIC \s 1 </w:instrText>
            </w:r>
            <w:r>
              <w:rPr>
                <w:rFonts w:hint="eastAsia"/>
              </w:rPr>
              <w:fldChar w:fldCharType="separate"/>
            </w:r>
            <w:r>
              <w:t>26</w:t>
            </w:r>
            <w:r>
              <w:rPr>
                <w:rFonts w:hint="eastAsia"/>
              </w:rPr>
              <w:fldChar w:fldCharType="end"/>
            </w:r>
            <w:r>
              <w:rPr>
                <w:rFonts w:hint="eastAsia"/>
              </w:rPr>
              <w:t>)</w:t>
            </w:r>
          </w:p>
        </w:tc>
      </w:tr>
    </w:tbl>
    <w:p w14:paraId="4B61D3DE">
      <w:pPr>
        <w:ind w:firstLine="420"/>
      </w:pPr>
      <w:r>
        <w:t>程序采用二维双线性插值获得声线当前位置的局部声速，并通过相邻位置的声速计算空间梯度。声线微分方程采用四阶Runge-Kutta方法积分，使横向位置、纵向位置、传播角度和累计时间能够同步更新。</w:t>
      </w:r>
    </w:p>
    <w:p w14:paraId="0309C3FE">
      <w:pPr>
        <w:ind w:firstLine="420"/>
      </w:pPr>
      <w:r>
        <w:t>针对单一初始角度可能无法形成有效底面到达路径的问题，每个探头分别计算−88°、−90°和−92°三个候选初始角度。在有效候选声线中，选择单程传播时间最短的路径作为当前预测路径：</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40"/>
        <w:gridCol w:w="780"/>
      </w:tblGrid>
      <w:tr w14:paraId="67B89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pct"/>
            <w:vAlign w:val="center"/>
          </w:tcPr>
          <w:p w14:paraId="28B0A0AC">
            <w:pPr>
              <w:spacing w:before="60" w:after="60" w:line="276" w:lineRule="auto"/>
              <w:jc w:val="center"/>
            </w:pPr>
            <m:oMathPara>
              <m:oMath>
                <m:sSub>
                  <m:sSubPr>
                    <m:ctrlPr>
                      <w:rPr>
                        <w:rFonts w:ascii="Cambria Math" w:hAnsi="Cambria Math"/>
                      </w:rPr>
                    </m:ctrlPr>
                  </m:sSubPr>
                  <m:e>
                    <m:r>
                      <m:rPr>
                        <m:sty m:val="p"/>
                      </m:rPr>
                      <w:rPr>
                        <w:rFonts w:ascii="Cambria Math" w:hAnsi="Cambria Math"/>
                      </w:rPr>
                      <m:t>TOF</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2</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lim>
                </m:limLow>
                <m:d>
                  <m:dPr>
                    <m:begChr m:val="["/>
                    <m:endChr m:val="]"/>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one</m:t>
                        </m:r>
                        <m:r>
                          <m:rPr>
                            <m:nor/>
                            <m:sty m:val="p"/>
                          </m:rPr>
                          <m:t>-</m:t>
                        </m:r>
                        <m:r>
                          <m:rPr>
                            <m:sty m:val="p"/>
                          </m:rPr>
                          <w:rPr>
                            <w:rFonts w:ascii="Cambria Math" w:hAnsi="Cambria Math"/>
                          </w:rPr>
                          <m:t>way,</m:t>
                        </m:r>
                        <m:r>
                          <m:rPr/>
                          <w:rPr>
                            <w:rFonts w:ascii="Cambria Math" w:hAnsi="Cambria Math"/>
                          </w:rPr>
                          <m:t>i</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d>
                    <m:ctrlPr>
                      <w:rPr>
                        <w:rFonts w:ascii="Cambria Math" w:hAnsi="Cambria Math"/>
                      </w:rPr>
                    </m:ctrlPr>
                  </m:e>
                </m:d>
              </m:oMath>
            </m:oMathPara>
          </w:p>
        </w:tc>
        <w:tc>
          <w:tcPr>
            <w:tcW w:w="420" w:type="pct"/>
            <w:vAlign w:val="center"/>
          </w:tcPr>
          <w:p w14:paraId="1B109F36">
            <w:pPr>
              <w:pStyle w:val="33"/>
            </w:pPr>
            <w:r>
              <w:rPr>
                <w:rFonts w:hint="eastAsia"/>
              </w:rPr>
              <w:t>(</w:t>
            </w:r>
            <w:r>
              <w:rPr>
                <w:rFonts w:hint="eastAsia"/>
              </w:rPr>
              <w:fldChar w:fldCharType="begin"/>
            </w:r>
            <w:r>
              <w:rPr>
                <w:rFonts w:hint="eastAsia"/>
              </w:rPr>
              <w:instrText xml:space="preserve"> STYLEREF 1 \s </w:instrText>
            </w:r>
            <w:r>
              <w:rPr>
                <w:rFonts w:hint="eastAsia"/>
              </w:rPr>
              <w:fldChar w:fldCharType="separate"/>
            </w:r>
            <w:r>
              <w:t>5</w:t>
            </w:r>
            <w:r>
              <w:rPr>
                <w:rFonts w:hint="eastAsia"/>
              </w:rPr>
              <w:fldChar w:fldCharType="end"/>
            </w:r>
            <w:r>
              <w:rPr>
                <w:rFonts w:hint="eastAsia"/>
              </w:rPr>
              <w:noBreakHyphen/>
            </w:r>
            <w:r>
              <w:rPr>
                <w:rFonts w:hint="eastAsia"/>
              </w:rPr>
              <w:fldChar w:fldCharType="begin"/>
            </w:r>
            <w:r>
              <w:rPr>
                <w:rFonts w:hint="eastAsia"/>
              </w:rPr>
              <w:instrText xml:space="preserve"> SEQ 公式 \* ARABIC \s 1 </w:instrText>
            </w:r>
            <w:r>
              <w:rPr>
                <w:rFonts w:hint="eastAsia"/>
              </w:rPr>
              <w:fldChar w:fldCharType="separate"/>
            </w:r>
            <w:r>
              <w:t>27</w:t>
            </w:r>
            <w:r>
              <w:rPr>
                <w:rFonts w:hint="eastAsia"/>
              </w:rPr>
              <w:fldChar w:fldCharType="end"/>
            </w:r>
            <w:r>
              <w:rPr>
                <w:rFonts w:hint="eastAsia"/>
              </w:rPr>
              <w:t>)</w:t>
            </w:r>
          </w:p>
        </w:tc>
      </w:tr>
    </w:tbl>
    <w:p w14:paraId="2EC579AB">
      <w:pPr>
        <w:ind w:firstLine="420"/>
      </w:pPr>
      <w:r>
        <w:t>声线追踪过程中对局部声速、计算区域、底面到达条件和底面交点进行检查。离开计算区域、未能到达底面或声速无效的路径不参与比较。</w:t>
      </w:r>
    </w:p>
    <w:p w14:paraId="68D95808">
      <w:pPr>
        <w:ind w:firstLine="420"/>
      </w:pPr>
      <w:r>
        <w:t>弯曲声线计算嵌入每一次反演正演，而不是在反演开始前预先确定。优化器每产生一组候选热流和厚度参数，程序均重新求解温度场、更新声速场和声速梯度、追踪声线并计算预测声时。瞬态工况下，各时间步均根据当前温度场重新计算声速和声线，使传播路径能够随温度场的时间变化动态更新。</w:t>
      </w:r>
    </w:p>
    <w:p w14:paraId="75130C9C">
      <w:pPr>
        <w:pStyle w:val="6"/>
      </w:pPr>
      <w:r>
        <w:t>不同反演算法的统一比较与评价方法</w:t>
      </w:r>
    </w:p>
    <w:p w14:paraId="76D7B77A">
      <w:pPr>
        <w:ind w:firstLine="480" w:firstLineChars="200"/>
        <w:rPr>
          <w:rFonts w:cs="Times New Roman"/>
        </w:rPr>
      </w:pPr>
      <w:r>
        <w:rPr>
          <w:rFonts w:cs="Times New Roman"/>
        </w:rPr>
        <w:t>为客观评价不同反演算法的计算效率，本项目建立了控制变量一致、精度要求一致和计时口径一致的算法比较方法。测试对象选取两层W30Mo70多层材料，试件厚度保持固定，反演输入采用声时单参数，分别开展一维瞬态、二维瞬态、一维稳态和二维稳态四类温度场反演任务。参与比较的算法包括BO+FD、PSO+CG两种组合优化方法，以及共轭梯度法、灵敏度法和最速下降法三种经典方法。</w:t>
      </w:r>
    </w:p>
    <w:p w14:paraId="4CA6B86F">
      <w:pPr>
        <w:ind w:firstLine="480" w:firstLineChars="200"/>
        <w:rPr>
          <w:rFonts w:cs="Times New Roman"/>
        </w:rPr>
      </w:pPr>
      <w:r>
        <w:rPr>
          <w:rFonts w:cs="Times New Roman"/>
        </w:rPr>
        <w:t>算法比较采用统一的计算环境、材料参数、几何模型、声学输入、测点布置和误差判据。对于同一反演任务，各算法使用相同的温度相关材料参数、热学与声学正演模型、待反演参数范围及测量数据。所有算法均在反演结果满足规定精度要求后统计运行时间，从而避免以牺牲反演精度为代价换取计算速度。运行时间越短，表明算法完成同等精度反演任务所需的计算成本越低。</w:t>
      </w:r>
    </w:p>
    <w:p w14:paraId="32FE5091">
      <w:pPr>
        <w:ind w:firstLine="480" w:firstLineChars="200"/>
        <w:rPr>
          <w:rFonts w:cs="Times New Roman"/>
        </w:rPr>
      </w:pPr>
      <w:r>
        <w:rPr>
          <w:rFonts w:cs="Times New Roman"/>
        </w:rPr>
        <w:t>在一维瞬态反演任务中，三种经典算法的最短运行时间为灵敏度法的578.35 s。BO+FD和PSO+CG的运行时间分别为414.52 s和407.24 s，相对于效率最高的经典算法分别获得约1.40倍和1.42倍加速，耗时分别降低28.33%和29.59%。</w:t>
      </w:r>
    </w:p>
    <w:p w14:paraId="6165A723">
      <w:pPr>
        <w:ind w:firstLine="480" w:firstLineChars="200"/>
        <w:rPr>
          <w:rFonts w:cs="Times New Roman"/>
        </w:rPr>
      </w:pPr>
      <w:r>
        <w:rPr>
          <w:rFonts w:cs="Times New Roman"/>
        </w:rPr>
        <w:t>在二维瞬态反演任务中，三种经典算法的最短运行时间为共轭梯度法的314.92 s。BO+FD和PSO+CG的运行时间分别为214.19 s和203.37 s，对应加速比分别为1.47和1.55，耗时分别降低31.99%和35.42%。</w:t>
      </w:r>
    </w:p>
    <w:p w14:paraId="13C9C91A">
      <w:pPr>
        <w:ind w:firstLine="480" w:firstLineChars="200"/>
        <w:rPr>
          <w:rFonts w:cs="Times New Roman"/>
        </w:rPr>
      </w:pPr>
      <w:r>
        <w:rPr>
          <w:rFonts w:cs="Times New Roman"/>
        </w:rPr>
        <w:t>在一维稳态反演任务中，三种经典算法的最短运行时间为灵敏度法的12.08 s。BO+FD仅用1.74 s即可完成反演，相对于灵敏度法获得约6.94倍加速，耗时降低85.60%；PSO+CG的运行时间为11.80 s，也低于三种经典算法中的最短时间。</w:t>
      </w:r>
    </w:p>
    <w:p w14:paraId="3F34A6B0">
      <w:pPr>
        <w:ind w:firstLine="480" w:firstLineChars="200"/>
        <w:rPr>
          <w:rFonts w:cs="Times New Roman"/>
        </w:rPr>
      </w:pPr>
      <w:r>
        <w:rPr>
          <w:rFonts w:cs="Times New Roman"/>
        </w:rPr>
        <w:t>在二维稳态反演任务中，三种经典算法的最短运行时间为灵敏度法的37.42 s。BO+FD和PSO+CG的运行时间分别为28.24 s和20.20 s，对应加速比分别为1.33和1.85，耗时分别降低24.53%和46.02%。</w:t>
      </w:r>
    </w:p>
    <w:p w14:paraId="61EB8946">
      <w:pPr>
        <w:ind w:firstLine="480" w:firstLineChars="200"/>
        <w:rPr>
          <w:rFonts w:cs="Times New Roman"/>
        </w:rPr>
      </w:pPr>
      <w:r>
        <w:rPr>
          <w:rFonts w:cs="Times New Roman"/>
        </w:rPr>
        <w:t>从四类任务的整体结果看，BO+FD和PSO+CG的运行时间均低于同一任务下的共轭梯度法、灵敏度法和最速下降法。PSO+CG在一维瞬态、二维瞬态和二维稳态三类任务中的运行时间最短，表现出较好的总体效率；BO+FD则在一维稳态任务中具有明显优势。</w:t>
      </w:r>
    </w:p>
    <w:p w14:paraId="23FE2C61">
      <w:pPr>
        <w:ind w:firstLine="480" w:firstLineChars="200"/>
        <w:rPr>
          <w:rFonts w:cs="Times New Roman"/>
        </w:rPr>
      </w:pPr>
      <w:r>
        <w:rPr>
          <w:rFonts w:cs="Times New Roman"/>
        </w:rPr>
        <w:t>综上，在两层W30Mo70多层材料、固定厚度和声时单参数输入条件下，BO+FD和PSO+CG在一维、二维稳态及瞬态温度场反演任务中的运行时间均低于三种经典对照算法。两种新方法在满足规定反演精度的同时提高了计算效率，算法效率不低于共轭梯度法、灵敏度法和最速下降法，本项性能指标达到要求。</w:t>
      </w:r>
    </w:p>
    <w:p w14:paraId="68F958EE">
      <w:pPr>
        <w:pStyle w:val="6"/>
      </w:pPr>
      <w:r>
        <w:t>试验数据反演与误差控制</w:t>
      </w:r>
    </w:p>
    <w:p w14:paraId="40D59E8B">
      <w:pPr>
        <w:ind w:firstLine="420"/>
      </w:pPr>
      <w:r>
        <w:t>为验证反演方法对实际声学数据的适用性，本项目利用超声实测波形、热电偶温度数据和试件实际厚度开展反演验证。试验数据处理包括波形读取、声学特征提取、测量数据检查、反演计算及结果误差评价等环节。</w:t>
      </w:r>
    </w:p>
    <w:p w14:paraId="5E300C8B">
      <w:pPr>
        <w:ind w:firstLine="420"/>
      </w:pPr>
      <w:r>
        <w:t>首先，从实测超声波形中提取声时和幅值相关参数。声时通过规定时间窗内的回波位置获得，幅值参数根据目标回波幅值与参考幅值计算相对幅值或幅值比。多层材料分别识别界面回波和底面回波，确保不同回波特征与相应传播路径对应。幅值数据保持线性比值形式，不进行分贝变换，以与多参数正演模型保持一致。</w:t>
      </w:r>
    </w:p>
    <w:p w14:paraId="745E065C">
      <w:pPr>
        <w:ind w:firstLine="420"/>
      </w:pPr>
      <w:r>
        <w:t>程序对实测数据进行统一有效性检查，包括时间序列连续性、探头编号、回波声时正值条件、幅值有限性、回波顺序和数据矩阵尺寸。对于缺失、非有限、回波识别异常或超出物理范围的数据，不直接进入反演目标函数，避免异常测量值导致优化过程偏离合理参数区域。</w:t>
      </w:r>
    </w:p>
    <w:p w14:paraId="5626FDC4">
      <w:pPr>
        <w:ind w:firstLine="420"/>
      </w:pPr>
      <w:r>
        <w:t>试验验证中，热电偶测得的温度作为反演结果评价依据，试件实测厚度作为联合反演的厚度对比值。温度误差采用测量位置处反演温度与热电偶温度之间的相对误差，厚度误差采用反演厚度与实测厚度之间的相对误差。对于多个测温位置，进一步计算平均绝对误差和平均相对误差，以减小单个测点局部偏差对总体评价的影响。</w:t>
      </w:r>
    </w:p>
    <w:p w14:paraId="30E23C45">
      <w:pPr>
        <w:ind w:firstLine="420"/>
      </w:pPr>
      <w:r>
        <w:t>试验工况覆盖室温至高温过程，最高温度达到约153</w:t>
      </w:r>
      <w:r>
        <w:rPr>
          <w:rFonts w:hint="eastAsia"/>
        </w:rPr>
        <w:t>1</w:t>
      </w:r>
      <w:r>
        <w:t xml:space="preserve"> K。反演过程中采用与仿真测试相同的温度相关材料参数、声学传播模型、参数边界和无效解惩罚机制。二维工况重新计算每组候选温度场对应的弯曲声线，避免使用固定常温传播路径。对于温度场—厚度联合反演，利用室温基准声时对厚度初值和可行范围进行校核，再由联合反演模型确定温度场和厚度。</w:t>
      </w:r>
    </w:p>
    <w:p w14:paraId="722EE467">
      <w:pPr>
        <w:ind w:firstLine="420"/>
      </w:pPr>
      <w:r>
        <w:t>误差控制采用多层措施：在输入阶段检查波形和声学特征有效性；在模型阶段使用温度相关声速、衰减和弯曲声线；在目标函数阶段采用相对残差和多参数权重；在参数阶段使用物理边界和平滑正则项；在优化阶段使用全局搜索与局部精修组合；在结果阶段通过热电偶温度、实际厚度和声学参数重构误差进行交叉验证。</w:t>
      </w:r>
    </w:p>
    <w:p w14:paraId="0BFD2C3F">
      <w:pPr>
        <w:ind w:firstLine="420"/>
      </w:pPr>
      <w:r>
        <w:t>通过试验数据反演，完成了声学特征提取结果与物理反演程序之间的数据贯通，并验证了反演方法在实际测量噪声、材料参数偏差和高温声学特征变化条件下的适用性。试验验证结果与程序测试结果共同构成了声学多参数融合温度场反演模块的验证依据。</w:t>
      </w:r>
    </w:p>
    <w:p w14:paraId="0A9724DD">
      <w:pPr>
        <w:pStyle w:val="5"/>
      </w:pPr>
      <w:bookmarkStart w:id="152" w:name="_Toc235910490"/>
      <w:r>
        <w:t>基于人工智能的温度场反演关键技术及解决措施</w:t>
      </w:r>
      <w:bookmarkEnd w:id="152"/>
    </w:p>
    <w:p w14:paraId="636DD9B2">
      <w:pPr>
        <w:ind w:firstLine="480" w:firstLineChars="200"/>
        <w:rPr>
          <w:rFonts w:cs="Times New Roman"/>
        </w:rPr>
      </w:pPr>
      <w:r>
        <w:rPr>
          <w:rFonts w:cs="Times New Roman"/>
        </w:rPr>
        <w:t>基于人工智能的温度场反演方法模块围绕超声全波形到完整温度场的高维非线性映射、多材料多来源数据统一组织、仿真与试验数据分布差异、物理约束融合、新增试验数据增量更新、一维与二维多工况统一评价以及快速推理与跨语言集成等问题展开，形成了从数据建库、模型训练到试验验证和模型更新的完整技术链。</w:t>
      </w:r>
    </w:p>
    <w:p w14:paraId="08457056">
      <w:pPr>
        <w:jc w:val="center"/>
        <w:rPr>
          <w:rFonts w:cs="Times New Roman"/>
        </w:rPr>
      </w:pPr>
      <w:r>
        <w:rPr>
          <w:rFonts w:cs="Times New Roman"/>
        </w:rPr>
        <w:drawing>
          <wp:inline distT="0" distB="0" distL="114300" distR="114300">
            <wp:extent cx="5396865" cy="2759710"/>
            <wp:effectExtent l="0" t="0" r="0" b="2540"/>
            <wp:docPr id="1954363861" name="Picture 1954363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63861" name="Picture 1954363861"/>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396923" cy="2760000"/>
                    </a:xfrm>
                    <a:prstGeom prst="rect">
                      <a:avLst/>
                    </a:prstGeom>
                  </pic:spPr>
                </pic:pic>
              </a:graphicData>
            </a:graphic>
          </wp:inline>
        </w:drawing>
      </w:r>
    </w:p>
    <w:p w14:paraId="6AF35195">
      <w:pPr>
        <w:pStyle w:val="33"/>
      </w:pPr>
      <w:r>
        <w:t xml:space="preserve">图 </w:t>
      </w:r>
      <w:r>
        <w:fldChar w:fldCharType="begin"/>
      </w:r>
      <w:r>
        <w:instrText xml:space="preserve"> STYLEREF 1 \s </w:instrText>
      </w:r>
      <w:r>
        <w:fldChar w:fldCharType="separate"/>
      </w:r>
      <w:r>
        <w:t>5</w:t>
      </w:r>
      <w:r>
        <w:fldChar w:fldCharType="end"/>
      </w:r>
      <w:r>
        <w:t>.</w:t>
      </w:r>
      <w:r>
        <w:fldChar w:fldCharType="begin"/>
      </w:r>
      <w:r>
        <w:instrText xml:space="preserve"> SEQ 图 \* ARABIC \s 1 </w:instrText>
      </w:r>
      <w:r>
        <w:fldChar w:fldCharType="separate"/>
      </w:r>
      <w:r>
        <w:t>4</w:t>
      </w:r>
      <w:r>
        <w:fldChar w:fldCharType="end"/>
      </w:r>
      <w:r>
        <w:t xml:space="preserve"> 基于人工智能的温度场反演关键技术路线</w:t>
      </w:r>
    </w:p>
    <w:p w14:paraId="138D9FC4">
      <w:pPr>
        <w:pStyle w:val="33"/>
      </w:pPr>
    </w:p>
    <w:p w14:paraId="3B36E590">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 xml:space="preserve"> </w:t>
      </w:r>
      <w:r>
        <w:t>基于人工智能的温度场反演关键技术、主要难点及解决措施汇总</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3"/>
        <w:gridCol w:w="2123"/>
        <w:gridCol w:w="2124"/>
        <w:gridCol w:w="2124"/>
      </w:tblGrid>
      <w:tr w14:paraId="52FE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3" w:type="dxa"/>
          </w:tcPr>
          <w:p w14:paraId="4411AA77">
            <w:pPr>
              <w:pStyle w:val="33"/>
            </w:pPr>
            <w:r>
              <w:t>技术方向</w:t>
            </w:r>
          </w:p>
        </w:tc>
        <w:tc>
          <w:tcPr>
            <w:tcW w:w="2123" w:type="dxa"/>
          </w:tcPr>
          <w:p w14:paraId="74C5794F">
            <w:pPr>
              <w:pStyle w:val="33"/>
            </w:pPr>
            <w:r>
              <w:t>主要难点</w:t>
            </w:r>
          </w:p>
        </w:tc>
        <w:tc>
          <w:tcPr>
            <w:tcW w:w="2124" w:type="dxa"/>
          </w:tcPr>
          <w:p w14:paraId="56CBC2FC">
            <w:pPr>
              <w:pStyle w:val="33"/>
            </w:pPr>
            <w:r>
              <w:t>解决措施</w:t>
            </w:r>
          </w:p>
        </w:tc>
        <w:tc>
          <w:tcPr>
            <w:tcW w:w="2124" w:type="dxa"/>
          </w:tcPr>
          <w:p w14:paraId="62041DFA">
            <w:pPr>
              <w:pStyle w:val="33"/>
            </w:pPr>
            <w:r>
              <w:t>形成能力</w:t>
            </w:r>
          </w:p>
        </w:tc>
      </w:tr>
      <w:tr w14:paraId="6ACD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3" w:type="dxa"/>
          </w:tcPr>
          <w:p w14:paraId="1A6066FC">
            <w:pPr>
              <w:pStyle w:val="33"/>
            </w:pPr>
            <w:r>
              <w:t>全波形—温度场映射</w:t>
            </w:r>
          </w:p>
        </w:tc>
        <w:tc>
          <w:tcPr>
            <w:tcW w:w="2123" w:type="dxa"/>
          </w:tcPr>
          <w:p w14:paraId="7F5B9A60">
            <w:pPr>
              <w:pStyle w:val="33"/>
            </w:pPr>
            <w:r>
              <w:t>输入波形维度高，局部回波形态与长时序传播信息相互耦合，输出又是高维空间温度场。</w:t>
            </w:r>
          </w:p>
        </w:tc>
        <w:tc>
          <w:tcPr>
            <w:tcW w:w="2124" w:type="dxa"/>
          </w:tcPr>
          <w:p w14:paraId="783E43FE">
            <w:pPr>
              <w:pStyle w:val="33"/>
            </w:pPr>
            <w:r>
              <w:t>采用CNN与LSTM双分支分别提取局部与时序特征，经BP网络融合并直接回归二维完整温度场。</w:t>
            </w:r>
          </w:p>
        </w:tc>
        <w:tc>
          <w:tcPr>
            <w:tcW w:w="2124" w:type="dxa"/>
          </w:tcPr>
          <w:p w14:paraId="07C34F81">
            <w:pPr>
              <w:pStyle w:val="33"/>
            </w:pPr>
            <w:r>
              <w:t>超声全波形驱动的一维、二维温度场重构。</w:t>
            </w:r>
          </w:p>
        </w:tc>
      </w:tr>
      <w:tr w14:paraId="0FB5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3" w:type="dxa"/>
          </w:tcPr>
          <w:p w14:paraId="6FAA6085">
            <w:pPr>
              <w:pStyle w:val="33"/>
            </w:pPr>
            <w:r>
              <w:t>多材料数据建库</w:t>
            </w:r>
          </w:p>
        </w:tc>
        <w:tc>
          <w:tcPr>
            <w:tcW w:w="2123" w:type="dxa"/>
          </w:tcPr>
          <w:p w14:paraId="7645BA23">
            <w:pPr>
              <w:pStyle w:val="33"/>
            </w:pPr>
            <w:r>
              <w:t>三类材料在材料属性、工况、文件结构和标签形式方面存在差异，难以统一训练和追溯。</w:t>
            </w:r>
          </w:p>
        </w:tc>
        <w:tc>
          <w:tcPr>
            <w:tcW w:w="2124" w:type="dxa"/>
          </w:tcPr>
          <w:p w14:paraId="6C02B93D">
            <w:pPr>
              <w:pStyle w:val="33"/>
            </w:pPr>
            <w:r>
              <w:t>建立统一目录、manifest和字段规范，按材料、维度及稳态/瞬态工况登记波形与温度场路径。</w:t>
            </w:r>
          </w:p>
        </w:tc>
        <w:tc>
          <w:tcPr>
            <w:tcW w:w="2124" w:type="dxa"/>
          </w:tcPr>
          <w:p w14:paraId="3F8941FC">
            <w:pPr>
              <w:pStyle w:val="33"/>
            </w:pPr>
            <w:r>
              <w:t>三类材料1400组仿真数据和W30Mo70试验数据统一管理。</w:t>
            </w:r>
          </w:p>
        </w:tc>
      </w:tr>
      <w:tr w14:paraId="4945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3" w:type="dxa"/>
          </w:tcPr>
          <w:p w14:paraId="373A31E1">
            <w:pPr>
              <w:pStyle w:val="33"/>
            </w:pPr>
            <w:r>
              <w:t>仿真—试验差异处理</w:t>
            </w:r>
          </w:p>
        </w:tc>
        <w:tc>
          <w:tcPr>
            <w:tcW w:w="2123" w:type="dxa"/>
          </w:tcPr>
          <w:p w14:paraId="4E984D0B">
            <w:pPr>
              <w:pStyle w:val="33"/>
            </w:pPr>
            <w:r>
              <w:t>仿真波形与实测波形在噪声、采样、仪器响应和边界条件方面存在分布差异。</w:t>
            </w:r>
          </w:p>
        </w:tc>
        <w:tc>
          <w:tcPr>
            <w:tcW w:w="2124" w:type="dxa"/>
          </w:tcPr>
          <w:p w14:paraId="43D083B3">
            <w:pPr>
              <w:pStyle w:val="33"/>
            </w:pPr>
            <w:r>
              <w:t>统一裁剪、归一化和张量化规则，并利用W30Mo70试验数据完成验证及增量校正。</w:t>
            </w:r>
          </w:p>
        </w:tc>
        <w:tc>
          <w:tcPr>
            <w:tcW w:w="2124" w:type="dxa"/>
          </w:tcPr>
          <w:p w14:paraId="315948AA">
            <w:pPr>
              <w:pStyle w:val="33"/>
            </w:pPr>
            <w:r>
              <w:t>仿真训练、试验验证和新增数据更新使用同一数据接口。</w:t>
            </w:r>
          </w:p>
        </w:tc>
      </w:tr>
      <w:tr w14:paraId="7435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3" w:type="dxa"/>
          </w:tcPr>
          <w:p w14:paraId="0642352F">
            <w:pPr>
              <w:pStyle w:val="33"/>
            </w:pPr>
            <w:r>
              <w:t>物理约束融合</w:t>
            </w:r>
          </w:p>
        </w:tc>
        <w:tc>
          <w:tcPr>
            <w:tcW w:w="2123" w:type="dxa"/>
          </w:tcPr>
          <w:p w14:paraId="34FF0BEA">
            <w:pPr>
              <w:pStyle w:val="33"/>
            </w:pPr>
            <w:r>
              <w:t>单纯数据拟合可能产生局部不连续或缺乏物理合理性的温度场。</w:t>
            </w:r>
          </w:p>
        </w:tc>
        <w:tc>
          <w:tcPr>
            <w:tcW w:w="2124" w:type="dxa"/>
          </w:tcPr>
          <w:p w14:paraId="3778E08E">
            <w:pPr>
              <w:pStyle w:val="33"/>
            </w:pPr>
            <w:r>
              <w:t>训练框架支持MSE监督损失与PINN物理约束、场分布平滑约束按权重组合。</w:t>
            </w:r>
          </w:p>
        </w:tc>
        <w:tc>
          <w:tcPr>
            <w:tcW w:w="2124" w:type="dxa"/>
          </w:tcPr>
          <w:p w14:paraId="334B8B8B">
            <w:pPr>
              <w:pStyle w:val="33"/>
            </w:pPr>
            <w:r>
              <w:t>在保持预测精度的同时约束温度场空间连续性。</w:t>
            </w:r>
          </w:p>
        </w:tc>
      </w:tr>
      <w:tr w14:paraId="08ED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3" w:type="dxa"/>
          </w:tcPr>
          <w:p w14:paraId="331F7BB2">
            <w:pPr>
              <w:pStyle w:val="33"/>
            </w:pPr>
            <w:r>
              <w:t>增量训练</w:t>
            </w:r>
          </w:p>
        </w:tc>
        <w:tc>
          <w:tcPr>
            <w:tcW w:w="2123" w:type="dxa"/>
          </w:tcPr>
          <w:p w14:paraId="59D9361A">
            <w:pPr>
              <w:pStyle w:val="33"/>
            </w:pPr>
            <w:r>
              <w:t>新增试验数据若全量重训，计算成本高且难以保持训练条件一致。</w:t>
            </w:r>
          </w:p>
        </w:tc>
        <w:tc>
          <w:tcPr>
            <w:tcW w:w="2124" w:type="dxa"/>
          </w:tcPr>
          <w:p w14:paraId="7CFD667F">
            <w:pPr>
              <w:pStyle w:val="33"/>
            </w:pPr>
            <w:r>
              <w:t>加载基础checkpoint，冻结既定训练参数与配置，导入新增数据更新权重并生成新版本模型。</w:t>
            </w:r>
          </w:p>
        </w:tc>
        <w:tc>
          <w:tcPr>
            <w:tcW w:w="2124" w:type="dxa"/>
          </w:tcPr>
          <w:p w14:paraId="20521B49">
            <w:pPr>
              <w:pStyle w:val="33"/>
            </w:pPr>
            <w:r>
              <w:t>在线增量训练、权重更新、日志和版本可追溯。</w:t>
            </w:r>
          </w:p>
        </w:tc>
      </w:tr>
      <w:tr w14:paraId="78F0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3" w:type="dxa"/>
          </w:tcPr>
          <w:p w14:paraId="1CD97ED7">
            <w:pPr>
              <w:pStyle w:val="33"/>
            </w:pPr>
            <w:r>
              <w:t>多工况统一评价</w:t>
            </w:r>
          </w:p>
        </w:tc>
        <w:tc>
          <w:tcPr>
            <w:tcW w:w="2123" w:type="dxa"/>
          </w:tcPr>
          <w:p w14:paraId="5EE3BA92">
            <w:pPr>
              <w:pStyle w:val="33"/>
            </w:pPr>
            <w:r>
              <w:t>一维、二维以及稳态、瞬态结果的节点数量、测点位置和评价口径不同。</w:t>
            </w:r>
          </w:p>
        </w:tc>
        <w:tc>
          <w:tcPr>
            <w:tcW w:w="2124" w:type="dxa"/>
          </w:tcPr>
          <w:p w14:paraId="61796348">
            <w:pPr>
              <w:pStyle w:val="33"/>
            </w:pPr>
            <w:r>
              <w:t>二维场统一输出；一维结果由x=0.50中心线提取，固定5个归一化测点并固化node_id。</w:t>
            </w:r>
          </w:p>
        </w:tc>
        <w:tc>
          <w:tcPr>
            <w:tcW w:w="2124" w:type="dxa"/>
          </w:tcPr>
          <w:p w14:paraId="08E29EBF">
            <w:pPr>
              <w:pStyle w:val="33"/>
            </w:pPr>
            <w:r>
              <w:t>四类工况采用一致的5点平均温度误差口径。</w:t>
            </w:r>
          </w:p>
        </w:tc>
      </w:tr>
      <w:tr w14:paraId="6FB8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3" w:type="dxa"/>
          </w:tcPr>
          <w:p w14:paraId="4530309F">
            <w:pPr>
              <w:pStyle w:val="33"/>
            </w:pPr>
            <w:r>
              <w:t>快速推理与程序集成</w:t>
            </w:r>
          </w:p>
        </w:tc>
        <w:tc>
          <w:tcPr>
            <w:tcW w:w="2123" w:type="dxa"/>
          </w:tcPr>
          <w:p w14:paraId="64C624CB">
            <w:pPr>
              <w:pStyle w:val="33"/>
            </w:pPr>
            <w:r>
              <w:t>既要满足精度要求，又要显著快于经典迭代算法，并在Windows平台协同运行。</w:t>
            </w:r>
          </w:p>
        </w:tc>
        <w:tc>
          <w:tcPr>
            <w:tcW w:w="2124" w:type="dxa"/>
          </w:tcPr>
          <w:p w14:paraId="207E6234">
            <w:pPr>
              <w:pStyle w:val="33"/>
            </w:pPr>
            <w:r>
              <w:t>采用GPU并行推理，Python承担AI与界面流程，Fortran承担数值计算，通过标准接口协同。</w:t>
            </w:r>
          </w:p>
        </w:tc>
        <w:tc>
          <w:tcPr>
            <w:tcW w:w="2124" w:type="dxa"/>
          </w:tcPr>
          <w:p w14:paraId="2B8A324B">
            <w:pPr>
              <w:pStyle w:val="33"/>
            </w:pPr>
            <w:r>
              <w:t>单场平均0.0622 s，兼容Windows及跨语言调用。</w:t>
            </w:r>
          </w:p>
        </w:tc>
      </w:tr>
    </w:tbl>
    <w:p w14:paraId="088C32DA">
      <w:pPr>
        <w:rPr>
          <w:rFonts w:cs="Times New Roman"/>
        </w:rPr>
      </w:pPr>
    </w:p>
    <w:p w14:paraId="05878BAC">
      <w:pPr>
        <w:keepNext/>
        <w:keepLines/>
        <w:numPr>
          <w:ilvl w:val="3"/>
          <w:numId w:val="1"/>
        </w:numPr>
        <w:spacing w:before="100" w:beforeAutospacing="1" w:after="100" w:afterAutospacing="1" w:line="240" w:lineRule="auto"/>
        <w:ind w:left="862" w:hanging="862"/>
        <w:outlineLvl w:val="3"/>
        <w:rPr>
          <w:rFonts w:eastAsia="黑体" w:cs="Times New Roman"/>
          <w:szCs w:val="28"/>
        </w:rPr>
      </w:pPr>
      <w:r>
        <w:rPr>
          <w:rFonts w:eastAsia="黑体" w:cs="Times New Roman"/>
          <w:szCs w:val="28"/>
        </w:rPr>
        <w:t>超声全波形与温度场非线性映射建模</w:t>
      </w:r>
    </w:p>
    <w:p w14:paraId="3C05FAFC">
      <w:pPr>
        <w:ind w:firstLine="480" w:firstLineChars="200"/>
        <w:rPr>
          <w:rFonts w:cs="Times New Roman"/>
        </w:rPr>
      </w:pPr>
      <w:r>
        <w:rPr>
          <w:rFonts w:cs="Times New Roman"/>
        </w:rPr>
        <w:t>技术难点：人工智能反演需要从超声全波形中同时识别回波到达顺序、传播时间、幅值变化和频谱结构等温度敏感信息，并将其映射为具有空间分布特征的二维温度场。输入为高维时间序列，局部波包形态与长时序传播演化相互耦合，若采用单一特征提取结构，难以兼顾局部细节和跨回波依赖。</w:t>
      </w:r>
    </w:p>
    <w:p w14:paraId="4C7A638C">
      <w:pPr>
        <w:ind w:firstLine="480" w:firstLineChars="200"/>
        <w:rPr>
          <w:rFonts w:cs="Times New Roman"/>
        </w:rPr>
      </w:pPr>
      <w:r>
        <w:rPr>
          <w:rFonts w:cs="Times New Roman"/>
        </w:rPr>
        <w:t>解决措施：将经统一裁剪、归一化和张量化的超声波形同时输入CNN与LSTM两条特征分支。CNN分支利用一维卷积、GELU激活和池化提取局部波形形态、幅值变化及频域相关特征；LSTM分支按照时间顺序编码回波到达关系、传播演化及长短期依赖。两路特征加权拼接后输入BP全连接网络，完成非线性融合和温度场回归。</w:t>
      </w:r>
    </w:p>
    <w:p w14:paraId="0E49CF13">
      <w:pPr>
        <w:ind w:firstLine="480" w:firstLineChars="200"/>
        <w:rPr>
          <w:rFonts w:cs="Times New Roman"/>
        </w:rPr>
      </w:pPr>
      <w:r>
        <w:rPr>
          <w:rFonts w:cs="Times New Roman"/>
        </w:rPr>
        <w:t>实现与验证：模型统一输出二维完整温度场，一维温度分布由二维结果的固定中心线x=0.50提取，避免为一维和二维任务分别建立相互独立的输出体系。该结构已用于两层W30Mo70钨钼合金的一维稳态、一维瞬态、二维稳态和二维瞬态试验验证，四类工况均能够形成完整的温度场结果、测点温度和可追溯结果文件。</w:t>
      </w:r>
    </w:p>
    <w:p w14:paraId="4099BDE1">
      <w:pPr>
        <w:pStyle w:val="33"/>
      </w:pPr>
      <w:r>
        <w:drawing>
          <wp:inline distT="0" distB="0" distL="0" distR="0">
            <wp:extent cx="5547995" cy="2377440"/>
            <wp:effectExtent l="0" t="0" r="0" b="3810"/>
            <wp:docPr id="707648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8101" name="图片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5547995" cy="2377440"/>
                    </a:xfrm>
                    <a:prstGeom prst="rect">
                      <a:avLst/>
                    </a:prstGeom>
                    <a:noFill/>
                  </pic:spPr>
                </pic:pic>
              </a:graphicData>
            </a:graphic>
          </wp:inline>
        </w:drawing>
      </w:r>
    </w:p>
    <w:p w14:paraId="6516407F">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 xml:space="preserve"> CNN–LSTM双分支编码与BP融合温度场重构模型</w:t>
      </w:r>
    </w:p>
    <w:p w14:paraId="21B52739">
      <w:pPr>
        <w:keepNext/>
        <w:keepLines/>
        <w:numPr>
          <w:ilvl w:val="3"/>
          <w:numId w:val="1"/>
        </w:numPr>
        <w:spacing w:before="100" w:beforeAutospacing="1" w:after="100" w:afterAutospacing="1" w:line="240" w:lineRule="auto"/>
        <w:ind w:left="862" w:hanging="862"/>
        <w:outlineLvl w:val="3"/>
        <w:rPr>
          <w:rFonts w:eastAsia="黑体" w:cs="Times New Roman"/>
          <w:szCs w:val="28"/>
        </w:rPr>
      </w:pPr>
      <w:r>
        <w:rPr>
          <w:rFonts w:eastAsia="黑体" w:cs="Times New Roman"/>
          <w:szCs w:val="28"/>
        </w:rPr>
        <w:t>多材料、多工况温度—声学数据集构建</w:t>
      </w:r>
    </w:p>
    <w:p w14:paraId="3DAE7C71">
      <w:pPr>
        <w:ind w:firstLine="480" w:firstLineChars="200"/>
        <w:rPr>
          <w:rFonts w:cs="Times New Roman"/>
        </w:rPr>
      </w:pPr>
      <w:r>
        <w:rPr>
          <w:rFonts w:cs="Times New Roman"/>
        </w:rPr>
        <w:t>技术难点：模块需要同时接入两层W30Mo70钨钼合金多层材料、W基体/SiC纤维金属基复合材料和SiC纤维/CVI-SiC基体硅基复合材料三类仿真数据，以及W30Mo70试件实验数据。各类数据在材料类型、尺寸、维度、稳态/瞬态工况、温度范围、波形文件和温度场文件方面存在差异，若缺少统一规则，将影响样本配对、模型复现和验收证据追溯。</w:t>
      </w:r>
    </w:p>
    <w:p w14:paraId="69E8C082">
      <w:pPr>
        <w:ind w:firstLine="480" w:firstLineChars="200"/>
        <w:rPr>
          <w:rFonts w:cs="Times New Roman"/>
        </w:rPr>
      </w:pPr>
      <w:r>
        <w:rPr>
          <w:rFonts w:cs="Times New Roman"/>
        </w:rPr>
        <w:t>解决措施：建立按材料和数据处理阶段组织的目录体系，以manifest统一登记材料类型、样本编号、温度、维度、稳态/瞬态类别、波形路径、温度场路径和数据来源。原始数据、预处理数据、处理后数据库、规则文件以及训练和预测结果分别存放，并通过统一命名和路径关联形成从原始文件到模型结果的完整索引。</w:t>
      </w:r>
    </w:p>
    <w:p w14:paraId="212E23AE">
      <w:pPr>
        <w:ind w:firstLine="480" w:firstLineChars="200"/>
        <w:rPr>
          <w:rFonts w:cs="Times New Roman"/>
        </w:rPr>
      </w:pPr>
      <w:r>
        <w:rPr>
          <w:rFonts w:cs="Times New Roman"/>
        </w:rPr>
        <w:t>实现与验证：已完成三类材料仿真训练集的标准化建库，共形成1400组超声波形—温度场配对数据，其中W30Mo70多层材料1000组、金属基复合材料200组、硅基复合材料200组，温度范围均为300～1500 K；同时选择W30Mo70建立不少于20组的实验测试集。数据库能够按材料、工况、温度和来源查询并回溯对应波形及温度场文件。</w:t>
      </w:r>
    </w:p>
    <w:p w14:paraId="021B85A2">
      <w:pPr>
        <w:keepNext/>
        <w:keepLines/>
        <w:numPr>
          <w:ilvl w:val="3"/>
          <w:numId w:val="1"/>
        </w:numPr>
        <w:spacing w:before="100" w:beforeAutospacing="1" w:after="100" w:afterAutospacing="1" w:line="240" w:lineRule="auto"/>
        <w:ind w:left="862" w:hanging="862"/>
        <w:outlineLvl w:val="3"/>
        <w:rPr>
          <w:rFonts w:eastAsia="黑体" w:cs="Times New Roman"/>
          <w:szCs w:val="28"/>
        </w:rPr>
      </w:pPr>
      <w:r>
        <w:rPr>
          <w:rFonts w:eastAsia="黑体" w:cs="Times New Roman"/>
          <w:szCs w:val="28"/>
        </w:rPr>
        <w:t>仿真数据与试验数据的差异处理</w:t>
      </w:r>
    </w:p>
    <w:p w14:paraId="74E24CE6">
      <w:pPr>
        <w:ind w:firstLine="480" w:firstLineChars="200"/>
        <w:rPr>
          <w:rFonts w:cs="Times New Roman"/>
        </w:rPr>
      </w:pPr>
      <w:r>
        <w:rPr>
          <w:rFonts w:cs="Times New Roman"/>
        </w:rPr>
        <w:t>技术难点：仿真数据具有采样稳定、标签完整和工况可控等特点，而实验波形受到采集设备响应、环境噪声、触发偏差、试件实际尺寸以及边界条件误差影响，两类数据的幅值尺度、有效回波位置和数据分布并不完全一致。直接混合使用容易造成模型对仿真分布过度适配。</w:t>
      </w:r>
    </w:p>
    <w:p w14:paraId="28AD047A">
      <w:pPr>
        <w:ind w:firstLine="480" w:firstLineChars="200"/>
        <w:rPr>
          <w:rFonts w:cs="Times New Roman"/>
        </w:rPr>
      </w:pPr>
      <w:r>
        <w:rPr>
          <w:rFonts w:cs="Times New Roman"/>
        </w:rPr>
        <w:t>解决措施：对仿真与实验波形采用一致的时间列检查、有效波形裁剪、幅值归一化和张量化流程，同时保留source、材料、试件、温度和工况等追溯字段。模型以仿真数据建立基础映射关系，再利用W30Mo70实验数据开展精度验证和增量校正，使数据接口保持统一而模型能够适应实测分布。</w:t>
      </w:r>
    </w:p>
    <w:p w14:paraId="10917C89">
      <w:pPr>
        <w:ind w:firstLine="480" w:firstLineChars="200"/>
        <w:rPr>
          <w:rFonts w:cs="Times New Roman"/>
        </w:rPr>
      </w:pPr>
      <w:r>
        <w:rPr>
          <w:rFonts w:cs="Times New Roman"/>
        </w:rPr>
        <w:t>实现与验证：实验数据可以通过与仿真数据一致的入口完成数据库登记、模型预测和增量训练。W30Mo70实验测试集已用于四类工况的5测点温度对比，验证了统一处理流程能够将实测波形稳定接入人工智能温度场重构模型。</w:t>
      </w:r>
    </w:p>
    <w:p w14:paraId="386360CC">
      <w:pPr>
        <w:keepNext/>
        <w:keepLines/>
        <w:numPr>
          <w:ilvl w:val="3"/>
          <w:numId w:val="1"/>
        </w:numPr>
        <w:spacing w:before="100" w:beforeAutospacing="1" w:after="100" w:afterAutospacing="1" w:line="240" w:lineRule="auto"/>
        <w:ind w:left="862" w:hanging="862"/>
        <w:outlineLvl w:val="3"/>
        <w:rPr>
          <w:rFonts w:eastAsia="黑体" w:cs="Times New Roman"/>
          <w:szCs w:val="28"/>
        </w:rPr>
      </w:pPr>
      <w:r>
        <w:rPr>
          <w:rFonts w:eastAsia="黑体" w:cs="Times New Roman"/>
          <w:szCs w:val="28"/>
        </w:rPr>
        <w:t>物理约束与数据驱动模型融合</w:t>
      </w:r>
    </w:p>
    <w:p w14:paraId="57854175">
      <w:pPr>
        <w:ind w:firstLine="480" w:firstLineChars="200"/>
        <w:rPr>
          <w:rFonts w:cs="Times New Roman"/>
        </w:rPr>
      </w:pPr>
      <w:r>
        <w:rPr>
          <w:rFonts w:cs="Times New Roman"/>
        </w:rPr>
        <w:t>技术难点：仅以样本误差驱动训练时，模型虽然能够降低预测值与标签值之间的偏差，但在样本量有限、实测噪声较强或局部温度梯度较大时，仍可能出现温度场局部振荡、空间不连续或超出合理温度范围等问题。</w:t>
      </w:r>
    </w:p>
    <w:p w14:paraId="2E2D0D0E">
      <w:pPr>
        <w:ind w:firstLine="480" w:firstLineChars="200"/>
        <w:rPr>
          <w:rFonts w:cs="Times New Roman"/>
        </w:rPr>
      </w:pPr>
      <w:r>
        <w:rPr>
          <w:rFonts w:cs="Times New Roman"/>
        </w:rPr>
        <w:t>解决措施：训练框架同时支持单一MSE监督训练和MSE与PINN物理约束组合训练。MSE用于约束预测温度场与参考温度场之间的数值偏差；PINN约束通过温度场空间差分、场分布平滑性及温度范围等可配置条件，对输出的空间连续性和物理合理性进行限制。两类损失按任务配置加权组合，不改变CNN—LSTM—BP主干模型的输入输出形式。</w:t>
      </w:r>
    </w:p>
    <w:p w14:paraId="115AACFA">
      <w:pPr>
        <w:ind w:firstLine="480" w:firstLineChars="200"/>
        <w:rPr>
          <w:rFonts w:cs="Times New Roman"/>
        </w:rPr>
      </w:pPr>
      <w:r>
        <w:rPr>
          <w:rFonts w:cs="Times New Roman"/>
        </w:rPr>
        <w:t>训练目标可概括为 L = L_MSE + λp L_phys + λs L_smooth，其中L_MSE为温度场监督损失，L_phys为物理约束损失，L_smooth为场分布平滑损失，λp和λs为无量纲权重。该表达适用于启用物理约束的训练模式；当物理约束关闭时，相应权重取0。</w:t>
      </w:r>
    </w:p>
    <w:p w14:paraId="5EAAB2F5">
      <w:pPr>
        <w:ind w:firstLine="480" w:firstLineChars="200"/>
        <w:rPr>
          <w:rFonts w:cs="Times New Roman"/>
        </w:rPr>
      </w:pPr>
      <w:r>
        <w:rPr>
          <w:rFonts w:cs="Times New Roman"/>
        </w:rPr>
        <w:t>实现与验证：训练配置、损失模式和权重均随模型版本保存，能够根据数据规模和验证任务选择MSE或MSE+PINN模式。最终精度仍以独立W30Mo70实验测试集的5测点平均温度误差进行核查，从而将数据拟合效果与工程测温结果统一起来。</w:t>
      </w:r>
    </w:p>
    <w:p w14:paraId="55A04D6D">
      <w:pPr>
        <w:keepNext/>
        <w:keepLines/>
        <w:numPr>
          <w:ilvl w:val="3"/>
          <w:numId w:val="1"/>
        </w:numPr>
        <w:spacing w:before="100" w:beforeAutospacing="1" w:after="100" w:afterAutospacing="1" w:line="240" w:lineRule="auto"/>
        <w:ind w:left="862" w:hanging="862"/>
        <w:outlineLvl w:val="3"/>
        <w:rPr>
          <w:rFonts w:eastAsia="黑体" w:cs="Times New Roman"/>
          <w:szCs w:val="28"/>
        </w:rPr>
      </w:pPr>
      <w:r>
        <w:rPr>
          <w:rFonts w:eastAsia="黑体" w:cs="Times New Roman"/>
          <w:szCs w:val="28"/>
        </w:rPr>
        <w:t>新增试验数据的增量训练与模型更新</w:t>
      </w:r>
    </w:p>
    <w:p w14:paraId="01C72212">
      <w:pPr>
        <w:ind w:firstLine="480" w:firstLineChars="200"/>
        <w:rPr>
          <w:rFonts w:cs="Times New Roman"/>
        </w:rPr>
      </w:pPr>
      <w:r>
        <w:rPr>
          <w:rFonts w:cs="Times New Roman"/>
        </w:rPr>
        <w:t>技术难点：实验数据会随试验进展持续增加。若每次均从头执行全量训练，不仅计算开销较大，而且训练参数、数据处理规则和评价口径可能发生变化，难以比较模型更新前后的差异，也不利于验收过程核查。</w:t>
      </w:r>
    </w:p>
    <w:p w14:paraId="4F72CD5A">
      <w:pPr>
        <w:ind w:firstLine="480" w:firstLineChars="200"/>
        <w:rPr>
          <w:rFonts w:cs="Times New Roman"/>
        </w:rPr>
      </w:pPr>
      <w:r>
        <w:rPr>
          <w:rFonts w:cs="Times New Roman"/>
        </w:rPr>
        <w:t>解决措施：以基础checkpoint为增量训练起点，通过图形化界面导入新增实验数据清单、材料类型、维度和稳态/瞬态工况。增量任务冻结已经验证的训练参数与配置，使数据预处理规则、测点映射和关键训练条件保持一致，仅依据新增样本执行模型权重更新；训练结束后生成新的checkpoint，并保存日志、模型配置和版本信息。</w:t>
      </w:r>
    </w:p>
    <w:p w14:paraId="023CD41D">
      <w:pPr>
        <w:ind w:firstLine="480" w:firstLineChars="200"/>
        <w:rPr>
          <w:rFonts w:cs="Times New Roman"/>
        </w:rPr>
      </w:pPr>
      <w:r>
        <w:rPr>
          <w:rFonts w:cs="Times New Roman"/>
        </w:rPr>
        <w:t>实现与验证：在线增量训练流程已完成运行核查，训练循环能够正常结束并生成新的模型参数文件，基础模型和增量模型可分别加载。结果目录保留训练前后模型文件、训练日志和更新记录，使新增数据导入、权重变化及模型版本能够复核。</w:t>
      </w:r>
    </w:p>
    <w:p w14:paraId="72A1FB8D">
      <w:pPr>
        <w:keepNext/>
        <w:keepLines/>
        <w:numPr>
          <w:ilvl w:val="3"/>
          <w:numId w:val="1"/>
        </w:numPr>
        <w:spacing w:before="100" w:beforeAutospacing="1" w:after="100" w:afterAutospacing="1" w:line="240" w:lineRule="auto"/>
        <w:ind w:left="862" w:hanging="862"/>
        <w:outlineLvl w:val="3"/>
        <w:rPr>
          <w:rFonts w:eastAsia="黑体" w:cs="Times New Roman"/>
          <w:szCs w:val="28"/>
        </w:rPr>
      </w:pPr>
      <w:r>
        <w:rPr>
          <w:rFonts w:eastAsia="黑体" w:cs="Times New Roman"/>
          <w:szCs w:val="28"/>
        </w:rPr>
        <w:t>一维、二维稳态和瞬态温度场统一重构</w:t>
      </w:r>
    </w:p>
    <w:p w14:paraId="4B3C5812">
      <w:pPr>
        <w:ind w:firstLine="480" w:firstLineChars="200"/>
        <w:rPr>
          <w:rFonts w:cs="Times New Roman"/>
        </w:rPr>
      </w:pPr>
      <w:r>
        <w:rPr>
          <w:rFonts w:cs="Times New Roman"/>
        </w:rPr>
        <w:t>技术难点：一维温度场主要描述厚度方向温度变化，二维温度场则需要反映宽度与厚度两个方向的空间分布；稳态和瞬态工况又具有不同的温度水平和变化特征。若分别建立模型和评价规则，会造成数据接口、输出格式和精度口径不一致。</w:t>
      </w:r>
    </w:p>
    <w:p w14:paraId="650B8114">
      <w:pPr>
        <w:ind w:firstLine="480" w:firstLineChars="200"/>
        <w:rPr>
          <w:rFonts w:cs="Times New Roman"/>
        </w:rPr>
      </w:pPr>
      <w:r>
        <w:rPr>
          <w:rFonts w:cs="Times New Roman"/>
        </w:rPr>
        <w:t>解决措施：模型始终输出二维完整温度场，一维结果从x=0.50中心线提取。测点采用相对于试件宽度和厚度的归一化坐标，首次在网格中确定最近节点后固化node_id，并在全部样本中复用。四类工况均以5个代表性测点的参考平均温度和AI预测平均温度计算相对误差。</w:t>
      </w:r>
    </w:p>
    <w:p w14:paraId="0563D49B">
      <w:pPr>
        <w:ind w:firstLine="480" w:firstLineChars="200"/>
        <w:rPr>
          <w:rFonts w:cs="Times New Roman"/>
        </w:rPr>
      </w:pPr>
      <w:r>
        <w:rPr>
          <w:rFonts w:cs="Times New Roman"/>
        </w:rPr>
        <w:t>相对误差采用 δT = |T̄AI − T̄ref| / max(|T̄ref|, ε) × 100%。其中T̄AI为5个测点AI预测温度的算术平均值，T̄ref为5个测点参考温度的算术平均值，单位均为K；ε为防止分母为零的正数。该公式适用于一维、二维稳态和瞬态四类试验测温评价。</w:t>
      </w:r>
    </w:p>
    <w:p w14:paraId="61DFE6D8">
      <w:pPr>
        <w:ind w:firstLine="480" w:firstLineChars="200"/>
        <w:rPr>
          <w:rFonts w:cs="Times New Roman"/>
        </w:rPr>
      </w:pPr>
      <w:r>
        <w:rPr>
          <w:rFonts w:cs="Times New Roman"/>
        </w:rPr>
        <w:t>实现与验证：W30Mo70试件的一维稳态、一维瞬态、二维稳态和二维瞬态相对误差分别为0.7221%、3.3637%、0.7095%和3.3221%，均小于10%。统一输出和固定测点评价机制保证了四类工况结果可比较、可复核。</w:t>
      </w:r>
    </w:p>
    <w:p w14:paraId="65A7D092">
      <w:pPr>
        <w:keepNext/>
        <w:keepLines/>
        <w:numPr>
          <w:ilvl w:val="3"/>
          <w:numId w:val="1"/>
        </w:numPr>
        <w:spacing w:before="100" w:beforeAutospacing="1" w:after="100" w:afterAutospacing="1" w:line="240" w:lineRule="auto"/>
        <w:ind w:left="862" w:hanging="862"/>
        <w:outlineLvl w:val="3"/>
        <w:rPr>
          <w:rFonts w:eastAsia="黑体" w:cs="Times New Roman"/>
          <w:szCs w:val="28"/>
        </w:rPr>
      </w:pPr>
      <w:r>
        <w:rPr>
          <w:rFonts w:eastAsia="黑体" w:cs="Times New Roman"/>
          <w:szCs w:val="28"/>
        </w:rPr>
        <w:t>快速推理及跨语言程序集成</w:t>
      </w:r>
    </w:p>
    <w:p w14:paraId="71F964A7">
      <w:pPr>
        <w:ind w:firstLine="480" w:firstLineChars="200"/>
        <w:rPr>
          <w:rFonts w:cs="Times New Roman"/>
        </w:rPr>
      </w:pPr>
      <w:r>
        <w:rPr>
          <w:rFonts w:cs="Times New Roman"/>
        </w:rPr>
        <w:t>技术难点：传统温度场反演方法通常需要多轮调用正演模型并迭代更新参数，单次任务耗时较长。人工智能模块除满足精度要求外，还需在Windows环境下与既有数值程序协同运行，并形成可由图形化界面调用的完整流程。</w:t>
      </w:r>
    </w:p>
    <w:p w14:paraId="07973EED">
      <w:pPr>
        <w:ind w:firstLine="480" w:firstLineChars="200"/>
        <w:rPr>
          <w:rFonts w:cs="Times New Roman"/>
        </w:rPr>
      </w:pPr>
      <w:r>
        <w:rPr>
          <w:rFonts w:cs="Times New Roman"/>
        </w:rPr>
        <w:t>解决措施：在训练完成后采用GPU加速和并行前向推理直接获得二维完整温度场，避免传统优化算法的多轮迭代。软件在Windows平台运行，Python模块负责数据库构建、模型训练、预测、增量训练及图形化流程，Fortran模块承担预测指标等数值计算，并通过文件和标准调用接口完成数据交换。</w:t>
      </w:r>
    </w:p>
    <w:p w14:paraId="5055BF12">
      <w:pPr>
        <w:ind w:firstLine="480" w:firstLineChars="200"/>
        <w:rPr>
          <w:rFonts w:cs="Times New Roman"/>
        </w:rPr>
      </w:pPr>
      <w:r>
        <w:rPr>
          <w:rFonts w:cs="Times New Roman"/>
        </w:rPr>
        <w:t>实现与验证：推理日志记录4个完整温度场总耗时约0.248766 s，平均约0.0622 s/场。共轭梯度法、灵敏度法和最速下降法平均耗时分别为18.67 s、11.10 s和12.44 s，对应加速比约300.2、178.5和200.0。Windows图形化界面、Python人工智能模块和Fortran数值计算模块均完成运行核查。</w:t>
      </w:r>
    </w:p>
    <w:p w14:paraId="048FFF7E">
      <w:pPr>
        <w:pStyle w:val="4"/>
      </w:pPr>
      <w:bookmarkStart w:id="153" w:name="_Toc235910491"/>
      <w:r>
        <w:rPr>
          <w:rFonts w:hint="eastAsia"/>
        </w:rPr>
        <w:t>取得成就</w:t>
      </w:r>
      <w:bookmarkEnd w:id="153"/>
    </w:p>
    <w:p w14:paraId="2349321B">
      <w:pPr>
        <w:pStyle w:val="5"/>
      </w:pPr>
      <w:bookmarkStart w:id="154" w:name="_Toc235910492"/>
      <w:r>
        <w:t>复合材料热声固耦合分析模块取得的成就</w:t>
      </w:r>
      <w:bookmarkEnd w:id="154"/>
    </w:p>
    <w:p w14:paraId="4A140B87">
      <w:pPr>
        <w:ind w:firstLine="480" w:firstLineChars="200"/>
      </w:pPr>
      <w:r>
        <w:t>1、完成从温度场、热应力场到超声传播和接收信号分析的顺序耦合链路，能够在统一材料和网格体系下传递温度、密度、刚度、预应力和阻尼状态，减少不同计算阶段的重复建模和人工转换。</w:t>
      </w:r>
    </w:p>
    <w:p w14:paraId="7E0B0C16">
      <w:pPr>
        <w:ind w:firstLine="480" w:firstLineChars="200"/>
      </w:pPr>
      <w:r>
        <w:t>2、实现周期纤维单胞建模、周期约束、热学与力学均匀化、频域等效黏性计算和宏观材料传递。宏观模型无需显式划分全部纤维即可获得温度相关的各向异性有效参数。</w:t>
      </w:r>
    </w:p>
    <w:p w14:paraId="08DBA43A">
      <w:pPr>
        <w:ind w:firstLine="480" w:firstLineChars="200"/>
      </w:pPr>
      <w:r>
        <w:t>3、实现温度相关、各向异性和黏弹性材料模型，并支持热接触阻力、界面弹簧和界面阻尼，可分析有限传热、有限结合刚度及界面耗散对温度、应力和超声波形的影响。</w:t>
      </w:r>
    </w:p>
    <w:p w14:paraId="6D37FED6">
      <w:pPr>
        <w:ind w:firstLine="480" w:firstLineChars="200"/>
      </w:pPr>
      <w:r>
        <w:t>4、通过方向波速扫描、时间步联合约束、PML吸收边界、牵引源合力诊断、自平衡激励和刚体运动扣除，降低数值发散、人工边界反射及低频伪信号风险。</w:t>
      </w:r>
    </w:p>
    <w:p w14:paraId="183859AC">
      <w:pPr>
        <w:ind w:firstLine="480" w:firstLineChars="200"/>
      </w:pPr>
      <w:r>
        <w:t>5、既可采用力、牵引、速度和位移等机械源开展快速计算，也可通过压电材料区域、电极和电势自由度模拟电压驱动及电学接收，满足不同精度层级的换能仿真需求。</w:t>
      </w:r>
    </w:p>
    <w:p w14:paraId="44D4CDC3">
      <w:pPr>
        <w:ind w:firstLine="480" w:firstLineChars="200"/>
      </w:pPr>
      <w:r>
        <w:t>6、一维模块用于多层结构参数扫描、厚度方向导热、热应力和纵波分析；二维模块进一步处理局部几何、复杂界面、剪切效应和探头孔径，两类模型可用于分级分析和相互校核。</w:t>
      </w:r>
    </w:p>
    <w:p w14:paraId="32E6871C">
      <w:pPr>
        <w:ind w:firstLine="480" w:firstLineChars="200"/>
      </w:pPr>
      <w:r>
        <w:t>7、通过稀疏矩阵、积分预计算、批量材料评价和Fortran内核降低T6模型装配开销；建立配置校验、健康检查和覆盖热学、力学、超声、界面、均匀化及后处理链路的自动化测试。</w:t>
      </w:r>
    </w:p>
    <w:p w14:paraId="50DA0BC5">
      <w:pPr>
        <w:ind w:firstLine="480" w:firstLineChars="200"/>
      </w:pPr>
      <w:r>
        <w:t>8、模型配置、材料参数、节点场、单元场、监控曲线、时域波形、频域和时频特征均可保存和复核，为参数对比、模型校核、问题定位和工程报告编制提供完整数据基础。</w:t>
      </w:r>
    </w:p>
    <w:p w14:paraId="18514551">
      <w:pPr>
        <w:ind w:firstLine="480" w:firstLineChars="200"/>
      </w:pPr>
    </w:p>
    <w:p w14:paraId="36B36F57">
      <w:pPr>
        <w:ind w:firstLine="480" w:firstLineChars="200"/>
      </w:pPr>
    </w:p>
    <w:p w14:paraId="58027329">
      <w:pPr>
        <w:pStyle w:val="33"/>
      </w:pPr>
      <w:r>
        <w:t xml:space="preserve">表 </w:t>
      </w:r>
      <w:r>
        <w:fldChar w:fldCharType="begin"/>
      </w:r>
      <w:r>
        <w:instrText xml:space="preserve"> STYLEREF 1 \s </w:instrText>
      </w:r>
      <w:r>
        <w:fldChar w:fldCharType="separate"/>
      </w:r>
      <w:r>
        <w:t>5</w:t>
      </w:r>
      <w:r>
        <w:fldChar w:fldCharType="end"/>
      </w:r>
      <w:r>
        <w:noBreakHyphen/>
      </w:r>
      <w:r>
        <w:fldChar w:fldCharType="begin"/>
      </w:r>
      <w:r>
        <w:instrText xml:space="preserve"> SEQ 表 \* ARABIC \s 1 </w:instrText>
      </w:r>
      <w:r>
        <w:fldChar w:fldCharType="separate"/>
      </w:r>
      <w:r>
        <w:t>3</w:t>
      </w:r>
      <w:r>
        <w:fldChar w:fldCharType="end"/>
      </w:r>
      <w:r>
        <w:t xml:space="preserve"> 关键技术攻关取得成效</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5"/>
        <w:gridCol w:w="3550"/>
        <w:gridCol w:w="3559"/>
      </w:tblGrid>
      <w:tr w14:paraId="5B4E0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35" w:type="pct"/>
            <w:tcMar>
              <w:top w:w="80" w:type="dxa"/>
              <w:left w:w="120" w:type="dxa"/>
              <w:bottom w:w="80" w:type="dxa"/>
              <w:right w:w="120" w:type="dxa"/>
            </w:tcMar>
            <w:vAlign w:val="center"/>
          </w:tcPr>
          <w:p w14:paraId="7108C9A1">
            <w:pPr>
              <w:spacing w:line="240" w:lineRule="auto"/>
              <w:jc w:val="center"/>
              <w:rPr>
                <w:rFonts w:ascii="Cambria Math" w:hAnsi="Cambria Math" w:cs="Times New Roman"/>
              </w:rPr>
            </w:pPr>
            <w:r>
              <w:rPr>
                <w:rFonts w:ascii="Cambria Math" w:hAnsi="Cambria Math" w:cs="Times New Roman"/>
              </w:rPr>
              <w:t>成效类别</w:t>
            </w:r>
          </w:p>
        </w:tc>
        <w:tc>
          <w:tcPr>
            <w:tcW w:w="2030" w:type="pct"/>
            <w:tcMar>
              <w:top w:w="80" w:type="dxa"/>
              <w:left w:w="120" w:type="dxa"/>
              <w:bottom w:w="80" w:type="dxa"/>
              <w:right w:w="120" w:type="dxa"/>
            </w:tcMar>
            <w:vAlign w:val="center"/>
          </w:tcPr>
          <w:p w14:paraId="792C083E">
            <w:pPr>
              <w:spacing w:line="240" w:lineRule="auto"/>
              <w:jc w:val="center"/>
              <w:rPr>
                <w:rFonts w:ascii="Cambria Math" w:hAnsi="Cambria Math" w:cs="Times New Roman"/>
              </w:rPr>
            </w:pPr>
            <w:r>
              <w:rPr>
                <w:rFonts w:ascii="Cambria Math" w:hAnsi="Cambria Math" w:cs="Times New Roman"/>
              </w:rPr>
              <w:t>已形成能力</w:t>
            </w:r>
          </w:p>
        </w:tc>
        <w:tc>
          <w:tcPr>
            <w:tcW w:w="2035" w:type="pct"/>
            <w:tcMar>
              <w:top w:w="80" w:type="dxa"/>
              <w:left w:w="120" w:type="dxa"/>
              <w:bottom w:w="80" w:type="dxa"/>
              <w:right w:w="120" w:type="dxa"/>
            </w:tcMar>
            <w:vAlign w:val="center"/>
          </w:tcPr>
          <w:p w14:paraId="29451BF3">
            <w:pPr>
              <w:spacing w:line="240" w:lineRule="auto"/>
              <w:jc w:val="center"/>
              <w:rPr>
                <w:rFonts w:ascii="Cambria Math" w:hAnsi="Cambria Math" w:cs="Times New Roman"/>
              </w:rPr>
            </w:pPr>
            <w:r>
              <w:rPr>
                <w:rFonts w:ascii="Cambria Math" w:hAnsi="Cambria Math" w:cs="Times New Roman"/>
              </w:rPr>
              <w:t>工程价值</w:t>
            </w:r>
          </w:p>
        </w:tc>
      </w:tr>
      <w:tr w14:paraId="2549E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5" w:type="pct"/>
          </w:tcPr>
          <w:p w14:paraId="5AC7D405">
            <w:pPr>
              <w:spacing w:line="240" w:lineRule="auto"/>
              <w:jc w:val="center"/>
              <w:rPr>
                <w:rFonts w:ascii="Cambria Math" w:hAnsi="Cambria Math" w:cs="Times New Roman"/>
              </w:rPr>
            </w:pPr>
            <w:r>
              <w:rPr>
                <w:rFonts w:ascii="Cambria Math" w:hAnsi="Cambria Math" w:cs="Times New Roman"/>
              </w:rPr>
              <w:t>多物理场分析</w:t>
            </w:r>
          </w:p>
        </w:tc>
        <w:tc>
          <w:tcPr>
            <w:tcW w:w="2030" w:type="pct"/>
          </w:tcPr>
          <w:p w14:paraId="3F1DB57C">
            <w:pPr>
              <w:spacing w:line="240" w:lineRule="auto"/>
              <w:jc w:val="center"/>
              <w:rPr>
                <w:rFonts w:ascii="Cambria Math" w:hAnsi="Cambria Math" w:cs="Times New Roman"/>
              </w:rPr>
            </w:pPr>
            <w:r>
              <w:rPr>
                <w:rFonts w:ascii="Cambria Math" w:hAnsi="Cambria Math" w:cs="Times New Roman"/>
              </w:rPr>
              <w:t>热传导、热弹性和超声传播顺序耦合</w:t>
            </w:r>
          </w:p>
        </w:tc>
        <w:tc>
          <w:tcPr>
            <w:tcW w:w="2035" w:type="pct"/>
          </w:tcPr>
          <w:p w14:paraId="71C81E93">
            <w:pPr>
              <w:spacing w:line="240" w:lineRule="auto"/>
              <w:jc w:val="center"/>
              <w:rPr>
                <w:rFonts w:ascii="Cambria Math" w:hAnsi="Cambria Math" w:cs="Times New Roman"/>
              </w:rPr>
            </w:pPr>
            <w:r>
              <w:rPr>
                <w:rFonts w:ascii="Cambria Math" w:hAnsi="Cambria Math" w:cs="Times New Roman"/>
              </w:rPr>
              <w:t>分析温度和热应力对超声检测结果的影响</w:t>
            </w:r>
          </w:p>
        </w:tc>
      </w:tr>
      <w:tr w14:paraId="152AE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5" w:type="pct"/>
          </w:tcPr>
          <w:p w14:paraId="1F303070">
            <w:pPr>
              <w:spacing w:line="240" w:lineRule="auto"/>
              <w:jc w:val="center"/>
              <w:rPr>
                <w:rFonts w:ascii="Cambria Math" w:hAnsi="Cambria Math" w:cs="Times New Roman"/>
              </w:rPr>
            </w:pPr>
            <w:r>
              <w:rPr>
                <w:rFonts w:ascii="Cambria Math" w:hAnsi="Cambria Math" w:cs="Times New Roman"/>
              </w:rPr>
              <w:t>SiC/SiC多尺度</w:t>
            </w:r>
          </w:p>
        </w:tc>
        <w:tc>
          <w:tcPr>
            <w:tcW w:w="2030" w:type="pct"/>
          </w:tcPr>
          <w:p w14:paraId="16BF0411">
            <w:pPr>
              <w:spacing w:line="240" w:lineRule="auto"/>
              <w:jc w:val="center"/>
              <w:rPr>
                <w:rFonts w:ascii="Cambria Math" w:hAnsi="Cambria Math" w:cs="Times New Roman"/>
              </w:rPr>
            </w:pPr>
            <w:r>
              <w:rPr>
                <w:rFonts w:ascii="Cambria Math" w:hAnsi="Cambria Math" w:cs="Times New Roman"/>
              </w:rPr>
              <w:t>周期单胞均匀化及宏观等效参数传递</w:t>
            </w:r>
          </w:p>
        </w:tc>
        <w:tc>
          <w:tcPr>
            <w:tcW w:w="2035" w:type="pct"/>
          </w:tcPr>
          <w:p w14:paraId="390BCFAD">
            <w:pPr>
              <w:spacing w:line="240" w:lineRule="auto"/>
              <w:jc w:val="center"/>
              <w:rPr>
                <w:rFonts w:ascii="Cambria Math" w:hAnsi="Cambria Math" w:cs="Times New Roman"/>
              </w:rPr>
            </w:pPr>
            <w:r>
              <w:rPr>
                <w:rFonts w:ascii="Cambria Math" w:hAnsi="Cambria Math" w:cs="Times New Roman"/>
              </w:rPr>
              <w:t>避免宏观模型显式划分大量纤维</w:t>
            </w:r>
          </w:p>
        </w:tc>
      </w:tr>
      <w:tr w14:paraId="0D07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5" w:type="pct"/>
          </w:tcPr>
          <w:p w14:paraId="2B1E991B">
            <w:pPr>
              <w:spacing w:line="240" w:lineRule="auto"/>
              <w:jc w:val="center"/>
              <w:rPr>
                <w:rFonts w:ascii="Cambria Math" w:hAnsi="Cambria Math" w:cs="Times New Roman"/>
              </w:rPr>
            </w:pPr>
            <w:r>
              <w:rPr>
                <w:rFonts w:ascii="Cambria Math" w:hAnsi="Cambria Math" w:cs="Times New Roman"/>
              </w:rPr>
              <w:t>材料与界面</w:t>
            </w:r>
          </w:p>
        </w:tc>
        <w:tc>
          <w:tcPr>
            <w:tcW w:w="2030" w:type="pct"/>
          </w:tcPr>
          <w:p w14:paraId="4FE461B2">
            <w:pPr>
              <w:spacing w:line="240" w:lineRule="auto"/>
              <w:jc w:val="center"/>
              <w:rPr>
                <w:rFonts w:ascii="Cambria Math" w:hAnsi="Cambria Math" w:cs="Times New Roman"/>
              </w:rPr>
            </w:pPr>
            <w:r>
              <w:rPr>
                <w:rFonts w:ascii="Cambria Math" w:hAnsi="Cambria Math" w:cs="Times New Roman"/>
              </w:rPr>
              <w:t>温度相关、各向异性、黏弹性及不完全界面</w:t>
            </w:r>
          </w:p>
        </w:tc>
        <w:tc>
          <w:tcPr>
            <w:tcW w:w="2035" w:type="pct"/>
          </w:tcPr>
          <w:p w14:paraId="0784CF0C">
            <w:pPr>
              <w:spacing w:line="240" w:lineRule="auto"/>
              <w:jc w:val="center"/>
              <w:rPr>
                <w:rFonts w:ascii="Cambria Math" w:hAnsi="Cambria Math" w:cs="Times New Roman"/>
              </w:rPr>
            </w:pPr>
            <w:r>
              <w:rPr>
                <w:rFonts w:ascii="Cambria Math" w:hAnsi="Cambria Math" w:cs="Times New Roman"/>
              </w:rPr>
              <w:t>适应复合材料和高温多层结构分析</w:t>
            </w:r>
          </w:p>
        </w:tc>
      </w:tr>
      <w:tr w14:paraId="030FA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5" w:type="pct"/>
          </w:tcPr>
          <w:p w14:paraId="7A02FD51">
            <w:pPr>
              <w:spacing w:line="240" w:lineRule="auto"/>
              <w:jc w:val="center"/>
              <w:rPr>
                <w:rFonts w:ascii="Cambria Math" w:hAnsi="Cambria Math" w:cs="Times New Roman"/>
              </w:rPr>
            </w:pPr>
            <w:r>
              <w:rPr>
                <w:rFonts w:ascii="Cambria Math" w:hAnsi="Cambria Math" w:cs="Times New Roman"/>
              </w:rPr>
              <w:t>高精度离散</w:t>
            </w:r>
          </w:p>
        </w:tc>
        <w:tc>
          <w:tcPr>
            <w:tcW w:w="2030" w:type="pct"/>
          </w:tcPr>
          <w:p w14:paraId="5FBD1458">
            <w:pPr>
              <w:spacing w:line="240" w:lineRule="auto"/>
              <w:jc w:val="center"/>
              <w:rPr>
                <w:rFonts w:ascii="Cambria Math" w:hAnsi="Cambria Math" w:cs="Times New Roman"/>
              </w:rPr>
            </w:pPr>
            <w:r>
              <w:rPr>
                <w:rFonts w:ascii="Cambria Math" w:hAnsi="Cambria Math" w:cs="Times New Roman"/>
              </w:rPr>
              <w:t>热、力、超声统一采用T6有限元</w:t>
            </w:r>
          </w:p>
        </w:tc>
        <w:tc>
          <w:tcPr>
            <w:tcW w:w="2035" w:type="pct"/>
          </w:tcPr>
          <w:p w14:paraId="73C260FD">
            <w:pPr>
              <w:spacing w:line="240" w:lineRule="auto"/>
              <w:jc w:val="center"/>
              <w:rPr>
                <w:rFonts w:ascii="Cambria Math" w:hAnsi="Cambria Math" w:cs="Times New Roman"/>
              </w:rPr>
            </w:pPr>
            <w:r>
              <w:rPr>
                <w:rFonts w:ascii="Cambria Math" w:hAnsi="Cambria Math" w:cs="Times New Roman"/>
              </w:rPr>
              <w:t>提高复杂边界和高频波场空间精度</w:t>
            </w:r>
          </w:p>
        </w:tc>
      </w:tr>
      <w:tr w14:paraId="1B61A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5" w:type="pct"/>
          </w:tcPr>
          <w:p w14:paraId="0BB05B90">
            <w:pPr>
              <w:spacing w:line="240" w:lineRule="auto"/>
              <w:jc w:val="center"/>
              <w:rPr>
                <w:rFonts w:ascii="Cambria Math" w:hAnsi="Cambria Math" w:cs="Times New Roman"/>
              </w:rPr>
            </w:pPr>
            <w:r>
              <w:rPr>
                <w:rFonts w:ascii="Cambria Math" w:hAnsi="Cambria Math" w:cs="Times New Roman"/>
              </w:rPr>
              <w:t>稳定性控制</w:t>
            </w:r>
          </w:p>
        </w:tc>
        <w:tc>
          <w:tcPr>
            <w:tcW w:w="2030" w:type="pct"/>
          </w:tcPr>
          <w:p w14:paraId="07B56C4C">
            <w:pPr>
              <w:spacing w:line="240" w:lineRule="auto"/>
              <w:jc w:val="center"/>
              <w:rPr>
                <w:rFonts w:ascii="Cambria Math" w:hAnsi="Cambria Math" w:cs="Times New Roman"/>
              </w:rPr>
            </w:pPr>
            <w:r>
              <w:rPr>
                <w:rFonts w:ascii="Cambria Math" w:hAnsi="Cambria Math" w:cs="Times New Roman"/>
              </w:rPr>
              <w:t>网格、波长、时间步、PML和异常状态检查</w:t>
            </w:r>
          </w:p>
        </w:tc>
        <w:tc>
          <w:tcPr>
            <w:tcW w:w="2035" w:type="pct"/>
          </w:tcPr>
          <w:p w14:paraId="560866EE">
            <w:pPr>
              <w:spacing w:line="240" w:lineRule="auto"/>
              <w:jc w:val="center"/>
              <w:rPr>
                <w:rFonts w:ascii="Cambria Math" w:hAnsi="Cambria Math" w:cs="Times New Roman"/>
              </w:rPr>
            </w:pPr>
            <w:r>
              <w:rPr>
                <w:rFonts w:ascii="Cambria Math" w:hAnsi="Cambria Math" w:cs="Times New Roman"/>
              </w:rPr>
              <w:t>降低发散、色散及伪反射风险</w:t>
            </w:r>
          </w:p>
        </w:tc>
      </w:tr>
      <w:tr w14:paraId="4841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5" w:type="pct"/>
          </w:tcPr>
          <w:p w14:paraId="0C39D6F3">
            <w:pPr>
              <w:spacing w:line="240" w:lineRule="auto"/>
              <w:jc w:val="center"/>
              <w:rPr>
                <w:rFonts w:ascii="Cambria Math" w:hAnsi="Cambria Math" w:cs="Times New Roman"/>
              </w:rPr>
            </w:pPr>
            <w:r>
              <w:rPr>
                <w:rFonts w:ascii="Cambria Math" w:hAnsi="Cambria Math" w:cs="Times New Roman"/>
              </w:rPr>
              <w:t>压电换能</w:t>
            </w:r>
          </w:p>
        </w:tc>
        <w:tc>
          <w:tcPr>
            <w:tcW w:w="2030" w:type="pct"/>
          </w:tcPr>
          <w:p w14:paraId="21F7E2B9">
            <w:pPr>
              <w:spacing w:line="240" w:lineRule="auto"/>
              <w:jc w:val="center"/>
              <w:rPr>
                <w:rFonts w:ascii="Cambria Math" w:hAnsi="Cambria Math" w:cs="Times New Roman"/>
              </w:rPr>
            </w:pPr>
            <w:r>
              <w:rPr>
                <w:rFonts w:ascii="Cambria Math" w:hAnsi="Cambria Math" w:cs="Times New Roman"/>
              </w:rPr>
              <w:t>电压激励、电势求解和电学接收</w:t>
            </w:r>
          </w:p>
        </w:tc>
        <w:tc>
          <w:tcPr>
            <w:tcW w:w="2035" w:type="pct"/>
          </w:tcPr>
          <w:p w14:paraId="3DC1A0C2">
            <w:pPr>
              <w:spacing w:line="240" w:lineRule="auto"/>
              <w:jc w:val="center"/>
              <w:rPr>
                <w:rFonts w:ascii="Cambria Math" w:hAnsi="Cambria Math" w:cs="Times New Roman"/>
              </w:rPr>
            </w:pPr>
            <w:r>
              <w:rPr>
                <w:rFonts w:ascii="Cambria Math" w:hAnsi="Cambria Math" w:cs="Times New Roman"/>
              </w:rPr>
              <w:t>模拟真实压电探头发射与接收过程</w:t>
            </w:r>
          </w:p>
        </w:tc>
      </w:tr>
      <w:tr w14:paraId="0D63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5" w:type="pct"/>
          </w:tcPr>
          <w:p w14:paraId="027F713B">
            <w:pPr>
              <w:spacing w:line="240" w:lineRule="auto"/>
              <w:jc w:val="center"/>
              <w:rPr>
                <w:rFonts w:ascii="Cambria Math" w:hAnsi="Cambria Math" w:cs="Times New Roman"/>
              </w:rPr>
            </w:pPr>
            <w:r>
              <w:rPr>
                <w:rFonts w:ascii="Cambria Math" w:hAnsi="Cambria Math" w:cs="Times New Roman"/>
              </w:rPr>
              <w:t>分级计算</w:t>
            </w:r>
          </w:p>
        </w:tc>
        <w:tc>
          <w:tcPr>
            <w:tcW w:w="2030" w:type="pct"/>
          </w:tcPr>
          <w:p w14:paraId="6E279B94">
            <w:pPr>
              <w:spacing w:line="240" w:lineRule="auto"/>
              <w:jc w:val="center"/>
              <w:rPr>
                <w:rFonts w:ascii="Cambria Math" w:hAnsi="Cambria Math" w:cs="Times New Roman"/>
              </w:rPr>
            </w:pPr>
            <w:r>
              <w:rPr>
                <w:rFonts w:ascii="Cambria Math" w:hAnsi="Cambria Math" w:cs="Times New Roman"/>
              </w:rPr>
              <w:t>一维快速分析与二维精细分析</w:t>
            </w:r>
          </w:p>
        </w:tc>
        <w:tc>
          <w:tcPr>
            <w:tcW w:w="2035" w:type="pct"/>
          </w:tcPr>
          <w:p w14:paraId="008870FC">
            <w:pPr>
              <w:spacing w:line="240" w:lineRule="auto"/>
              <w:jc w:val="center"/>
              <w:rPr>
                <w:rFonts w:ascii="Cambria Math" w:hAnsi="Cambria Math" w:cs="Times New Roman"/>
              </w:rPr>
            </w:pPr>
            <w:r>
              <w:rPr>
                <w:rFonts w:ascii="Cambria Math" w:hAnsi="Cambria Math" w:cs="Times New Roman"/>
              </w:rPr>
              <w:t>兼顾参数扫描效率和局部分析精度</w:t>
            </w:r>
          </w:p>
        </w:tc>
      </w:tr>
      <w:tr w14:paraId="523E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5" w:type="pct"/>
          </w:tcPr>
          <w:p w14:paraId="31BA0D63">
            <w:pPr>
              <w:spacing w:line="240" w:lineRule="auto"/>
              <w:jc w:val="center"/>
              <w:rPr>
                <w:rFonts w:ascii="Cambria Math" w:hAnsi="Cambria Math" w:cs="Times New Roman"/>
              </w:rPr>
            </w:pPr>
            <w:r>
              <w:rPr>
                <w:rFonts w:ascii="Cambria Math" w:hAnsi="Cambria Math" w:cs="Times New Roman"/>
              </w:rPr>
              <w:t>计算效率</w:t>
            </w:r>
          </w:p>
        </w:tc>
        <w:tc>
          <w:tcPr>
            <w:tcW w:w="2030" w:type="pct"/>
          </w:tcPr>
          <w:p w14:paraId="49A053F0">
            <w:pPr>
              <w:spacing w:line="240" w:lineRule="auto"/>
              <w:jc w:val="center"/>
              <w:rPr>
                <w:rFonts w:ascii="Cambria Math" w:hAnsi="Cambria Math" w:cs="Times New Roman"/>
              </w:rPr>
            </w:pPr>
            <w:r>
              <w:rPr>
                <w:rFonts w:ascii="Cambria Math" w:hAnsi="Cambria Math" w:cs="Times New Roman"/>
              </w:rPr>
              <w:t>稀疏矩阵、预计算和Fortran加速</w:t>
            </w:r>
          </w:p>
        </w:tc>
        <w:tc>
          <w:tcPr>
            <w:tcW w:w="2035" w:type="pct"/>
          </w:tcPr>
          <w:p w14:paraId="26C0EC87">
            <w:pPr>
              <w:spacing w:line="240" w:lineRule="auto"/>
              <w:jc w:val="center"/>
              <w:rPr>
                <w:rFonts w:ascii="Cambria Math" w:hAnsi="Cambria Math" w:cs="Times New Roman"/>
              </w:rPr>
            </w:pPr>
            <w:r>
              <w:rPr>
                <w:rFonts w:ascii="Cambria Math" w:hAnsi="Cambria Math" w:cs="Times New Roman"/>
              </w:rPr>
              <w:t>降低二维有限元装配和求解开销</w:t>
            </w:r>
          </w:p>
        </w:tc>
      </w:tr>
      <w:tr w14:paraId="63472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5" w:type="pct"/>
          </w:tcPr>
          <w:p w14:paraId="4B738738">
            <w:pPr>
              <w:spacing w:line="240" w:lineRule="auto"/>
              <w:jc w:val="center"/>
              <w:rPr>
                <w:rFonts w:ascii="Cambria Math" w:hAnsi="Cambria Math" w:cs="Times New Roman"/>
              </w:rPr>
            </w:pPr>
            <w:r>
              <w:rPr>
                <w:rFonts w:ascii="Cambria Math" w:hAnsi="Cambria Math" w:cs="Times New Roman"/>
              </w:rPr>
              <w:t>结果分析</w:t>
            </w:r>
          </w:p>
        </w:tc>
        <w:tc>
          <w:tcPr>
            <w:tcW w:w="2030" w:type="pct"/>
          </w:tcPr>
          <w:p w14:paraId="2A173FAB">
            <w:pPr>
              <w:spacing w:line="240" w:lineRule="auto"/>
              <w:jc w:val="center"/>
              <w:rPr>
                <w:rFonts w:ascii="Cambria Math" w:hAnsi="Cambria Math" w:cs="Times New Roman"/>
              </w:rPr>
            </w:pPr>
            <w:r>
              <w:rPr>
                <w:rFonts w:ascii="Cambria Math" w:hAnsi="Cambria Math" w:cs="Times New Roman"/>
              </w:rPr>
              <w:t>场结果、TOF、频谱、STFT和小波分析</w:t>
            </w:r>
          </w:p>
        </w:tc>
        <w:tc>
          <w:tcPr>
            <w:tcW w:w="2035" w:type="pct"/>
          </w:tcPr>
          <w:p w14:paraId="58F2522B">
            <w:pPr>
              <w:spacing w:line="240" w:lineRule="auto"/>
              <w:jc w:val="center"/>
              <w:rPr>
                <w:rFonts w:ascii="Cambria Math" w:hAnsi="Cambria Math" w:cs="Times New Roman"/>
              </w:rPr>
            </w:pPr>
            <w:r>
              <w:rPr>
                <w:rFonts w:ascii="Cambria Math" w:hAnsi="Cambria Math" w:cs="Times New Roman"/>
              </w:rPr>
              <w:t>支持结果判读、对比验证和报告编制</w:t>
            </w:r>
          </w:p>
        </w:tc>
      </w:tr>
    </w:tbl>
    <w:p w14:paraId="3CAF97C4">
      <w:pPr>
        <w:pStyle w:val="5"/>
      </w:pPr>
      <w:bookmarkStart w:id="155" w:name="_Toc235910493"/>
      <w:r>
        <w:t>声学多参数融合温度场反演模块取得的成就</w:t>
      </w:r>
      <w:bookmarkEnd w:id="155"/>
    </w:p>
    <w:p w14:paraId="375E1F35">
      <w:pPr>
        <w:pStyle w:val="6"/>
      </w:pPr>
      <w:r>
        <w:t>建立的单参数和多参数反演方法</w:t>
      </w:r>
    </w:p>
    <w:p w14:paraId="30E00866">
      <w:pPr>
        <w:ind w:firstLine="420"/>
      </w:pPr>
      <w:r>
        <w:t>建立了以超声声时为主要观测量的单参数温度场反演方法，并在此基础上形成了面向不同复合材料声学传播特点的多参数融合反演方法。多层材料采用界面回波声时、底面回波声时及底面回波与界面回波幅值比，金属基复合材料采用纵波声时与幅值相对衰减，硅基/碳基复合材料采用纵波声时、横波声时和幅值比。各声学参数均通过相对残差进行无量纲化，并按照设定权重组合为统一目标函数，从而保留不同声学特征的独立物理意义，同时增加对温度场的有效约束。</w:t>
      </w:r>
    </w:p>
    <w:p w14:paraId="1DAF0A39">
      <w:pPr>
        <w:ind w:firstLine="420"/>
      </w:pPr>
      <w:r>
        <w:t>形成了从声学特征数据读取、有效性检查、温度相关声学正演、多参数误差计算到反演结果输出的完整程序链。程序能够分别记录声时误差、幅值误差和正则化误差，对无效声时、异常回波顺序、非正幅值比及超出材料物性适用范围的候选参数自动进行惩罚处理。多层材料的单参数和多参数一维、二维稳态与瞬态温度场反演误差均小于10%；金属基复合材料和硅基/碳基复合材料采用BO+FD与PSO+CG两种方法完成的各类温度场反演工况也均达到温度误差不大于10%的要求，验证了多参数融合模型对不同材料和不同工况的适应性。</w:t>
      </w:r>
    </w:p>
    <w:p w14:paraId="5F27E607">
      <w:pPr>
        <w:pStyle w:val="6"/>
      </w:pPr>
      <w:r>
        <w:t>提出的新型组合优化方法</w:t>
      </w:r>
    </w:p>
    <w:p w14:paraId="18B072A9">
      <w:pPr>
        <w:ind w:firstLine="420"/>
      </w:pPr>
      <w:r>
        <w:t>在共轭梯度法、灵敏度法和最速下降法等经典方法基础上，提出并实现了BO+FD和PSO+CG两种全局搜索与局部精修相结合的组合优化方法。BO+FD方法利用贝叶斯优化在较大参数空间中建立高斯过程代理模型，通过期望改进函数选择具有搜索价值的热流参数，再以贝叶斯阶段获得的最优结果作为有限差分局部优化初值；PSO+CG方法通过粒子群的多粒子并行搜索获得全局较优热流分布，再利用共轭梯度方法对局部参数进行精细修正。</w:t>
      </w:r>
    </w:p>
    <w:p w14:paraId="442B883F">
      <w:pPr>
        <w:ind w:firstLine="420"/>
      </w:pPr>
      <w:r>
        <w:t>两种方法均实现了参数归一化、物理边界投影、无效解惩罚、平滑约束、并行正演计算和提前终止等功能。BO+FD通过代理模型减少无效的全局正演评价，并采用自适应有限差分和回溯线搜索提高局部收敛稳定性；PSO+CG通过动态惯性权重、邻域最优信息、粒子群多样性判断和停滞重启机制降低粒子过早聚集风险。由此形成了适用于稳态、瞬态及温度场—厚度联合反演的两类新型组合优化程序，降低了反演结果对人工初值的依赖。</w:t>
      </w:r>
    </w:p>
    <w:p w14:paraId="5516C455">
      <w:pPr>
        <w:pStyle w:val="6"/>
      </w:pPr>
      <w:r>
        <w:t>实现的温度场与厚度联合反演功能</w:t>
      </w:r>
    </w:p>
    <w:p w14:paraId="6576DCD9">
      <w:pPr>
        <w:ind w:firstLine="420"/>
      </w:pPr>
      <w:r>
        <w:t>实现了热流参数与试件厚度同步参与优化的温度场—厚度联合反演功能。程序将厚度作为独立待反演参数，并在每一次候选参数评价中根据当前厚度重新确定物理计算区域、测温位置和超声传播距离，再依次完成温度场求解、声速场更新、声线路径计算和声学参数预测。通过归一化厚度坐标保持不同候选厚度下网格拓扑、热流控制点和评价点的相对位置一致，避免厚度变化造成计算模型不一致。</w:t>
      </w:r>
    </w:p>
    <w:p w14:paraId="1C036739">
      <w:pPr>
        <w:ind w:firstLine="480" w:firstLineChars="200"/>
      </w:pPr>
      <w:r>
        <w:t>联合反演功能覆盖三类材料的单参数、多参数、一维、二维、稳态和瞬态工况。多层材料联合反演的温度误差为0.328%</w:t>
      </w:r>
      <w:r>
        <w:rPr>
          <w:rFonts w:hint="eastAsia"/>
        </w:rPr>
        <w:t>-</w:t>
      </w:r>
      <w:r>
        <w:t>9.926%，厚度误差为0.197%</w:t>
      </w:r>
      <w:r>
        <w:rPr>
          <w:rFonts w:hint="eastAsia"/>
        </w:rPr>
        <w:t>-</w:t>
      </w:r>
      <w:r>
        <w:t>0.395%；金属基复合材料联合反演的温度误差为0.014%</w:t>
      </w:r>
      <w:r>
        <w:rPr>
          <w:rFonts w:hint="eastAsia"/>
        </w:rPr>
        <w:t>-</w:t>
      </w:r>
      <w:r>
        <w:t>11.648%，厚度误差为0.575%；硅基/碳基复合材料联合反演的温度误差为0.006%</w:t>
      </w:r>
      <w:r>
        <w:rPr>
          <w:rFonts w:hint="eastAsia"/>
        </w:rPr>
        <w:t>-</w:t>
      </w:r>
      <w:r>
        <w:t>11.861%，厚度误差为0.456%。全部测试工况的温度误差均不大于15%，厚度误差均不大于5%，说明该功能能够区分温度变化与传播距离变化对声时的共同影响，并满足联合反演性能要求。</w:t>
      </w:r>
    </w:p>
    <w:p w14:paraId="499BA8E2">
      <w:pPr>
        <w:pStyle w:val="6"/>
      </w:pPr>
      <w:r>
        <w:t>一维、二维稳态和瞬态反演成果</w:t>
      </w:r>
    </w:p>
    <w:p w14:paraId="73AAC243">
      <w:pPr>
        <w:ind w:firstLine="420"/>
      </w:pPr>
      <w:r>
        <w:t>建立了统一的一维、二维稳态和瞬态反演框架，通过模式参数自动切换热流控制变量、传热边界条件、声学传播方式和结果评价位置。一维稳态采用单个热流参数，二维稳态采用4个空间热流控制参数；20 s瞬态过程划分为50个计算时间步，并利用8个时间控制点进行参数压缩，一维瞬态优化8个参数，二维瞬态优化4×8个时空热流参数。二维工况在每次正演中根据当前温度场重新计算声速梯度和弯曲声线，瞬态工况则对完整时间历程进行联合求解和评价。</w:t>
      </w:r>
    </w:p>
    <w:p w14:paraId="78EB6E36">
      <w:pPr>
        <w:ind w:firstLine="420"/>
      </w:pPr>
      <w:r>
        <w:t>完成了三类材料在单参数、多参数、一维、二维、稳态和瞬态八类基本工况下的温度场反演验证。多层材料八类温度场反演误差为3.884%</w:t>
      </w:r>
      <w:r>
        <w:rPr>
          <w:rFonts w:hint="eastAsia"/>
        </w:rPr>
        <w:t>-</w:t>
      </w:r>
      <w:r>
        <w:t>9.750%；金属基复合材料采用BO+FD和PSO+CG得到的温度场反演误差为1.748%</w:t>
      </w:r>
      <w:r>
        <w:rPr>
          <w:rFonts w:hint="eastAsia"/>
        </w:rPr>
        <w:t>-</w:t>
      </w:r>
      <w:r>
        <w:t>8.638%；硅基/碳基复合材料相应误差为2.129%</w:t>
      </w:r>
      <w:r>
        <w:rPr>
          <w:rFonts w:hint="eastAsia"/>
        </w:rPr>
        <w:t>-</w:t>
      </w:r>
      <w:r>
        <w:t>9.228%，均满足温度场反演误差不大于10%的要求。模块还形成了统一的五点温度误差统计、温度场云图、热流分布、声时对比、瞬态误差曲线和声线路径数据输出，可用于不同材料和不同反演模式的结果检查与横向比较。</w:t>
      </w:r>
    </w:p>
    <w:p w14:paraId="7AF000C7">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 xml:space="preserve"> </w:t>
      </w:r>
      <w:r>
        <w:t>主要温度场反演成果汇总</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3"/>
        <w:gridCol w:w="3581"/>
        <w:gridCol w:w="2081"/>
        <w:gridCol w:w="1319"/>
      </w:tblGrid>
      <w:tr w14:paraId="02E6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701" w:type="dxa"/>
            <w:tcMar>
              <w:top w:w="80" w:type="dxa"/>
              <w:left w:w="90" w:type="dxa"/>
              <w:bottom w:w="80" w:type="dxa"/>
              <w:right w:w="90" w:type="dxa"/>
            </w:tcMar>
            <w:vAlign w:val="center"/>
          </w:tcPr>
          <w:p w14:paraId="645AD989">
            <w:pPr>
              <w:pStyle w:val="33"/>
              <w:rPr>
                <w:lang w:eastAsia="en-US"/>
              </w:rPr>
            </w:pPr>
            <w:r>
              <w:rPr>
                <w:lang w:eastAsia="en-US"/>
              </w:rPr>
              <w:t>材料</w:t>
            </w:r>
          </w:p>
        </w:tc>
        <w:tc>
          <w:tcPr>
            <w:tcW w:w="3969" w:type="dxa"/>
            <w:tcMar>
              <w:top w:w="80" w:type="dxa"/>
              <w:left w:w="90" w:type="dxa"/>
              <w:bottom w:w="80" w:type="dxa"/>
              <w:right w:w="90" w:type="dxa"/>
            </w:tcMar>
            <w:vAlign w:val="center"/>
          </w:tcPr>
          <w:p w14:paraId="0C5857BB">
            <w:pPr>
              <w:pStyle w:val="33"/>
              <w:rPr>
                <w:lang w:eastAsia="en-US"/>
              </w:rPr>
            </w:pPr>
            <w:r>
              <w:rPr>
                <w:lang w:eastAsia="en-US"/>
              </w:rPr>
              <w:t>反演范围</w:t>
            </w:r>
          </w:p>
        </w:tc>
        <w:tc>
          <w:tcPr>
            <w:tcW w:w="2268" w:type="dxa"/>
            <w:tcMar>
              <w:top w:w="80" w:type="dxa"/>
              <w:left w:w="90" w:type="dxa"/>
              <w:bottom w:w="80" w:type="dxa"/>
              <w:right w:w="90" w:type="dxa"/>
            </w:tcMar>
            <w:vAlign w:val="center"/>
          </w:tcPr>
          <w:p w14:paraId="342A572F">
            <w:pPr>
              <w:pStyle w:val="33"/>
              <w:rPr>
                <w:lang w:eastAsia="en-US"/>
              </w:rPr>
            </w:pPr>
            <w:r>
              <w:rPr>
                <w:lang w:eastAsia="en-US"/>
              </w:rPr>
              <w:t>温度场反演误差</w:t>
            </w:r>
          </w:p>
        </w:tc>
        <w:tc>
          <w:tcPr>
            <w:tcW w:w="1417" w:type="dxa"/>
            <w:tcMar>
              <w:top w:w="80" w:type="dxa"/>
              <w:left w:w="90" w:type="dxa"/>
              <w:bottom w:w="80" w:type="dxa"/>
              <w:right w:w="90" w:type="dxa"/>
            </w:tcMar>
            <w:vAlign w:val="center"/>
          </w:tcPr>
          <w:p w14:paraId="575F6D08">
            <w:pPr>
              <w:pStyle w:val="33"/>
              <w:rPr>
                <w:lang w:eastAsia="en-US"/>
              </w:rPr>
            </w:pPr>
            <w:r>
              <w:rPr>
                <w:lang w:eastAsia="en-US"/>
              </w:rPr>
              <w:t>结果</w:t>
            </w:r>
          </w:p>
        </w:tc>
      </w:tr>
      <w:tr w14:paraId="4EAA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65858127">
            <w:pPr>
              <w:pStyle w:val="33"/>
              <w:rPr>
                <w:lang w:eastAsia="en-US"/>
              </w:rPr>
            </w:pPr>
            <w:r>
              <w:rPr>
                <w:lang w:eastAsia="en-US"/>
              </w:rPr>
              <w:t>多层材料</w:t>
            </w:r>
          </w:p>
        </w:tc>
        <w:tc>
          <w:tcPr>
            <w:tcW w:w="3969" w:type="dxa"/>
            <w:tcMar>
              <w:top w:w="80" w:type="dxa"/>
              <w:left w:w="90" w:type="dxa"/>
              <w:bottom w:w="80" w:type="dxa"/>
              <w:right w:w="90" w:type="dxa"/>
            </w:tcMar>
            <w:vAlign w:val="center"/>
          </w:tcPr>
          <w:p w14:paraId="4DB89813">
            <w:pPr>
              <w:pStyle w:val="33"/>
              <w:rPr>
                <w:lang w:eastAsia="zh-CN"/>
              </w:rPr>
            </w:pPr>
            <w:r>
              <w:rPr>
                <w:lang w:eastAsia="zh-CN"/>
              </w:rPr>
              <w:t>单/多参数，1D/2D，稳态/瞬态</w:t>
            </w:r>
          </w:p>
        </w:tc>
        <w:tc>
          <w:tcPr>
            <w:tcW w:w="2268" w:type="dxa"/>
            <w:tcMar>
              <w:top w:w="80" w:type="dxa"/>
              <w:left w:w="90" w:type="dxa"/>
              <w:bottom w:w="80" w:type="dxa"/>
              <w:right w:w="90" w:type="dxa"/>
            </w:tcMar>
            <w:vAlign w:val="center"/>
          </w:tcPr>
          <w:p w14:paraId="3DAEF8C1">
            <w:pPr>
              <w:pStyle w:val="33"/>
              <w:rPr>
                <w:lang w:eastAsia="en-US"/>
              </w:rPr>
            </w:pPr>
            <w:r>
              <w:rPr>
                <w:lang w:eastAsia="en-US"/>
              </w:rPr>
              <w:t>3.884%</w:t>
            </w:r>
            <w:r>
              <w:rPr>
                <w:rFonts w:hint="eastAsia"/>
                <w:lang w:eastAsia="en-US"/>
              </w:rPr>
              <w:t>-</w:t>
            </w:r>
            <w:r>
              <w:rPr>
                <w:lang w:eastAsia="en-US"/>
              </w:rPr>
              <w:t>9.750%</w:t>
            </w:r>
          </w:p>
        </w:tc>
        <w:tc>
          <w:tcPr>
            <w:tcW w:w="1417" w:type="dxa"/>
            <w:tcMar>
              <w:top w:w="80" w:type="dxa"/>
              <w:left w:w="90" w:type="dxa"/>
              <w:bottom w:w="80" w:type="dxa"/>
              <w:right w:w="90" w:type="dxa"/>
            </w:tcMar>
            <w:vAlign w:val="center"/>
          </w:tcPr>
          <w:p w14:paraId="7C89D482">
            <w:pPr>
              <w:pStyle w:val="33"/>
              <w:rPr>
                <w:lang w:eastAsia="en-US"/>
              </w:rPr>
            </w:pPr>
            <w:r>
              <w:rPr>
                <w:lang w:eastAsia="en-US"/>
              </w:rPr>
              <w:t>全部≤10%</w:t>
            </w:r>
          </w:p>
        </w:tc>
      </w:tr>
      <w:tr w14:paraId="61BA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7D54D73A">
            <w:pPr>
              <w:pStyle w:val="33"/>
              <w:rPr>
                <w:lang w:eastAsia="en-US"/>
              </w:rPr>
            </w:pPr>
            <w:r>
              <w:rPr>
                <w:lang w:eastAsia="en-US"/>
              </w:rPr>
              <w:t>金属基复合材料</w:t>
            </w:r>
          </w:p>
        </w:tc>
        <w:tc>
          <w:tcPr>
            <w:tcW w:w="3969" w:type="dxa"/>
            <w:tcMar>
              <w:top w:w="80" w:type="dxa"/>
              <w:left w:w="90" w:type="dxa"/>
              <w:bottom w:w="80" w:type="dxa"/>
              <w:right w:w="90" w:type="dxa"/>
            </w:tcMar>
            <w:vAlign w:val="center"/>
          </w:tcPr>
          <w:p w14:paraId="3AD1B7D1">
            <w:pPr>
              <w:pStyle w:val="33"/>
              <w:rPr>
                <w:lang w:eastAsia="zh-CN"/>
              </w:rPr>
            </w:pPr>
            <w:r>
              <w:rPr>
                <w:lang w:eastAsia="zh-CN"/>
              </w:rPr>
              <w:t>BO+FD与PSO+CG，单/多参数，1D/2D，稳态/瞬态</w:t>
            </w:r>
          </w:p>
        </w:tc>
        <w:tc>
          <w:tcPr>
            <w:tcW w:w="2268" w:type="dxa"/>
            <w:tcMar>
              <w:top w:w="80" w:type="dxa"/>
              <w:left w:w="90" w:type="dxa"/>
              <w:bottom w:w="80" w:type="dxa"/>
              <w:right w:w="90" w:type="dxa"/>
            </w:tcMar>
            <w:vAlign w:val="center"/>
          </w:tcPr>
          <w:p w14:paraId="1A85AE8F">
            <w:pPr>
              <w:pStyle w:val="33"/>
              <w:rPr>
                <w:lang w:eastAsia="en-US"/>
              </w:rPr>
            </w:pPr>
            <w:r>
              <w:rPr>
                <w:lang w:eastAsia="en-US"/>
              </w:rPr>
              <w:t>1.748%</w:t>
            </w:r>
            <w:r>
              <w:rPr>
                <w:rFonts w:hint="eastAsia"/>
                <w:lang w:eastAsia="en-US"/>
              </w:rPr>
              <w:t>-</w:t>
            </w:r>
            <w:r>
              <w:rPr>
                <w:lang w:eastAsia="en-US"/>
              </w:rPr>
              <w:t>8.638%</w:t>
            </w:r>
          </w:p>
        </w:tc>
        <w:tc>
          <w:tcPr>
            <w:tcW w:w="1417" w:type="dxa"/>
            <w:tcMar>
              <w:top w:w="80" w:type="dxa"/>
              <w:left w:w="90" w:type="dxa"/>
              <w:bottom w:w="80" w:type="dxa"/>
              <w:right w:w="90" w:type="dxa"/>
            </w:tcMar>
            <w:vAlign w:val="center"/>
          </w:tcPr>
          <w:p w14:paraId="1586716E">
            <w:pPr>
              <w:pStyle w:val="33"/>
              <w:rPr>
                <w:lang w:eastAsia="en-US"/>
              </w:rPr>
            </w:pPr>
            <w:r>
              <w:rPr>
                <w:lang w:eastAsia="en-US"/>
              </w:rPr>
              <w:t>全部≤10%</w:t>
            </w:r>
          </w:p>
        </w:tc>
      </w:tr>
      <w:tr w14:paraId="09BB9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3F9F3284">
            <w:pPr>
              <w:pStyle w:val="33"/>
              <w:rPr>
                <w:lang w:eastAsia="en-US"/>
              </w:rPr>
            </w:pPr>
            <w:r>
              <w:rPr>
                <w:lang w:eastAsia="en-US"/>
              </w:rPr>
              <w:t>硅基/碳基复合材料</w:t>
            </w:r>
          </w:p>
        </w:tc>
        <w:tc>
          <w:tcPr>
            <w:tcW w:w="3969" w:type="dxa"/>
            <w:tcMar>
              <w:top w:w="80" w:type="dxa"/>
              <w:left w:w="90" w:type="dxa"/>
              <w:bottom w:w="80" w:type="dxa"/>
              <w:right w:w="90" w:type="dxa"/>
            </w:tcMar>
            <w:vAlign w:val="center"/>
          </w:tcPr>
          <w:p w14:paraId="5961CF16">
            <w:pPr>
              <w:pStyle w:val="33"/>
              <w:rPr>
                <w:lang w:eastAsia="zh-CN"/>
              </w:rPr>
            </w:pPr>
            <w:r>
              <w:rPr>
                <w:lang w:eastAsia="zh-CN"/>
              </w:rPr>
              <w:t>BO+FD与PSO+CG，单/多参数，1D/2D，稳态/瞬态</w:t>
            </w:r>
          </w:p>
        </w:tc>
        <w:tc>
          <w:tcPr>
            <w:tcW w:w="2268" w:type="dxa"/>
            <w:tcMar>
              <w:top w:w="80" w:type="dxa"/>
              <w:left w:w="90" w:type="dxa"/>
              <w:bottom w:w="80" w:type="dxa"/>
              <w:right w:w="90" w:type="dxa"/>
            </w:tcMar>
            <w:vAlign w:val="center"/>
          </w:tcPr>
          <w:p w14:paraId="185276BB">
            <w:pPr>
              <w:pStyle w:val="33"/>
              <w:rPr>
                <w:lang w:eastAsia="en-US"/>
              </w:rPr>
            </w:pPr>
            <w:r>
              <w:rPr>
                <w:lang w:eastAsia="en-US"/>
              </w:rPr>
              <w:t>2.129%</w:t>
            </w:r>
            <w:r>
              <w:rPr>
                <w:rFonts w:hint="eastAsia"/>
                <w:lang w:eastAsia="en-US"/>
              </w:rPr>
              <w:t>-</w:t>
            </w:r>
            <w:r>
              <w:rPr>
                <w:lang w:eastAsia="en-US"/>
              </w:rPr>
              <w:t>9.228%</w:t>
            </w:r>
          </w:p>
        </w:tc>
        <w:tc>
          <w:tcPr>
            <w:tcW w:w="1417" w:type="dxa"/>
            <w:tcMar>
              <w:top w:w="80" w:type="dxa"/>
              <w:left w:w="90" w:type="dxa"/>
              <w:bottom w:w="80" w:type="dxa"/>
              <w:right w:w="90" w:type="dxa"/>
            </w:tcMar>
            <w:vAlign w:val="center"/>
          </w:tcPr>
          <w:p w14:paraId="2EA1A173">
            <w:pPr>
              <w:pStyle w:val="33"/>
              <w:rPr>
                <w:lang w:eastAsia="en-US"/>
              </w:rPr>
            </w:pPr>
            <w:r>
              <w:rPr>
                <w:lang w:eastAsia="en-US"/>
              </w:rPr>
              <w:t>全部≤10%</w:t>
            </w:r>
          </w:p>
        </w:tc>
      </w:tr>
    </w:tbl>
    <w:p w14:paraId="7CAF60A9">
      <w:pPr>
        <w:ind w:firstLine="420"/>
      </w:pPr>
      <w:r>
        <w:t>在试验验证方面，完成了从室温至153</w:t>
      </w:r>
      <w:r>
        <w:rPr>
          <w:rFonts w:hint="eastAsia"/>
        </w:rPr>
        <w:t>1</w:t>
      </w:r>
      <w:r>
        <w:t xml:space="preserve"> K高温过程的超声波形与声学特征获取，并将实测声时、幅值特征、热电偶温度及试件实际厚度用于反演结果校核，实现了声学特征提取、物理反演和误差评价之间的数据贯通。试验与仿真结果共同验证了所建立方法在高温、非均匀温度场及实际测量扰动条件下的适用性。</w:t>
      </w:r>
    </w:p>
    <w:p w14:paraId="6F1C33D2">
      <w:pPr>
        <w:pStyle w:val="6"/>
      </w:pPr>
      <w:r>
        <w:t>算法精度、效率及比较结果</w:t>
      </w:r>
    </w:p>
    <w:p w14:paraId="27FCE604">
      <w:pPr>
        <w:ind w:firstLine="420"/>
      </w:pPr>
      <w:r>
        <w:t>建立了统一的反演算法比较与评价方法，在相同计算环境、材料参数、试件尺寸、计算网格、输入数据、初始条件、参数范围和正演模型下，对BO+FD、PSO+CG、共轭梯度法、灵敏度法和最速下降法进行了二维稳态温度场—厚度联合反演测试。评价指标包括五点平均相对温度误差、厚度相对误差和总运行时间，并统一记录各算法的迭代过程和正演调用情况。</w:t>
      </w:r>
    </w:p>
    <w:p w14:paraId="2C11027E">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 xml:space="preserve"> </w:t>
      </w:r>
      <w:r>
        <w:t>不同反演算法精度与效率比较</w:t>
      </w:r>
    </w:p>
    <w:tbl>
      <w:tblPr>
        <w:tblStyle w:val="5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1407"/>
        <w:gridCol w:w="1407"/>
        <w:gridCol w:w="1482"/>
        <w:gridCol w:w="2571"/>
      </w:tblGrid>
      <w:tr w14:paraId="6BCC1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239969DA">
            <w:pPr>
              <w:pStyle w:val="33"/>
              <w:rPr>
                <w:lang w:eastAsia="en-US"/>
              </w:rPr>
            </w:pPr>
            <w:r>
              <w:rPr>
                <w:lang w:eastAsia="en-US"/>
              </w:rPr>
              <w:t>算法</w:t>
            </w:r>
          </w:p>
        </w:tc>
        <w:tc>
          <w:tcPr>
            <w:tcW w:w="1474" w:type="dxa"/>
            <w:tcMar>
              <w:top w:w="80" w:type="dxa"/>
              <w:left w:w="90" w:type="dxa"/>
              <w:bottom w:w="80" w:type="dxa"/>
              <w:right w:w="90" w:type="dxa"/>
            </w:tcMar>
            <w:vAlign w:val="center"/>
          </w:tcPr>
          <w:p w14:paraId="4F7E8E03">
            <w:pPr>
              <w:pStyle w:val="33"/>
              <w:rPr>
                <w:lang w:eastAsia="en-US"/>
              </w:rPr>
            </w:pPr>
            <w:r>
              <w:rPr>
                <w:lang w:eastAsia="en-US"/>
              </w:rPr>
              <w:t>温度误差</w:t>
            </w:r>
          </w:p>
        </w:tc>
        <w:tc>
          <w:tcPr>
            <w:tcW w:w="1474" w:type="dxa"/>
            <w:tcMar>
              <w:top w:w="80" w:type="dxa"/>
              <w:left w:w="90" w:type="dxa"/>
              <w:bottom w:w="80" w:type="dxa"/>
              <w:right w:w="90" w:type="dxa"/>
            </w:tcMar>
            <w:vAlign w:val="center"/>
          </w:tcPr>
          <w:p w14:paraId="451ADD4F">
            <w:pPr>
              <w:pStyle w:val="33"/>
              <w:rPr>
                <w:lang w:eastAsia="en-US"/>
              </w:rPr>
            </w:pPr>
            <w:r>
              <w:rPr>
                <w:lang w:eastAsia="en-US"/>
              </w:rPr>
              <w:t>厚度误差</w:t>
            </w:r>
          </w:p>
        </w:tc>
        <w:tc>
          <w:tcPr>
            <w:tcW w:w="1587" w:type="dxa"/>
            <w:tcMar>
              <w:top w:w="80" w:type="dxa"/>
              <w:left w:w="90" w:type="dxa"/>
              <w:bottom w:w="80" w:type="dxa"/>
              <w:right w:w="90" w:type="dxa"/>
            </w:tcMar>
            <w:vAlign w:val="center"/>
          </w:tcPr>
          <w:p w14:paraId="32A8FFD5">
            <w:pPr>
              <w:pStyle w:val="33"/>
              <w:rPr>
                <w:lang w:eastAsia="en-US"/>
              </w:rPr>
            </w:pPr>
            <w:r>
              <w:rPr>
                <w:lang w:eastAsia="en-US"/>
              </w:rPr>
              <w:t>总运行时间</w:t>
            </w:r>
          </w:p>
        </w:tc>
        <w:tc>
          <w:tcPr>
            <w:tcW w:w="2835" w:type="dxa"/>
            <w:tcMar>
              <w:top w:w="80" w:type="dxa"/>
              <w:left w:w="90" w:type="dxa"/>
              <w:bottom w:w="80" w:type="dxa"/>
              <w:right w:w="90" w:type="dxa"/>
            </w:tcMar>
            <w:vAlign w:val="center"/>
          </w:tcPr>
          <w:p w14:paraId="186B69F2">
            <w:pPr>
              <w:pStyle w:val="33"/>
              <w:rPr>
                <w:lang w:eastAsia="en-US"/>
              </w:rPr>
            </w:pPr>
            <w:r>
              <w:rPr>
                <w:lang w:eastAsia="en-US"/>
              </w:rPr>
              <w:t>综合结果</w:t>
            </w:r>
          </w:p>
        </w:tc>
      </w:tr>
      <w:tr w14:paraId="52518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10363C55">
            <w:pPr>
              <w:pStyle w:val="33"/>
              <w:rPr>
                <w:lang w:eastAsia="en-US"/>
              </w:rPr>
            </w:pPr>
            <w:r>
              <w:rPr>
                <w:lang w:eastAsia="en-US"/>
              </w:rPr>
              <w:t>BO+FD</w:t>
            </w:r>
          </w:p>
        </w:tc>
        <w:tc>
          <w:tcPr>
            <w:tcW w:w="1474" w:type="dxa"/>
            <w:tcMar>
              <w:top w:w="80" w:type="dxa"/>
              <w:left w:w="90" w:type="dxa"/>
              <w:bottom w:w="80" w:type="dxa"/>
              <w:right w:w="90" w:type="dxa"/>
            </w:tcMar>
            <w:vAlign w:val="center"/>
          </w:tcPr>
          <w:p w14:paraId="0BB5395C">
            <w:pPr>
              <w:pStyle w:val="33"/>
              <w:rPr>
                <w:lang w:eastAsia="en-US"/>
              </w:rPr>
            </w:pPr>
            <w:r>
              <w:rPr>
                <w:lang w:eastAsia="en-US"/>
              </w:rPr>
              <w:t>3.804%</w:t>
            </w:r>
          </w:p>
        </w:tc>
        <w:tc>
          <w:tcPr>
            <w:tcW w:w="1474" w:type="dxa"/>
            <w:tcMar>
              <w:top w:w="80" w:type="dxa"/>
              <w:left w:w="90" w:type="dxa"/>
              <w:bottom w:w="80" w:type="dxa"/>
              <w:right w:w="90" w:type="dxa"/>
            </w:tcMar>
            <w:vAlign w:val="center"/>
          </w:tcPr>
          <w:p w14:paraId="426645E7">
            <w:pPr>
              <w:pStyle w:val="33"/>
              <w:rPr>
                <w:lang w:eastAsia="en-US"/>
              </w:rPr>
            </w:pPr>
            <w:r>
              <w:rPr>
                <w:lang w:eastAsia="en-US"/>
              </w:rPr>
              <w:t>0.575%</w:t>
            </w:r>
          </w:p>
        </w:tc>
        <w:tc>
          <w:tcPr>
            <w:tcW w:w="1587" w:type="dxa"/>
            <w:tcMar>
              <w:top w:w="80" w:type="dxa"/>
              <w:left w:w="90" w:type="dxa"/>
              <w:bottom w:w="80" w:type="dxa"/>
              <w:right w:w="90" w:type="dxa"/>
            </w:tcMar>
            <w:vAlign w:val="center"/>
          </w:tcPr>
          <w:p w14:paraId="689493B2">
            <w:pPr>
              <w:pStyle w:val="33"/>
              <w:rPr>
                <w:lang w:eastAsia="en-US"/>
              </w:rPr>
            </w:pPr>
            <w:r>
              <w:rPr>
                <w:lang w:eastAsia="en-US"/>
              </w:rPr>
              <w:t>11.06 s</w:t>
            </w:r>
          </w:p>
        </w:tc>
        <w:tc>
          <w:tcPr>
            <w:tcW w:w="2835" w:type="dxa"/>
            <w:tcMar>
              <w:top w:w="80" w:type="dxa"/>
              <w:left w:w="90" w:type="dxa"/>
              <w:bottom w:w="80" w:type="dxa"/>
              <w:right w:w="90" w:type="dxa"/>
            </w:tcMar>
            <w:vAlign w:val="center"/>
          </w:tcPr>
          <w:p w14:paraId="26F2F945">
            <w:pPr>
              <w:pStyle w:val="33"/>
              <w:rPr>
                <w:lang w:eastAsia="en-US"/>
              </w:rPr>
            </w:pPr>
            <w:r>
              <w:rPr>
                <w:lang w:eastAsia="en-US"/>
              </w:rPr>
              <w:t>精度和效率均达标</w:t>
            </w:r>
          </w:p>
        </w:tc>
      </w:tr>
      <w:tr w14:paraId="75458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1D5734FF">
            <w:pPr>
              <w:pStyle w:val="33"/>
              <w:rPr>
                <w:lang w:eastAsia="en-US"/>
              </w:rPr>
            </w:pPr>
            <w:r>
              <w:rPr>
                <w:lang w:eastAsia="en-US"/>
              </w:rPr>
              <w:t>PSO+CG</w:t>
            </w:r>
          </w:p>
        </w:tc>
        <w:tc>
          <w:tcPr>
            <w:tcW w:w="1474" w:type="dxa"/>
            <w:tcMar>
              <w:top w:w="80" w:type="dxa"/>
              <w:left w:w="90" w:type="dxa"/>
              <w:bottom w:w="80" w:type="dxa"/>
              <w:right w:w="90" w:type="dxa"/>
            </w:tcMar>
            <w:vAlign w:val="center"/>
          </w:tcPr>
          <w:p w14:paraId="3598D6F4">
            <w:pPr>
              <w:pStyle w:val="33"/>
              <w:rPr>
                <w:lang w:eastAsia="en-US"/>
              </w:rPr>
            </w:pPr>
            <w:r>
              <w:rPr>
                <w:lang w:eastAsia="en-US"/>
              </w:rPr>
              <w:t>2.821%</w:t>
            </w:r>
          </w:p>
        </w:tc>
        <w:tc>
          <w:tcPr>
            <w:tcW w:w="1474" w:type="dxa"/>
            <w:tcMar>
              <w:top w:w="80" w:type="dxa"/>
              <w:left w:w="90" w:type="dxa"/>
              <w:bottom w:w="80" w:type="dxa"/>
              <w:right w:w="90" w:type="dxa"/>
            </w:tcMar>
            <w:vAlign w:val="center"/>
          </w:tcPr>
          <w:p w14:paraId="437B30F2">
            <w:pPr>
              <w:pStyle w:val="33"/>
              <w:rPr>
                <w:lang w:eastAsia="en-US"/>
              </w:rPr>
            </w:pPr>
            <w:r>
              <w:rPr>
                <w:lang w:eastAsia="en-US"/>
              </w:rPr>
              <w:t>0.575%</w:t>
            </w:r>
          </w:p>
        </w:tc>
        <w:tc>
          <w:tcPr>
            <w:tcW w:w="1587" w:type="dxa"/>
            <w:tcMar>
              <w:top w:w="80" w:type="dxa"/>
              <w:left w:w="90" w:type="dxa"/>
              <w:bottom w:w="80" w:type="dxa"/>
              <w:right w:w="90" w:type="dxa"/>
            </w:tcMar>
            <w:vAlign w:val="center"/>
          </w:tcPr>
          <w:p w14:paraId="681199BD">
            <w:pPr>
              <w:pStyle w:val="33"/>
              <w:rPr>
                <w:lang w:eastAsia="en-US"/>
              </w:rPr>
            </w:pPr>
            <w:r>
              <w:rPr>
                <w:lang w:eastAsia="en-US"/>
              </w:rPr>
              <w:t>10.10 s</w:t>
            </w:r>
          </w:p>
        </w:tc>
        <w:tc>
          <w:tcPr>
            <w:tcW w:w="2835" w:type="dxa"/>
            <w:tcMar>
              <w:top w:w="80" w:type="dxa"/>
              <w:left w:w="90" w:type="dxa"/>
              <w:bottom w:w="80" w:type="dxa"/>
              <w:right w:w="90" w:type="dxa"/>
            </w:tcMar>
            <w:vAlign w:val="center"/>
          </w:tcPr>
          <w:p w14:paraId="0643E219">
            <w:pPr>
              <w:pStyle w:val="33"/>
              <w:rPr>
                <w:lang w:eastAsia="zh-CN"/>
              </w:rPr>
            </w:pPr>
            <w:r>
              <w:rPr>
                <w:lang w:eastAsia="zh-CN"/>
              </w:rPr>
              <w:t>温度误差最低、运行时间最短</w:t>
            </w:r>
          </w:p>
        </w:tc>
      </w:tr>
      <w:tr w14:paraId="6E653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0708E8D1">
            <w:pPr>
              <w:pStyle w:val="33"/>
              <w:rPr>
                <w:lang w:eastAsia="en-US"/>
              </w:rPr>
            </w:pPr>
            <w:r>
              <w:rPr>
                <w:lang w:eastAsia="en-US"/>
              </w:rPr>
              <w:t>共轭梯度法</w:t>
            </w:r>
          </w:p>
        </w:tc>
        <w:tc>
          <w:tcPr>
            <w:tcW w:w="1474" w:type="dxa"/>
            <w:tcMar>
              <w:top w:w="80" w:type="dxa"/>
              <w:left w:w="90" w:type="dxa"/>
              <w:bottom w:w="80" w:type="dxa"/>
              <w:right w:w="90" w:type="dxa"/>
            </w:tcMar>
            <w:vAlign w:val="center"/>
          </w:tcPr>
          <w:p w14:paraId="7BD84B4D">
            <w:pPr>
              <w:pStyle w:val="33"/>
              <w:rPr>
                <w:lang w:eastAsia="en-US"/>
              </w:rPr>
            </w:pPr>
            <w:r>
              <w:rPr>
                <w:lang w:eastAsia="en-US"/>
              </w:rPr>
              <w:t>6.045%</w:t>
            </w:r>
          </w:p>
        </w:tc>
        <w:tc>
          <w:tcPr>
            <w:tcW w:w="1474" w:type="dxa"/>
            <w:tcMar>
              <w:top w:w="80" w:type="dxa"/>
              <w:left w:w="90" w:type="dxa"/>
              <w:bottom w:w="80" w:type="dxa"/>
              <w:right w:w="90" w:type="dxa"/>
            </w:tcMar>
            <w:vAlign w:val="center"/>
          </w:tcPr>
          <w:p w14:paraId="33CDBDB6">
            <w:pPr>
              <w:pStyle w:val="33"/>
              <w:rPr>
                <w:lang w:eastAsia="en-US"/>
              </w:rPr>
            </w:pPr>
            <w:r>
              <w:rPr>
                <w:lang w:eastAsia="en-US"/>
              </w:rPr>
              <w:t>0.450%</w:t>
            </w:r>
          </w:p>
        </w:tc>
        <w:tc>
          <w:tcPr>
            <w:tcW w:w="1587" w:type="dxa"/>
            <w:tcMar>
              <w:top w:w="80" w:type="dxa"/>
              <w:left w:w="90" w:type="dxa"/>
              <w:bottom w:w="80" w:type="dxa"/>
              <w:right w:w="90" w:type="dxa"/>
            </w:tcMar>
            <w:vAlign w:val="center"/>
          </w:tcPr>
          <w:p w14:paraId="76F3C8F4">
            <w:pPr>
              <w:pStyle w:val="33"/>
              <w:rPr>
                <w:lang w:eastAsia="en-US"/>
              </w:rPr>
            </w:pPr>
            <w:r>
              <w:rPr>
                <w:lang w:eastAsia="en-US"/>
              </w:rPr>
              <w:t>18.67 s</w:t>
            </w:r>
          </w:p>
        </w:tc>
        <w:tc>
          <w:tcPr>
            <w:tcW w:w="2835" w:type="dxa"/>
            <w:tcMar>
              <w:top w:w="80" w:type="dxa"/>
              <w:left w:w="90" w:type="dxa"/>
              <w:bottom w:w="80" w:type="dxa"/>
              <w:right w:w="90" w:type="dxa"/>
            </w:tcMar>
            <w:vAlign w:val="center"/>
          </w:tcPr>
          <w:p w14:paraId="017130AE">
            <w:pPr>
              <w:pStyle w:val="33"/>
              <w:rPr>
                <w:lang w:eastAsia="en-US"/>
              </w:rPr>
            </w:pPr>
            <w:r>
              <w:rPr>
                <w:lang w:eastAsia="en-US"/>
              </w:rPr>
              <w:t>精度达标</w:t>
            </w:r>
          </w:p>
        </w:tc>
      </w:tr>
      <w:tr w14:paraId="6A02E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3BE45021">
            <w:pPr>
              <w:pStyle w:val="33"/>
              <w:rPr>
                <w:lang w:eastAsia="en-US"/>
              </w:rPr>
            </w:pPr>
            <w:r>
              <w:rPr>
                <w:lang w:eastAsia="en-US"/>
              </w:rPr>
              <w:t>灵敏度法</w:t>
            </w:r>
          </w:p>
        </w:tc>
        <w:tc>
          <w:tcPr>
            <w:tcW w:w="1474" w:type="dxa"/>
            <w:tcMar>
              <w:top w:w="80" w:type="dxa"/>
              <w:left w:w="90" w:type="dxa"/>
              <w:bottom w:w="80" w:type="dxa"/>
              <w:right w:w="90" w:type="dxa"/>
            </w:tcMar>
            <w:vAlign w:val="center"/>
          </w:tcPr>
          <w:p w14:paraId="40E2D10A">
            <w:pPr>
              <w:pStyle w:val="33"/>
              <w:rPr>
                <w:lang w:eastAsia="en-US"/>
              </w:rPr>
            </w:pPr>
            <w:r>
              <w:rPr>
                <w:lang w:eastAsia="en-US"/>
              </w:rPr>
              <w:t>8.883%</w:t>
            </w:r>
          </w:p>
        </w:tc>
        <w:tc>
          <w:tcPr>
            <w:tcW w:w="1474" w:type="dxa"/>
            <w:tcMar>
              <w:top w:w="80" w:type="dxa"/>
              <w:left w:w="90" w:type="dxa"/>
              <w:bottom w:w="80" w:type="dxa"/>
              <w:right w:w="90" w:type="dxa"/>
            </w:tcMar>
            <w:vAlign w:val="center"/>
          </w:tcPr>
          <w:p w14:paraId="587A384F">
            <w:pPr>
              <w:pStyle w:val="33"/>
              <w:rPr>
                <w:lang w:eastAsia="en-US"/>
              </w:rPr>
            </w:pPr>
            <w:r>
              <w:rPr>
                <w:lang w:eastAsia="en-US"/>
              </w:rPr>
              <w:t>1.293%</w:t>
            </w:r>
          </w:p>
        </w:tc>
        <w:tc>
          <w:tcPr>
            <w:tcW w:w="1587" w:type="dxa"/>
            <w:tcMar>
              <w:top w:w="80" w:type="dxa"/>
              <w:left w:w="90" w:type="dxa"/>
              <w:bottom w:w="80" w:type="dxa"/>
              <w:right w:w="90" w:type="dxa"/>
            </w:tcMar>
            <w:vAlign w:val="center"/>
          </w:tcPr>
          <w:p w14:paraId="63CF1A12">
            <w:pPr>
              <w:pStyle w:val="33"/>
              <w:rPr>
                <w:lang w:eastAsia="en-US"/>
              </w:rPr>
            </w:pPr>
            <w:r>
              <w:rPr>
                <w:lang w:eastAsia="en-US"/>
              </w:rPr>
              <w:t>11.10 s</w:t>
            </w:r>
          </w:p>
        </w:tc>
        <w:tc>
          <w:tcPr>
            <w:tcW w:w="2835" w:type="dxa"/>
            <w:tcMar>
              <w:top w:w="80" w:type="dxa"/>
              <w:left w:w="90" w:type="dxa"/>
              <w:bottom w:w="80" w:type="dxa"/>
              <w:right w:w="90" w:type="dxa"/>
            </w:tcMar>
            <w:vAlign w:val="center"/>
          </w:tcPr>
          <w:p w14:paraId="1B28098C">
            <w:pPr>
              <w:pStyle w:val="33"/>
              <w:rPr>
                <w:lang w:eastAsia="en-US"/>
              </w:rPr>
            </w:pPr>
            <w:r>
              <w:rPr>
                <w:lang w:eastAsia="en-US"/>
              </w:rPr>
              <w:t>精度达标</w:t>
            </w:r>
          </w:p>
        </w:tc>
      </w:tr>
      <w:tr w14:paraId="55579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0D6385BF">
            <w:pPr>
              <w:pStyle w:val="33"/>
              <w:rPr>
                <w:lang w:eastAsia="en-US"/>
              </w:rPr>
            </w:pPr>
            <w:r>
              <w:rPr>
                <w:lang w:eastAsia="en-US"/>
              </w:rPr>
              <w:t>最速下降法</w:t>
            </w:r>
          </w:p>
        </w:tc>
        <w:tc>
          <w:tcPr>
            <w:tcW w:w="1474" w:type="dxa"/>
            <w:tcMar>
              <w:top w:w="80" w:type="dxa"/>
              <w:left w:w="90" w:type="dxa"/>
              <w:bottom w:w="80" w:type="dxa"/>
              <w:right w:w="90" w:type="dxa"/>
            </w:tcMar>
            <w:vAlign w:val="center"/>
          </w:tcPr>
          <w:p w14:paraId="3E0EA9B5">
            <w:pPr>
              <w:pStyle w:val="33"/>
              <w:rPr>
                <w:lang w:eastAsia="en-US"/>
              </w:rPr>
            </w:pPr>
            <w:r>
              <w:rPr>
                <w:lang w:eastAsia="en-US"/>
              </w:rPr>
              <w:t>7.825%</w:t>
            </w:r>
          </w:p>
        </w:tc>
        <w:tc>
          <w:tcPr>
            <w:tcW w:w="1474" w:type="dxa"/>
            <w:tcMar>
              <w:top w:w="80" w:type="dxa"/>
              <w:left w:w="90" w:type="dxa"/>
              <w:bottom w:w="80" w:type="dxa"/>
              <w:right w:w="90" w:type="dxa"/>
            </w:tcMar>
            <w:vAlign w:val="center"/>
          </w:tcPr>
          <w:p w14:paraId="53915CDE">
            <w:pPr>
              <w:pStyle w:val="33"/>
              <w:rPr>
                <w:lang w:eastAsia="en-US"/>
              </w:rPr>
            </w:pPr>
            <w:r>
              <w:rPr>
                <w:lang w:eastAsia="en-US"/>
              </w:rPr>
              <w:t>3.950%</w:t>
            </w:r>
          </w:p>
        </w:tc>
        <w:tc>
          <w:tcPr>
            <w:tcW w:w="1587" w:type="dxa"/>
            <w:tcMar>
              <w:top w:w="80" w:type="dxa"/>
              <w:left w:w="90" w:type="dxa"/>
              <w:bottom w:w="80" w:type="dxa"/>
              <w:right w:w="90" w:type="dxa"/>
            </w:tcMar>
            <w:vAlign w:val="center"/>
          </w:tcPr>
          <w:p w14:paraId="0AA4A1DE">
            <w:pPr>
              <w:pStyle w:val="33"/>
              <w:rPr>
                <w:lang w:eastAsia="en-US"/>
              </w:rPr>
            </w:pPr>
            <w:r>
              <w:rPr>
                <w:lang w:eastAsia="en-US"/>
              </w:rPr>
              <w:t>12.44 s</w:t>
            </w:r>
          </w:p>
        </w:tc>
        <w:tc>
          <w:tcPr>
            <w:tcW w:w="2835" w:type="dxa"/>
            <w:tcMar>
              <w:top w:w="80" w:type="dxa"/>
              <w:left w:w="90" w:type="dxa"/>
              <w:bottom w:w="80" w:type="dxa"/>
              <w:right w:w="90" w:type="dxa"/>
            </w:tcMar>
            <w:vAlign w:val="center"/>
          </w:tcPr>
          <w:p w14:paraId="68E286BB">
            <w:pPr>
              <w:pStyle w:val="33"/>
              <w:rPr>
                <w:lang w:eastAsia="en-US"/>
              </w:rPr>
            </w:pPr>
            <w:r>
              <w:rPr>
                <w:lang w:eastAsia="en-US"/>
              </w:rPr>
              <w:t>精度达标</w:t>
            </w:r>
          </w:p>
        </w:tc>
      </w:tr>
    </w:tbl>
    <w:p w14:paraId="1D9E574F">
      <w:pPr>
        <w:ind w:firstLine="420"/>
      </w:pPr>
      <w:r>
        <w:t>比较结果表明，五种算法均满足温度误差小于10%和厚度误差小于5%的测试要求。其中，PSO+CG的温度误差为2.821%，总运行时间为10.10 s，在该工况下取得最低温度误差和最短运行时间；BO+FD的温度误差为3.804%，总运行时间为11.06 s，温度精度优于三种经典对照算法，运行时间也低于共轭梯度法、灵敏度法和最速下降法。两种组合优化方法的厚度误差均为0.575%，保持了较高的厚度反演精度。</w:t>
      </w:r>
    </w:p>
    <w:p w14:paraId="5E8824E0">
      <w:pPr>
        <w:ind w:firstLine="420"/>
      </w:pPr>
      <w:r>
        <w:t>总体上，声学多参数融合温度场反演模块完成了从材料适配、多参数建模、反演稳定化、组合优化、弯曲声线处理到温度场—厚度联合求解的完整技术链，形成了两种新型组合优化算法和覆盖三类材料、多种维度及时间状态的反演程序。温度场反演、联合反演和算法效率指标均达到项目要求，为复合材料高温状态下的内部温度场定量重构提供了可执行的物理反演方法和程序基础。</w:t>
      </w:r>
    </w:p>
    <w:p w14:paraId="27FB818A">
      <w:pPr>
        <w:pStyle w:val="5"/>
      </w:pPr>
      <w:bookmarkStart w:id="156" w:name="_Toc235910494"/>
      <w:r>
        <w:t>基于人工智能的温度场反演模块取得的成就</w:t>
      </w:r>
      <w:bookmarkEnd w:id="156"/>
    </w:p>
    <w:p w14:paraId="76A54EA4">
      <w:pPr>
        <w:pStyle w:val="6"/>
      </w:pPr>
      <w:r>
        <w:rPr>
          <w:rFonts w:hint="eastAsia"/>
        </w:rPr>
        <w:t>建立的人工智能温度场重构模型</w:t>
      </w:r>
    </w:p>
    <w:p w14:paraId="3EC6DCAB">
      <w:pPr>
        <w:pStyle w:val="3"/>
      </w:pPr>
      <w:r>
        <w:rPr>
          <w:rFonts w:hint="eastAsia"/>
        </w:rPr>
        <w:t>建立了以超声全波形为直接输入、以二维完整温度场为统一输出的人工智能重构模型。模型采用CNN与LSTM双分支结构分别提取局部波形形态和时间序列传播信息，经BP全连接网络完成特征融合与温度场回归；一维结果由二维温度场固定中心线提取。模型训练流程支持MSE监督损失以及MSE与PINN物理约束组合模式，形成了数据驱动与物理约束相结合的训练能力。</w:t>
      </w:r>
    </w:p>
    <w:p w14:paraId="6E0C65F5">
      <w:pPr>
        <w:pStyle w:val="6"/>
      </w:pPr>
      <w:r>
        <w:rPr>
          <w:rFonts w:hint="eastAsia"/>
        </w:rPr>
        <w:t>建成的温度—声学参数数据库</w:t>
      </w:r>
    </w:p>
    <w:p w14:paraId="6CB06009">
      <w:pPr>
        <w:pStyle w:val="3"/>
      </w:pPr>
      <w:r>
        <w:rPr>
          <w:rFonts w:hint="eastAsia"/>
        </w:rPr>
        <w:t>完成了三类材料仿真训练数据的标准化建库，共形成1400组超声波形—温度场配对记录，温度范围覆盖300～1500 K；其中W30Mo70多层材料1000组，W基体/SiC纤维金属基复合材料200组，SiC纤维/CVI-SiC基体硅基复合材料200组。选择W30Mo70建立不少于20组的实验测试集。数据库统一登记材料、温度、维度、稳态/瞬态工况、波形路径、温度场路径和数据来源，支持仿真与试验数据的分类调用和全过程追溯。</w:t>
      </w:r>
    </w:p>
    <w:p w14:paraId="4561392C">
      <w:pPr>
        <w:pStyle w:val="6"/>
      </w:pPr>
      <w:r>
        <w:rPr>
          <w:rFonts w:hint="eastAsia"/>
        </w:rPr>
        <w:t>实现的增量训练和快速推理功能</w:t>
      </w:r>
    </w:p>
    <w:p w14:paraId="3DDB2939">
      <w:pPr>
        <w:pStyle w:val="3"/>
      </w:pPr>
      <w:r>
        <w:rPr>
          <w:rFonts w:hint="eastAsia"/>
        </w:rPr>
        <w:t>实现了模型训练、checkpoint保存、模型加载、离线推理和在线增量训练完整流程。新增试验数据可通过图形化界面导入，在冻结既定训练参数与配置的条件下基于基础checkpoint继续更新，并生成新的模型版本及训练日志。模型采用GPU加速与并行推理，4个完整温度场总耗时约0.248766 s，平均约0.0622 s/场。</w:t>
      </w:r>
    </w:p>
    <w:p w14:paraId="1BC93A30">
      <w:pPr>
        <w:pStyle w:val="6"/>
      </w:pPr>
      <w:r>
        <w:rPr>
          <w:rFonts w:hint="eastAsia"/>
        </w:rPr>
        <w:t>一维、二维稳态和瞬态温度场重构成果</w:t>
      </w:r>
    </w:p>
    <w:p w14:paraId="11CA0C0C">
      <w:pPr>
        <w:pStyle w:val="3"/>
      </w:pPr>
      <w:r>
        <w:rPr>
          <w:rFonts w:hint="eastAsia"/>
        </w:rPr>
        <w:t>以两层W30Mo70钨钼合金为试验验证对象，完成一维稳态、一维瞬态、二维稳态和二维瞬态温度场反演。四类工况采用固定归一化测点和固化node_id，以5个测点平均温度计算相对误差。对应误差分别为0.7221%、3.3637%、0.7095%和3.3221%，均小于10%，验证了统一模型对不同维度和不同温度场类型的适应能力。</w:t>
      </w:r>
    </w:p>
    <w:p w14:paraId="0F3CDC37">
      <w:pPr>
        <w:pStyle w:val="33"/>
      </w:pPr>
      <w:r>
        <w:rPr>
          <w:rFonts w:hint="eastAsia"/>
        </w:rPr>
        <w:drawing>
          <wp:inline distT="0" distB="0" distL="114300" distR="114300">
            <wp:extent cx="5219700" cy="2777490"/>
            <wp:effectExtent l="0" t="0" r="7620" b="11430"/>
            <wp:docPr id="1954363863" name="Picture 1954363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63863" name="Picture 1954363863"/>
                    <pic:cNvPicPr>
                      <a:picLocks noChangeAspect="1"/>
                    </pic:cNvPicPr>
                  </pic:nvPicPr>
                  <pic:blipFill>
                    <a:blip r:embed="rId83"/>
                    <a:stretch>
                      <a:fillRect/>
                    </a:stretch>
                  </pic:blipFill>
                  <pic:spPr>
                    <a:xfrm>
                      <a:off x="0" y="0"/>
                      <a:ext cx="5220000" cy="2778037"/>
                    </a:xfrm>
                    <a:prstGeom prst="rect">
                      <a:avLst/>
                    </a:prstGeom>
                  </pic:spPr>
                </pic:pic>
              </a:graphicData>
            </a:graphic>
          </wp:inline>
        </w:drawing>
      </w:r>
    </w:p>
    <w:p w14:paraId="2CD8D1C5">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 xml:space="preserve"> W30Mo70多层材料四类工况温度场反演误差</w:t>
      </w:r>
    </w:p>
    <w:p w14:paraId="14F4375B">
      <w:pPr>
        <w:pStyle w:val="6"/>
      </w:pPr>
      <w:r>
        <w:rPr>
          <w:rFonts w:hint="eastAsia"/>
        </w:rPr>
        <w:t>反演精度、计算效率及创新点</w:t>
      </w:r>
    </w:p>
    <w:p w14:paraId="77FC47CA">
      <w:pPr>
        <w:pStyle w:val="3"/>
      </w:pPr>
      <w:r>
        <w:rPr>
          <w:rFonts w:hint="eastAsia"/>
        </w:rPr>
        <w:t>模块在试验验证中实现了四类工况相对误差均不超过3.3637%，满足不大于10%的指标要求。人工智能方法相对共轭梯度法、灵敏度法和最速下降法的加速比分别约为300.2、178.5和200.0，均超过一个数量级。形成的主要创新包括：利用CNN与LSTM双分支同时表征超声波形局部特征和传播时序特征；采用二维场统一输出兼容一维与二维任务；将可配置PINN约束、固定测点评价、增量训练和跨语言程序集成纳入统一工程流程。</w:t>
      </w:r>
    </w:p>
    <w:p w14:paraId="245B1741">
      <w:pPr>
        <w:pStyle w:val="33"/>
      </w:pPr>
      <w:r>
        <w:rPr>
          <w:rFonts w:hint="eastAsia"/>
        </w:rPr>
        <w:drawing>
          <wp:inline distT="0" distB="0" distL="114300" distR="114300">
            <wp:extent cx="5219700" cy="2840355"/>
            <wp:effectExtent l="0" t="0" r="7620" b="9525"/>
            <wp:docPr id="1954363864" name="Picture 195436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63864" name="Picture 1954363864"/>
                    <pic:cNvPicPr>
                      <a:picLocks noChangeAspect="1"/>
                    </pic:cNvPicPr>
                  </pic:nvPicPr>
                  <pic:blipFill>
                    <a:blip r:embed="rId84"/>
                    <a:stretch>
                      <a:fillRect/>
                    </a:stretch>
                  </pic:blipFill>
                  <pic:spPr>
                    <a:xfrm>
                      <a:off x="0" y="0"/>
                      <a:ext cx="5220000" cy="2840374"/>
                    </a:xfrm>
                    <a:prstGeom prst="rect">
                      <a:avLst/>
                    </a:prstGeom>
                  </pic:spPr>
                </pic:pic>
              </a:graphicData>
            </a:graphic>
          </wp:inline>
        </w:drawing>
      </w:r>
    </w:p>
    <w:p w14:paraId="5597F0A7">
      <w:pPr>
        <w:pStyle w:val="3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 xml:space="preserve"> 人工智能方法与经典优化方法计算耗时对比</w:t>
      </w:r>
    </w:p>
    <w:p w14:paraId="40F820EB"/>
    <w:p w14:paraId="0A13A094">
      <w:pPr>
        <w:pStyle w:val="33"/>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 xml:space="preserve"> 基于人工智能的温度场反演模块主要成果及指标</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3260"/>
        <w:gridCol w:w="2268"/>
        <w:gridCol w:w="844"/>
      </w:tblGrid>
      <w:tr w14:paraId="07C66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2E041300">
            <w:pPr>
              <w:pStyle w:val="33"/>
            </w:pPr>
            <w:r>
              <w:t>成果类别</w:t>
            </w:r>
          </w:p>
        </w:tc>
        <w:tc>
          <w:tcPr>
            <w:tcW w:w="3260" w:type="dxa"/>
            <w:vAlign w:val="center"/>
          </w:tcPr>
          <w:p w14:paraId="6D59BA8B">
            <w:pPr>
              <w:pStyle w:val="33"/>
            </w:pPr>
            <w:r>
              <w:t>已形成成果</w:t>
            </w:r>
          </w:p>
        </w:tc>
        <w:tc>
          <w:tcPr>
            <w:tcW w:w="2268" w:type="dxa"/>
            <w:vAlign w:val="center"/>
          </w:tcPr>
          <w:p w14:paraId="265654A5">
            <w:pPr>
              <w:pStyle w:val="33"/>
            </w:pPr>
            <w:r>
              <w:t>主要数据/指标</w:t>
            </w:r>
          </w:p>
        </w:tc>
        <w:tc>
          <w:tcPr>
            <w:tcW w:w="844" w:type="dxa"/>
            <w:vAlign w:val="center"/>
          </w:tcPr>
          <w:p w14:paraId="58F9F204">
            <w:pPr>
              <w:pStyle w:val="33"/>
            </w:pPr>
            <w:r>
              <w:t>结论</w:t>
            </w:r>
          </w:p>
        </w:tc>
      </w:tr>
      <w:tr w14:paraId="79A2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61576802">
            <w:pPr>
              <w:pStyle w:val="33"/>
            </w:pPr>
            <w:r>
              <w:t>模型结构</w:t>
            </w:r>
          </w:p>
        </w:tc>
        <w:tc>
          <w:tcPr>
            <w:tcW w:w="3260" w:type="dxa"/>
            <w:vAlign w:val="center"/>
          </w:tcPr>
          <w:p w14:paraId="713E0C4F">
            <w:pPr>
              <w:pStyle w:val="33"/>
            </w:pPr>
            <w:r>
              <w:t>CNN与LSTM双分支编码、BP融合并输出二维完整温度场；一维结果由中心线提取。</w:t>
            </w:r>
          </w:p>
        </w:tc>
        <w:tc>
          <w:tcPr>
            <w:tcW w:w="2268" w:type="dxa"/>
            <w:vAlign w:val="center"/>
          </w:tcPr>
          <w:p w14:paraId="746B2F01">
            <w:pPr>
              <w:pStyle w:val="33"/>
            </w:pPr>
            <w:r>
              <w:t>统一支持一维、二维及稳态、瞬态任务。</w:t>
            </w:r>
          </w:p>
        </w:tc>
        <w:tc>
          <w:tcPr>
            <w:tcW w:w="844" w:type="dxa"/>
            <w:vAlign w:val="center"/>
          </w:tcPr>
          <w:p w14:paraId="4EF72064">
            <w:pPr>
              <w:pStyle w:val="33"/>
            </w:pPr>
            <w:r>
              <w:t>完成</w:t>
            </w:r>
          </w:p>
        </w:tc>
      </w:tr>
      <w:tr w14:paraId="78D52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6737B154">
            <w:pPr>
              <w:pStyle w:val="33"/>
            </w:pPr>
            <w:r>
              <w:t>数据资源</w:t>
            </w:r>
          </w:p>
        </w:tc>
        <w:tc>
          <w:tcPr>
            <w:tcW w:w="3260" w:type="dxa"/>
            <w:vAlign w:val="center"/>
          </w:tcPr>
          <w:p w14:paraId="5E9AC957">
            <w:pPr>
              <w:pStyle w:val="33"/>
            </w:pPr>
            <w:r>
              <w:t>三类材料仿真训练集及W30Mo70实验测试集。</w:t>
            </w:r>
          </w:p>
        </w:tc>
        <w:tc>
          <w:tcPr>
            <w:tcW w:w="2268" w:type="dxa"/>
            <w:vAlign w:val="center"/>
          </w:tcPr>
          <w:p w14:paraId="732B0909">
            <w:pPr>
              <w:pStyle w:val="33"/>
            </w:pPr>
            <w:r>
              <w:t>仿真数据1400组，实验数据不少于20组，温度300～1500 K。</w:t>
            </w:r>
          </w:p>
        </w:tc>
        <w:tc>
          <w:tcPr>
            <w:tcW w:w="844" w:type="dxa"/>
            <w:vAlign w:val="center"/>
          </w:tcPr>
          <w:p w14:paraId="550696D4">
            <w:pPr>
              <w:pStyle w:val="33"/>
            </w:pPr>
            <w:r>
              <w:t>完成建库</w:t>
            </w:r>
          </w:p>
        </w:tc>
      </w:tr>
      <w:tr w14:paraId="5939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2441FDE7">
            <w:pPr>
              <w:pStyle w:val="33"/>
            </w:pPr>
            <w:r>
              <w:t>增量更新</w:t>
            </w:r>
          </w:p>
        </w:tc>
        <w:tc>
          <w:tcPr>
            <w:tcW w:w="3260" w:type="dxa"/>
            <w:vAlign w:val="center"/>
          </w:tcPr>
          <w:p w14:paraId="12B6512D">
            <w:pPr>
              <w:pStyle w:val="33"/>
            </w:pPr>
            <w:r>
              <w:t>基础模型加载、新增数据导入、训练参数配置冻结、权重更新和版本保存。</w:t>
            </w:r>
          </w:p>
        </w:tc>
        <w:tc>
          <w:tcPr>
            <w:tcW w:w="2268" w:type="dxa"/>
            <w:vAlign w:val="center"/>
          </w:tcPr>
          <w:p w14:paraId="7754DF0C">
            <w:pPr>
              <w:pStyle w:val="33"/>
            </w:pPr>
            <w:r>
              <w:t>增量训练正常结束并生成新checkpoint。</w:t>
            </w:r>
          </w:p>
        </w:tc>
        <w:tc>
          <w:tcPr>
            <w:tcW w:w="844" w:type="dxa"/>
            <w:vAlign w:val="center"/>
          </w:tcPr>
          <w:p w14:paraId="0DFDB5F1">
            <w:pPr>
              <w:pStyle w:val="33"/>
            </w:pPr>
            <w:r>
              <w:t>完成</w:t>
            </w:r>
          </w:p>
        </w:tc>
      </w:tr>
      <w:tr w14:paraId="32BE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0EBB3E34">
            <w:pPr>
              <w:pStyle w:val="33"/>
            </w:pPr>
            <w:r>
              <w:t>反演精度</w:t>
            </w:r>
          </w:p>
        </w:tc>
        <w:tc>
          <w:tcPr>
            <w:tcW w:w="3260" w:type="dxa"/>
            <w:vAlign w:val="center"/>
          </w:tcPr>
          <w:p w14:paraId="404E0DF5">
            <w:pPr>
              <w:pStyle w:val="33"/>
            </w:pPr>
            <w:r>
              <w:t>W30Mo70四类工况5测点平均温度误差。</w:t>
            </w:r>
          </w:p>
        </w:tc>
        <w:tc>
          <w:tcPr>
            <w:tcW w:w="2268" w:type="dxa"/>
            <w:vAlign w:val="center"/>
          </w:tcPr>
          <w:p w14:paraId="0D7A4B45">
            <w:pPr>
              <w:pStyle w:val="33"/>
            </w:pPr>
            <w:r>
              <w:t>0.7221%、3.3637%、0.7095%、3.3221%，均≤10%。</w:t>
            </w:r>
          </w:p>
        </w:tc>
        <w:tc>
          <w:tcPr>
            <w:tcW w:w="844" w:type="dxa"/>
            <w:vAlign w:val="center"/>
          </w:tcPr>
          <w:p w14:paraId="27A652AF">
            <w:pPr>
              <w:pStyle w:val="33"/>
            </w:pPr>
            <w:r>
              <w:t>满足指标</w:t>
            </w:r>
          </w:p>
        </w:tc>
      </w:tr>
      <w:tr w14:paraId="47EBB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5EF360AB">
            <w:pPr>
              <w:pStyle w:val="33"/>
            </w:pPr>
            <w:r>
              <w:t>计算效率</w:t>
            </w:r>
          </w:p>
        </w:tc>
        <w:tc>
          <w:tcPr>
            <w:tcW w:w="3260" w:type="dxa"/>
            <w:vAlign w:val="center"/>
          </w:tcPr>
          <w:p w14:paraId="39D07C0E">
            <w:pPr>
              <w:pStyle w:val="33"/>
            </w:pPr>
            <w:r>
              <w:t>GPU并行推理并与三种经典方法比较。</w:t>
            </w:r>
          </w:p>
        </w:tc>
        <w:tc>
          <w:tcPr>
            <w:tcW w:w="2268" w:type="dxa"/>
            <w:vAlign w:val="center"/>
          </w:tcPr>
          <w:p w14:paraId="0E33E933">
            <w:pPr>
              <w:pStyle w:val="33"/>
            </w:pPr>
            <w:r>
              <w:t>0.0622 s/场；加速比约300.2、178.5和200.0。</w:t>
            </w:r>
          </w:p>
        </w:tc>
        <w:tc>
          <w:tcPr>
            <w:tcW w:w="844" w:type="dxa"/>
            <w:vAlign w:val="center"/>
          </w:tcPr>
          <w:p w14:paraId="78860145">
            <w:pPr>
              <w:pStyle w:val="33"/>
            </w:pPr>
            <w:r>
              <w:t>满足提高一个数量级</w:t>
            </w:r>
          </w:p>
        </w:tc>
      </w:tr>
      <w:tr w14:paraId="7A3E2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393E8381">
            <w:pPr>
              <w:pStyle w:val="33"/>
            </w:pPr>
            <w:r>
              <w:t>软件兼容</w:t>
            </w:r>
          </w:p>
        </w:tc>
        <w:tc>
          <w:tcPr>
            <w:tcW w:w="3260" w:type="dxa"/>
            <w:vAlign w:val="center"/>
          </w:tcPr>
          <w:p w14:paraId="2E47B00D">
            <w:pPr>
              <w:pStyle w:val="33"/>
            </w:pPr>
            <w:r>
              <w:t>Windows图形化界面，Python人工智能模块与Fortran数值模块协同。</w:t>
            </w:r>
          </w:p>
        </w:tc>
        <w:tc>
          <w:tcPr>
            <w:tcW w:w="2268" w:type="dxa"/>
            <w:vAlign w:val="center"/>
          </w:tcPr>
          <w:p w14:paraId="0F39A171">
            <w:pPr>
              <w:pStyle w:val="33"/>
            </w:pPr>
            <w:r>
              <w:t>训练、预测、增量训练和跨语言调用均完成运行核查。</w:t>
            </w:r>
          </w:p>
        </w:tc>
        <w:tc>
          <w:tcPr>
            <w:tcW w:w="844" w:type="dxa"/>
            <w:vAlign w:val="center"/>
          </w:tcPr>
          <w:p w14:paraId="30F320CD">
            <w:pPr>
              <w:pStyle w:val="33"/>
            </w:pPr>
            <w:r>
              <w:t>满足指标</w:t>
            </w:r>
          </w:p>
        </w:tc>
      </w:tr>
    </w:tbl>
    <w:p w14:paraId="3E650103">
      <w:pPr>
        <w:pStyle w:val="2"/>
      </w:pPr>
      <w:bookmarkStart w:id="157" w:name="_Toc235910495"/>
      <w:r>
        <w:rPr>
          <w:rFonts w:hint="eastAsia"/>
        </w:rPr>
        <w:t>项目完成情况</w:t>
      </w:r>
      <w:bookmarkEnd w:id="157"/>
    </w:p>
    <w:p w14:paraId="43E4A4D5">
      <w:pPr>
        <w:pStyle w:val="4"/>
      </w:pPr>
      <w:bookmarkStart w:id="158" w:name="_Toc235910496"/>
      <w:r>
        <w:rPr>
          <w:rFonts w:hint="eastAsia"/>
        </w:rPr>
        <w:t>项目研究情况</w:t>
      </w:r>
      <w:bookmarkEnd w:id="158"/>
    </w:p>
    <w:p w14:paraId="359469EE">
      <w:pPr>
        <w:ind w:firstLine="480" w:firstLineChars="200"/>
        <w:rPr>
          <w:rFonts w:cs="Times New Roman"/>
          <w:bCs/>
          <w:szCs w:val="36"/>
          <w:lang w:val="zh-CN"/>
        </w:rPr>
      </w:pPr>
      <w:r>
        <w:rPr>
          <w:rFonts w:cs="Times New Roman"/>
          <w:bCs/>
          <w:szCs w:val="36"/>
          <w:lang w:val="zh-CN"/>
        </w:rPr>
        <w:t>项目在四川大学完成了整体的理论研究、程序开发与实验测试验证工作。具体包括：</w:t>
      </w:r>
    </w:p>
    <w:p w14:paraId="19B08E2E">
      <w:pPr>
        <w:ind w:firstLine="480" w:firstLineChars="200"/>
        <w:rPr>
          <w:rFonts w:cs="Times New Roman"/>
          <w:bCs/>
          <w:szCs w:val="36"/>
          <w:lang w:val="zh-CN"/>
        </w:rPr>
      </w:pPr>
      <w:r>
        <w:rPr>
          <w:rFonts w:hint="eastAsia" w:cs="Times New Roman"/>
          <w:bCs/>
          <w:szCs w:val="36"/>
          <w:lang w:val="zh-CN"/>
        </w:rPr>
        <w:t xml:space="preserve">(1) </w:t>
      </w:r>
      <w:r>
        <w:rPr>
          <w:rFonts w:cs="Times New Roman"/>
          <w:bCs/>
          <w:szCs w:val="36"/>
          <w:lang w:val="zh-CN"/>
        </w:rPr>
        <w:t>复合材料中的热声固耦合分析方法研究，该模块用于计算多层材料、金属基复合材料、碳基/硅基复合材料在高温条件下的温度场、固体场和超声波传播特性，为后续声学反演模块和人工智能重构模块提供经验证的仿真数据基础。</w:t>
      </w:r>
    </w:p>
    <w:p w14:paraId="254B2F76">
      <w:pPr>
        <w:ind w:firstLine="480" w:firstLineChars="200"/>
        <w:rPr>
          <w:rFonts w:cs="Times New Roman"/>
          <w:bCs/>
          <w:szCs w:val="36"/>
          <w:lang w:val="zh-CN"/>
        </w:rPr>
      </w:pPr>
      <w:r>
        <w:rPr>
          <w:rFonts w:hint="eastAsia" w:cs="Times New Roman"/>
          <w:bCs/>
          <w:szCs w:val="36"/>
          <w:lang w:val="zh-CN"/>
        </w:rPr>
        <w:t xml:space="preserve">(2) </w:t>
      </w:r>
      <w:r>
        <w:rPr>
          <w:rFonts w:cs="Times New Roman"/>
          <w:bCs/>
          <w:szCs w:val="36"/>
          <w:lang w:val="zh-CN"/>
        </w:rPr>
        <w:t>声学多参数融合温度场反演方法</w:t>
      </w:r>
      <w:r>
        <w:rPr>
          <w:rFonts w:cs="Times New Roman"/>
          <w:bCs/>
          <w:szCs w:val="36"/>
        </w:rPr>
        <w:t>研究</w:t>
      </w:r>
      <w:r>
        <w:rPr>
          <w:rFonts w:cs="Times New Roman"/>
          <w:bCs/>
          <w:szCs w:val="36"/>
          <w:lang w:val="zh-CN"/>
        </w:rPr>
        <w:t>，该</w:t>
      </w:r>
      <w:r>
        <w:rPr>
          <w:rFonts w:cs="Times New Roman"/>
          <w:bCs/>
          <w:szCs w:val="36"/>
        </w:rPr>
        <w:t>模块为基于</w:t>
      </w:r>
      <w:r>
        <w:rPr>
          <w:rFonts w:cs="Times New Roman"/>
          <w:bCs/>
          <w:szCs w:val="36"/>
          <w:lang w:val="zh-CN"/>
        </w:rPr>
        <w:t>物理</w:t>
      </w:r>
      <w:r>
        <w:rPr>
          <w:rFonts w:cs="Times New Roman"/>
          <w:bCs/>
          <w:szCs w:val="36"/>
        </w:rPr>
        <w:t>机理的</w:t>
      </w:r>
      <w:r>
        <w:rPr>
          <w:rFonts w:cs="Times New Roman"/>
          <w:bCs/>
          <w:szCs w:val="36"/>
          <w:lang w:val="zh-CN"/>
        </w:rPr>
        <w:t>反演，利用</w:t>
      </w:r>
      <w:r>
        <w:rPr>
          <w:rFonts w:cs="Times New Roman"/>
          <w:bCs/>
          <w:szCs w:val="36"/>
        </w:rPr>
        <w:t>模块一</w:t>
      </w:r>
      <w:r>
        <w:rPr>
          <w:rFonts w:cs="Times New Roman"/>
          <w:bCs/>
          <w:szCs w:val="36"/>
          <w:lang w:val="zh-CN"/>
        </w:rPr>
        <w:t>仿真获得的超声波形数据及其特征参数，对复合材料内部温度场进行重构，</w:t>
      </w:r>
      <w:r>
        <w:rPr>
          <w:rFonts w:cs="Times New Roman"/>
          <w:bCs/>
          <w:szCs w:val="36"/>
        </w:rPr>
        <w:t>并</w:t>
      </w:r>
      <w:r>
        <w:rPr>
          <w:rFonts w:cs="Times New Roman"/>
          <w:bCs/>
          <w:szCs w:val="36"/>
          <w:lang w:val="zh-CN"/>
        </w:rPr>
        <w:t>支持温度场与试件厚度联合反演，</w:t>
      </w:r>
      <w:r>
        <w:rPr>
          <w:rFonts w:cs="Times New Roman"/>
          <w:bCs/>
          <w:szCs w:val="36"/>
        </w:rPr>
        <w:t>反演精度经热电偶实验验证</w:t>
      </w:r>
      <w:r>
        <w:rPr>
          <w:rFonts w:cs="Times New Roman"/>
          <w:bCs/>
          <w:szCs w:val="36"/>
          <w:lang w:val="zh-CN"/>
        </w:rPr>
        <w:t>。</w:t>
      </w:r>
    </w:p>
    <w:p w14:paraId="506896E9">
      <w:pPr>
        <w:ind w:firstLine="480" w:firstLineChars="200"/>
        <w:rPr>
          <w:rFonts w:cs="Times New Roman"/>
          <w:bCs/>
          <w:szCs w:val="36"/>
          <w:lang w:val="zh-CN"/>
        </w:rPr>
      </w:pPr>
      <w:r>
        <w:rPr>
          <w:rFonts w:hint="eastAsia" w:cs="Times New Roman"/>
          <w:bCs/>
          <w:szCs w:val="36"/>
          <w:lang w:val="zh-CN"/>
        </w:rPr>
        <w:t xml:space="preserve">(3) </w:t>
      </w:r>
      <w:r>
        <w:rPr>
          <w:rFonts w:cs="Times New Roman"/>
          <w:bCs/>
          <w:szCs w:val="36"/>
          <w:lang w:val="zh-CN"/>
        </w:rPr>
        <w:t>基于人工智能</w:t>
      </w:r>
      <w:r>
        <w:rPr>
          <w:rFonts w:cs="Times New Roman"/>
          <w:bCs/>
          <w:szCs w:val="36"/>
        </w:rPr>
        <w:t>AI</w:t>
      </w:r>
      <w:r>
        <w:rPr>
          <w:rFonts w:cs="Times New Roman"/>
          <w:bCs/>
          <w:szCs w:val="36"/>
          <w:lang w:val="zh-CN"/>
        </w:rPr>
        <w:t>的温度场反演方法</w:t>
      </w:r>
      <w:r>
        <w:rPr>
          <w:rFonts w:cs="Times New Roman"/>
          <w:bCs/>
          <w:szCs w:val="36"/>
        </w:rPr>
        <w:t>研究</w:t>
      </w:r>
      <w:r>
        <w:rPr>
          <w:rFonts w:cs="Times New Roman"/>
          <w:bCs/>
          <w:szCs w:val="36"/>
          <w:lang w:val="zh-CN"/>
        </w:rPr>
        <w:t>，该模块是系统的</w:t>
      </w:r>
      <w:r>
        <w:rPr>
          <w:rFonts w:cs="Times New Roman"/>
          <w:bCs/>
          <w:szCs w:val="36"/>
        </w:rPr>
        <w:t>智能高效</w:t>
      </w:r>
      <w:r>
        <w:rPr>
          <w:rFonts w:cs="Times New Roman"/>
          <w:bCs/>
          <w:szCs w:val="36"/>
          <w:lang w:val="zh-CN"/>
        </w:rPr>
        <w:t>重构与模型自适应部分，基于</w:t>
      </w:r>
      <w:r>
        <w:rPr>
          <w:rFonts w:cs="Times New Roman"/>
          <w:bCs/>
          <w:szCs w:val="36"/>
        </w:rPr>
        <w:t>模块一</w:t>
      </w:r>
      <w:r>
        <w:rPr>
          <w:rFonts w:cs="Times New Roman"/>
          <w:bCs/>
          <w:szCs w:val="36"/>
          <w:lang w:val="zh-CN"/>
        </w:rPr>
        <w:t>仿真</w:t>
      </w:r>
      <w:r>
        <w:rPr>
          <w:rFonts w:cs="Times New Roman"/>
          <w:bCs/>
          <w:szCs w:val="36"/>
        </w:rPr>
        <w:t>数据</w:t>
      </w:r>
      <w:r>
        <w:rPr>
          <w:rFonts w:cs="Times New Roman"/>
          <w:bCs/>
          <w:szCs w:val="36"/>
          <w:lang w:val="zh-CN"/>
        </w:rPr>
        <w:t>和</w:t>
      </w:r>
      <w:r>
        <w:rPr>
          <w:rFonts w:cs="Times New Roman"/>
          <w:bCs/>
          <w:szCs w:val="36"/>
        </w:rPr>
        <w:t>实测</w:t>
      </w:r>
      <w:r>
        <w:rPr>
          <w:rFonts w:cs="Times New Roman"/>
          <w:bCs/>
          <w:szCs w:val="36"/>
          <w:lang w:val="zh-CN"/>
        </w:rPr>
        <w:t>数据，构建数据驱动</w:t>
      </w:r>
      <w:r>
        <w:rPr>
          <w:rFonts w:cs="Times New Roman"/>
          <w:bCs/>
          <w:szCs w:val="36"/>
        </w:rPr>
        <w:t>融合材料物理约束的超声波信号-</w:t>
      </w:r>
      <w:r>
        <w:rPr>
          <w:rFonts w:cs="Times New Roman"/>
          <w:bCs/>
          <w:szCs w:val="36"/>
          <w:lang w:val="zh-CN"/>
        </w:rPr>
        <w:t>温度场映射模型，模型输出</w:t>
      </w:r>
      <w:r>
        <w:rPr>
          <w:rFonts w:cs="Times New Roman"/>
          <w:bCs/>
          <w:szCs w:val="36"/>
        </w:rPr>
        <w:t>精度经</w:t>
      </w:r>
      <w:r>
        <w:rPr>
          <w:rFonts w:cs="Times New Roman"/>
          <w:bCs/>
          <w:szCs w:val="36"/>
          <w:lang w:val="zh-CN"/>
        </w:rPr>
        <w:t>热电偶</w:t>
      </w:r>
      <w:r>
        <w:rPr>
          <w:rFonts w:cs="Times New Roman"/>
          <w:bCs/>
          <w:szCs w:val="36"/>
        </w:rPr>
        <w:t>实验验证</w:t>
      </w:r>
      <w:r>
        <w:rPr>
          <w:rFonts w:cs="Times New Roman"/>
          <w:bCs/>
          <w:szCs w:val="36"/>
          <w:lang w:val="zh-CN"/>
        </w:rPr>
        <w:t>。</w:t>
      </w:r>
    </w:p>
    <w:p w14:paraId="577248B4">
      <w:pPr>
        <w:ind w:firstLine="480" w:firstLineChars="200"/>
        <w:rPr>
          <w:rFonts w:cs="Times New Roman"/>
          <w:bCs/>
          <w:szCs w:val="36"/>
          <w:lang w:val="zh-CN"/>
        </w:rPr>
      </w:pPr>
      <w:r>
        <w:rPr>
          <w:rFonts w:cs="Times New Roman"/>
          <w:bCs/>
          <w:szCs w:val="36"/>
        </w:rPr>
        <w:t>理论研究、程序开发与实验验证完成后</w:t>
      </w:r>
      <w:r>
        <w:rPr>
          <w:rFonts w:cs="Times New Roman"/>
          <w:bCs/>
          <w:szCs w:val="36"/>
          <w:lang w:val="zh-CN"/>
        </w:rPr>
        <w:t>，邀请相关领域专家组进行了关键</w:t>
      </w:r>
      <w:r>
        <w:rPr>
          <w:rFonts w:cs="Times New Roman"/>
          <w:bCs/>
          <w:szCs w:val="36"/>
        </w:rPr>
        <w:t>技术</w:t>
      </w:r>
      <w:r>
        <w:rPr>
          <w:rFonts w:cs="Times New Roman"/>
          <w:bCs/>
          <w:szCs w:val="36"/>
          <w:lang w:val="zh-CN"/>
        </w:rPr>
        <w:t>见证与共检，均符合《</w:t>
      </w:r>
      <w:r>
        <w:rPr>
          <w:rFonts w:cs="Times New Roman"/>
          <w:bCs/>
          <w:szCs w:val="36"/>
        </w:rPr>
        <w:t>技术任务书</w:t>
      </w:r>
      <w:r>
        <w:rPr>
          <w:rFonts w:cs="Times New Roman"/>
          <w:bCs/>
          <w:szCs w:val="36"/>
          <w:lang w:val="zh-CN"/>
        </w:rPr>
        <w:t>》、《实施方案》及《测试大纲》要求。</w:t>
      </w:r>
    </w:p>
    <w:p w14:paraId="565BF5FC">
      <w:pPr>
        <w:pStyle w:val="4"/>
      </w:pPr>
      <w:bookmarkStart w:id="159" w:name="_Toc235910497"/>
      <w:r>
        <w:rPr>
          <w:rFonts w:hint="eastAsia"/>
        </w:rPr>
        <w:t>安装调试情况</w:t>
      </w:r>
      <w:bookmarkEnd w:id="159"/>
    </w:p>
    <w:p w14:paraId="20F8A129">
      <w:pPr>
        <w:ind w:firstLine="480" w:firstLineChars="200"/>
        <w:rPr>
          <w:rFonts w:cs="Times New Roman"/>
          <w:bCs/>
          <w:szCs w:val="36"/>
          <w:lang w:val="zh-CN"/>
        </w:rPr>
      </w:pPr>
      <w:r>
        <w:rPr>
          <w:rFonts w:cs="Times New Roman"/>
          <w:bCs/>
          <w:szCs w:val="36"/>
          <w:lang w:val="zh-CN"/>
        </w:rPr>
        <w:t>完成三个模块对应的三套程序的安装、部署与调试，以及高温热电偶测温设备的调试、实验与数据采集。</w:t>
      </w:r>
      <w:r>
        <w:rPr>
          <w:rFonts w:hint="eastAsia" w:cs="Times New Roman"/>
          <w:bCs/>
          <w:szCs w:val="36"/>
          <w:lang w:val="zh-CN"/>
        </w:rPr>
        <w:t>（</w:t>
      </w:r>
      <w:r>
        <w:rPr>
          <w:rFonts w:hint="eastAsia" w:cs="Times New Roman"/>
          <w:bCs/>
          <w:szCs w:val="36"/>
        </w:rPr>
        <w:t>详见《测试报告》</w:t>
      </w:r>
      <w:r>
        <w:rPr>
          <w:rFonts w:hint="eastAsia" w:cs="Times New Roman"/>
          <w:bCs/>
          <w:szCs w:val="36"/>
          <w:lang w:val="zh-CN"/>
        </w:rPr>
        <w:t>）</w:t>
      </w:r>
    </w:p>
    <w:p w14:paraId="7D4B68D9">
      <w:pPr>
        <w:pStyle w:val="4"/>
      </w:pPr>
      <w:bookmarkStart w:id="160" w:name="_Toc235910498"/>
      <w:r>
        <w:rPr>
          <w:rFonts w:hint="eastAsia"/>
        </w:rPr>
        <w:t>技术指标完成情况</w:t>
      </w:r>
      <w:bookmarkEnd w:id="160"/>
    </w:p>
    <w:p w14:paraId="51024D8F">
      <w:pPr>
        <w:ind w:firstLine="420" w:firstLineChars="200"/>
        <w:rPr>
          <w:rFonts w:cs="Times New Roman"/>
          <w:bCs/>
          <w:sz w:val="21"/>
          <w:szCs w:val="28"/>
          <w:lang w:val="zh-CN"/>
        </w:rPr>
        <w:sectPr>
          <w:pgSz w:w="11906" w:h="16838"/>
          <w:pgMar w:top="1440" w:right="1701" w:bottom="1440" w:left="1701" w:header="851" w:footer="992" w:gutter="0"/>
          <w:cols w:space="425" w:num="1"/>
          <w:docGrid w:type="lines" w:linePitch="312" w:charSpace="0"/>
        </w:sectPr>
      </w:pPr>
      <w:r>
        <w:rPr>
          <w:rFonts w:cs="Times New Roman"/>
          <w:bCs/>
          <w:sz w:val="21"/>
          <w:szCs w:val="28"/>
          <w:lang w:val="zh-CN"/>
        </w:rPr>
        <w:t>根据合同技术任务书和《技术指标对比表》，项目完成了各项核心指标的验证</w:t>
      </w:r>
      <w:r>
        <w:rPr>
          <w:rFonts w:hint="eastAsia" w:cs="Times New Roman"/>
          <w:bCs/>
          <w:sz w:val="21"/>
          <w:szCs w:val="28"/>
          <w:lang w:val="zh-CN"/>
        </w:rPr>
        <w:t>。</w:t>
      </w:r>
    </w:p>
    <w:p w14:paraId="6066432F">
      <w:pPr>
        <w:jc w:val="center"/>
        <w:rPr>
          <w:rFonts w:cs="Times New Roman"/>
          <w:bCs/>
          <w:szCs w:val="36"/>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cs="Times New Roman"/>
          <w:bCs/>
          <w:szCs w:val="36"/>
        </w:rPr>
        <w:t xml:space="preserve"> </w:t>
      </w:r>
      <w:r>
        <w:rPr>
          <w:rFonts w:cs="Times New Roman"/>
          <w:bCs/>
          <w:szCs w:val="36"/>
          <w:lang w:val="zh-CN"/>
        </w:rPr>
        <w:t>技术指标完成情况</w:t>
      </w:r>
      <w:r>
        <w:rPr>
          <w:rFonts w:hint="eastAsia" w:cs="Times New Roman"/>
          <w:bCs/>
          <w:szCs w:val="36"/>
        </w:rPr>
        <w:t>表</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0"/>
        <w:gridCol w:w="736"/>
        <w:gridCol w:w="3986"/>
        <w:gridCol w:w="7716"/>
      </w:tblGrid>
      <w:tr w14:paraId="13AEA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41" w:type="pct"/>
            <w:vAlign w:val="center"/>
          </w:tcPr>
          <w:p w14:paraId="4E2C52EA">
            <w:pPr>
              <w:pStyle w:val="33"/>
            </w:pPr>
            <w:r>
              <w:rPr>
                <w:rFonts w:hint="eastAsia"/>
              </w:rPr>
              <w:t>模块</w:t>
            </w:r>
          </w:p>
        </w:tc>
        <w:tc>
          <w:tcPr>
            <w:tcW w:w="264" w:type="pct"/>
            <w:vAlign w:val="center"/>
          </w:tcPr>
          <w:p w14:paraId="1575C9FB">
            <w:pPr>
              <w:pStyle w:val="33"/>
            </w:pPr>
            <w:r>
              <w:rPr>
                <w:rFonts w:hint="eastAsia"/>
              </w:rPr>
              <w:t>类别</w:t>
            </w:r>
          </w:p>
        </w:tc>
        <w:tc>
          <w:tcPr>
            <w:tcW w:w="1429" w:type="pct"/>
            <w:vAlign w:val="center"/>
          </w:tcPr>
          <w:p w14:paraId="62D25608">
            <w:pPr>
              <w:pStyle w:val="33"/>
            </w:pPr>
            <w:r>
              <w:rPr>
                <w:rFonts w:hint="eastAsia"/>
              </w:rPr>
              <w:t>合同任务书要求</w:t>
            </w:r>
          </w:p>
        </w:tc>
        <w:tc>
          <w:tcPr>
            <w:tcW w:w="2766" w:type="pct"/>
            <w:vAlign w:val="center"/>
          </w:tcPr>
          <w:p w14:paraId="3A3B656C">
            <w:pPr>
              <w:pStyle w:val="33"/>
            </w:pPr>
            <w:r>
              <w:rPr>
                <w:rFonts w:hint="eastAsia"/>
              </w:rPr>
              <w:t>完成情况</w:t>
            </w:r>
          </w:p>
        </w:tc>
      </w:tr>
      <w:tr w14:paraId="3A71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restart"/>
            <w:vAlign w:val="center"/>
          </w:tcPr>
          <w:p w14:paraId="2DFD80EB">
            <w:pPr>
              <w:pStyle w:val="33"/>
              <w:jc w:val="both"/>
            </w:pPr>
            <w:r>
              <w:rPr>
                <w:rFonts w:hint="eastAsia"/>
              </w:rPr>
              <w:t>模块一</w:t>
            </w:r>
          </w:p>
        </w:tc>
        <w:tc>
          <w:tcPr>
            <w:tcW w:w="264" w:type="pct"/>
            <w:vMerge w:val="restart"/>
            <w:vAlign w:val="center"/>
          </w:tcPr>
          <w:p w14:paraId="71477183">
            <w:pPr>
              <w:pStyle w:val="33"/>
              <w:jc w:val="both"/>
            </w:pPr>
            <w:r>
              <w:rPr>
                <w:rFonts w:hint="eastAsia"/>
              </w:rPr>
              <w:t>功能要求</w:t>
            </w:r>
          </w:p>
        </w:tc>
        <w:tc>
          <w:tcPr>
            <w:tcW w:w="1429" w:type="pct"/>
            <w:vAlign w:val="center"/>
          </w:tcPr>
          <w:p w14:paraId="5CDAACFE">
            <w:pPr>
              <w:pStyle w:val="33"/>
              <w:jc w:val="both"/>
            </w:pPr>
            <w:r>
              <w:rPr>
                <w:szCs w:val="20"/>
              </w:rPr>
              <w:t>(1)模型适用于三种材料（多层材料、金属基复合材料、碳基/硅基复合材料），材料参数随温度变化，波传播厚度方向（材料厚度要求）：一维条件下，多层材料至少达到5mm厚、金属基复合材料至少达到10mm厚、碳基/硅基复合材料至少达到5mm至8mm厚；二维条件下，多层材料至少达到5mm厚、宽度50mm，金属基复合材料至少达到10mm厚、宽度50mm，碳基/硅基复合材料至少达到5mm至8mm厚、宽度50mm。</w:t>
            </w:r>
          </w:p>
        </w:tc>
        <w:tc>
          <w:tcPr>
            <w:tcW w:w="2766" w:type="pct"/>
            <w:vAlign w:val="center"/>
          </w:tcPr>
          <w:p w14:paraId="4C2B7699">
            <w:pPr>
              <w:pStyle w:val="33"/>
              <w:ind w:firstLine="480" w:firstLineChars="200"/>
              <w:jc w:val="both"/>
            </w:pPr>
            <w:r>
              <w:rPr>
                <w:rFonts w:hint="eastAsia"/>
              </w:rPr>
              <w:t>基于非线性热传导模型以及弹性波模型，</w:t>
            </w:r>
            <w:r>
              <w:t>建立</w:t>
            </w:r>
            <w:r>
              <w:rPr>
                <w:rFonts w:hint="eastAsia"/>
              </w:rPr>
              <w:t>了</w:t>
            </w:r>
            <w:r>
              <w:t>两层W30Mo70多层材料、W基体/SiC纤维金属基复合材料和SiC纤维/CVI-SiC基体硅基复合材料模型，并将密度、导热系数、比热容、弹性模量及声速等参数设置为随温度变化。实际建立的一维模型厚度分别为20 mm、10 mm和10 mm；二维模型尺寸（宽度×厚度）分别为100 mm×20 mm、50 mm×10 mm和50 mm×10 mm。三类模型均完成了一维、二维稳态及瞬态工况运行，能够正常输出温度场、固体场和超声波动场结果。与任务书规定的尺寸下限相比，多层材料和碳基/硅基复合材料的厚度指标超过要求，金属基复合材料的厚度及宽度指标达到要求</w:t>
            </w:r>
          </w:p>
        </w:tc>
      </w:tr>
      <w:tr w14:paraId="4DEDB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33712297">
            <w:pPr>
              <w:pStyle w:val="33"/>
              <w:jc w:val="both"/>
            </w:pPr>
          </w:p>
        </w:tc>
        <w:tc>
          <w:tcPr>
            <w:tcW w:w="264" w:type="pct"/>
            <w:vMerge w:val="continue"/>
            <w:vAlign w:val="center"/>
          </w:tcPr>
          <w:p w14:paraId="1648CEC7">
            <w:pPr>
              <w:pStyle w:val="33"/>
              <w:jc w:val="both"/>
            </w:pPr>
          </w:p>
        </w:tc>
        <w:tc>
          <w:tcPr>
            <w:tcW w:w="1429" w:type="pct"/>
            <w:vAlign w:val="center"/>
          </w:tcPr>
          <w:p w14:paraId="02316C8F">
            <w:pPr>
              <w:pStyle w:val="33"/>
              <w:jc w:val="both"/>
            </w:pPr>
            <w:r>
              <w:rPr>
                <w:szCs w:val="20"/>
              </w:rPr>
              <w:t>(2)室温至1500K温度条件下，基于有限元法（FEM）或有限差分法（FDM）或谱元法（SEM）进行热声固多物理场耦合求解（在时域、频域、时频耦合域内的数值求解）</w:t>
            </w:r>
          </w:p>
        </w:tc>
        <w:tc>
          <w:tcPr>
            <w:tcW w:w="2766" w:type="pct"/>
            <w:vAlign w:val="center"/>
          </w:tcPr>
          <w:p w14:paraId="3D1E4945">
            <w:pPr>
              <w:pStyle w:val="33"/>
              <w:ind w:firstLine="480" w:firstLineChars="200"/>
              <w:jc w:val="both"/>
            </w:pPr>
            <w:r>
              <w:t>采用Gmsh完成几何离散与网格划分，利用自主开发的Fortran有限元程序，按照“热传导场计算—温度相关材料参数更新—热弹性固体场计算—超声波传播计算”的顺序实现热、声、固场量传递与耦合。计算温度范围覆盖300～1500 K，并完成三类材料的一维、二维稳态及瞬态工况求解。时域内获得温度、位移、应力及超声接收波形等结果；频域内通过FFT获得振幅谱、中心频率等特征；时频域内通过STFT和Morlet小波分析获得超声信号能量随时间和频率的变化结果。程序能够稳定输出各物理场曲线、云图及声学特征，相关结果与COMSOL对比一致，表明室温至1500 K范围内的热—声—固多物理场有限元耦合及时域、频域、时频域分析功能已经完成，本项指标达到要求。</w:t>
            </w:r>
          </w:p>
        </w:tc>
      </w:tr>
      <w:tr w14:paraId="5368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32FB32DF">
            <w:pPr>
              <w:pStyle w:val="33"/>
              <w:jc w:val="both"/>
            </w:pPr>
          </w:p>
        </w:tc>
        <w:tc>
          <w:tcPr>
            <w:tcW w:w="264" w:type="pct"/>
            <w:vMerge w:val="continue"/>
            <w:vAlign w:val="center"/>
          </w:tcPr>
          <w:p w14:paraId="69DB687B">
            <w:pPr>
              <w:pStyle w:val="33"/>
              <w:jc w:val="both"/>
            </w:pPr>
          </w:p>
        </w:tc>
        <w:tc>
          <w:tcPr>
            <w:tcW w:w="1429" w:type="pct"/>
            <w:vAlign w:val="center"/>
          </w:tcPr>
          <w:p w14:paraId="21441DDD">
            <w:pPr>
              <w:pStyle w:val="33"/>
              <w:jc w:val="both"/>
            </w:pPr>
            <w:r>
              <w:rPr>
                <w:szCs w:val="20"/>
              </w:rPr>
              <w:t>(3)计算温度场、波动场、固体场，后处理可提取相关声学参数，时域：声时、幅值、回波上包络面积等；频域：振幅谱、中心频率等</w:t>
            </w:r>
          </w:p>
        </w:tc>
        <w:tc>
          <w:tcPr>
            <w:tcW w:w="2766" w:type="pct"/>
            <w:vAlign w:val="center"/>
          </w:tcPr>
          <w:p w14:paraId="4D3A5F55">
            <w:pPr>
              <w:pStyle w:val="33"/>
              <w:ind w:firstLine="480" w:firstLineChars="200"/>
              <w:jc w:val="both"/>
            </w:pPr>
            <w:r>
              <w:t>已实现温度场、超声波动场以及固体位移场的同步计算与结果输出，可生成典型测点时程曲线和典型时刻场分布云图。针对接收端超声波形，程序利用Hilbert包络及回波识别方法计算传播声时、峰值幅度和回波上包络面积；利用FFT获得振幅谱，并根据频谱分布提取中心频率。上述场量和声学特征已在三类材料的一维、二维稳态及瞬态测试中完成提取，并用于后续温度敏感性分析和温度场反演，相关功能运行正常</w:t>
            </w:r>
          </w:p>
        </w:tc>
      </w:tr>
      <w:tr w14:paraId="7F85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5AEC024F">
            <w:pPr>
              <w:pStyle w:val="33"/>
              <w:jc w:val="both"/>
            </w:pPr>
          </w:p>
        </w:tc>
        <w:tc>
          <w:tcPr>
            <w:tcW w:w="264" w:type="pct"/>
            <w:vMerge w:val="continue"/>
            <w:vAlign w:val="center"/>
          </w:tcPr>
          <w:p w14:paraId="2B2175C7">
            <w:pPr>
              <w:pStyle w:val="33"/>
              <w:jc w:val="both"/>
            </w:pPr>
          </w:p>
        </w:tc>
        <w:tc>
          <w:tcPr>
            <w:tcW w:w="1429" w:type="pct"/>
            <w:vAlign w:val="center"/>
          </w:tcPr>
          <w:p w14:paraId="3DB02E68">
            <w:pPr>
              <w:pStyle w:val="33"/>
              <w:jc w:val="both"/>
              <w:rPr>
                <w:szCs w:val="20"/>
              </w:rPr>
            </w:pPr>
            <w:r>
              <w:rPr>
                <w:szCs w:val="20"/>
              </w:rPr>
              <w:t>(4)给出时域、频域、时频耦合域中声学参数对温度敏感性分析的仿真报告</w:t>
            </w:r>
          </w:p>
        </w:tc>
        <w:tc>
          <w:tcPr>
            <w:tcW w:w="2766" w:type="pct"/>
            <w:vAlign w:val="center"/>
          </w:tcPr>
          <w:p w14:paraId="2AF120D4">
            <w:pPr>
              <w:pStyle w:val="33"/>
              <w:ind w:firstLine="480" w:firstLineChars="200"/>
              <w:jc w:val="both"/>
            </w:pPr>
            <w:r>
              <w:t>在保持材料结构、边界条件和激励参数一致的情况下，对300～1500K范围内不同温度工况进行分组计算，并以温度为自变量，对提取的声学特征进行归一化和对比分析。时域分析包括声时、峰值幅度和回波上包络面积随温度的变化；频域分析包括振幅谱及中心频率随温度的变化；时频耦合域采用STFT和Morlet小波分析超声信号能量分布随时间、频率和温度的变化。</w:t>
            </w:r>
            <w:r>
              <w:rPr>
                <w:rFonts w:hint="eastAsia"/>
              </w:rPr>
              <w:t>完成了</w:t>
            </w:r>
            <w:r>
              <w:t>二维稳态及瞬态场景，已形成声学参数—温度关系曲线、时频图和对比分析结果，并纳入测试报告及其附件，为后续温度场反演筛选温度敏感参数提供了依据，本项指标完成。</w:t>
            </w:r>
          </w:p>
        </w:tc>
      </w:tr>
      <w:tr w14:paraId="49A8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30F800B6">
            <w:pPr>
              <w:pStyle w:val="33"/>
              <w:jc w:val="both"/>
            </w:pPr>
          </w:p>
        </w:tc>
        <w:tc>
          <w:tcPr>
            <w:tcW w:w="264" w:type="pct"/>
            <w:vMerge w:val="restart"/>
            <w:vAlign w:val="center"/>
          </w:tcPr>
          <w:p w14:paraId="354022CE">
            <w:pPr>
              <w:pStyle w:val="33"/>
              <w:jc w:val="both"/>
            </w:pPr>
            <w:r>
              <w:rPr>
                <w:rFonts w:hint="eastAsia"/>
              </w:rPr>
              <w:t>性能指标</w:t>
            </w:r>
          </w:p>
        </w:tc>
        <w:tc>
          <w:tcPr>
            <w:tcW w:w="1429" w:type="pct"/>
            <w:vAlign w:val="center"/>
          </w:tcPr>
          <w:p w14:paraId="788406C2">
            <w:pPr>
              <w:pStyle w:val="33"/>
              <w:jc w:val="both"/>
              <w:rPr>
                <w:szCs w:val="20"/>
              </w:rPr>
            </w:pPr>
            <w:r>
              <w:rPr>
                <w:szCs w:val="20"/>
              </w:rPr>
              <w:t>(5)与通用软件或实验结果比较，耦合分析所得的温度、结构位移、声学特性（声速或幅值或衰减系数等）的预测相对误差≤10%；</w:t>
            </w:r>
          </w:p>
        </w:tc>
        <w:tc>
          <w:tcPr>
            <w:tcW w:w="2766" w:type="pct"/>
            <w:vAlign w:val="center"/>
          </w:tcPr>
          <w:p w14:paraId="7C043D14">
            <w:pPr>
              <w:pStyle w:val="33"/>
              <w:ind w:firstLine="480" w:firstLineChars="200"/>
              <w:jc w:val="both"/>
            </w:pPr>
            <w:r>
              <w:t>项目在统一几何模型、材料参数、边界条件、物理单位和采样时刻的条件下，对三类材料一维、二维工况的温度场、结构位移和声学特征进行了对比。测试结果显示：温度场全场最大逐点相对误差为1.232%，；结构位移场全场最大逐点相对误差为3.843%；声学特征最大相对误差为3.629%。上述各项最大误差均低于10%，表明自主程序与COMSOL计算结果具有良好的一致性，本项指标达到要求。</w:t>
            </w:r>
          </w:p>
        </w:tc>
      </w:tr>
      <w:tr w14:paraId="3A53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538CD0AF">
            <w:pPr>
              <w:pStyle w:val="33"/>
              <w:jc w:val="both"/>
            </w:pPr>
          </w:p>
        </w:tc>
        <w:tc>
          <w:tcPr>
            <w:tcW w:w="264" w:type="pct"/>
            <w:vMerge w:val="continue"/>
            <w:vAlign w:val="center"/>
          </w:tcPr>
          <w:p w14:paraId="5C2EAF07">
            <w:pPr>
              <w:pStyle w:val="33"/>
              <w:jc w:val="both"/>
            </w:pPr>
          </w:p>
        </w:tc>
        <w:tc>
          <w:tcPr>
            <w:tcW w:w="1429" w:type="pct"/>
            <w:vAlign w:val="center"/>
          </w:tcPr>
          <w:p w14:paraId="05FD7723">
            <w:pPr>
              <w:pStyle w:val="33"/>
              <w:jc w:val="both"/>
              <w:rPr>
                <w:szCs w:val="20"/>
              </w:rPr>
            </w:pPr>
            <w:r>
              <w:rPr>
                <w:szCs w:val="20"/>
              </w:rPr>
              <w:t>(6)支持上述三种不同材料瞬态和稳态耦合特性的数值仿真，后处理可以获得典型点三场特性随时间的变化曲线以及整个材料三场特性典型时刻的云图。</w:t>
            </w:r>
          </w:p>
        </w:tc>
        <w:tc>
          <w:tcPr>
            <w:tcW w:w="2766" w:type="pct"/>
            <w:vAlign w:val="center"/>
          </w:tcPr>
          <w:p w14:paraId="67D03A27">
            <w:pPr>
              <w:pStyle w:val="33"/>
              <w:ind w:firstLine="480" w:firstLineChars="200"/>
              <w:jc w:val="both"/>
            </w:pPr>
            <w:r>
              <w:t>项目已完成多层材料、金属基复合材料和硅基复合材料共6类一维、二维模型的稳态及瞬态热—声—固耦合计算。程序可在指定监测点连续输出温度、结构位移和波动速度随时间变化的曲线，并可在设定时刻输出整个模型的温度场、固体位移场和波动场云图。结果能够反映升温过程、热致位移演化以及超声波传播、反射和透射过程；典型点温度时程最大NRMSE为1.451%，位移时程最大NRMSE为2.938%，典型时刻波动场最大逐点相对误差为3.437%，均低于10%。三类材料的稳态、瞬态曲线和云图输出功能均已完成并通过测试，本项指标达到要求。</w:t>
            </w:r>
          </w:p>
        </w:tc>
      </w:tr>
      <w:tr w14:paraId="275A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3BC9C46F">
            <w:pPr>
              <w:pStyle w:val="33"/>
              <w:jc w:val="both"/>
            </w:pPr>
          </w:p>
        </w:tc>
        <w:tc>
          <w:tcPr>
            <w:tcW w:w="264" w:type="pct"/>
            <w:vMerge w:val="continue"/>
            <w:vAlign w:val="center"/>
          </w:tcPr>
          <w:p w14:paraId="468198A3">
            <w:pPr>
              <w:pStyle w:val="33"/>
              <w:jc w:val="both"/>
            </w:pPr>
          </w:p>
        </w:tc>
        <w:tc>
          <w:tcPr>
            <w:tcW w:w="1429" w:type="pct"/>
            <w:vAlign w:val="center"/>
          </w:tcPr>
          <w:p w14:paraId="74C97589">
            <w:pPr>
              <w:pStyle w:val="33"/>
              <w:jc w:val="both"/>
              <w:rPr>
                <w:szCs w:val="20"/>
              </w:rPr>
            </w:pPr>
            <w:r>
              <w:rPr>
                <w:szCs w:val="20"/>
              </w:rPr>
              <w:t>(7)兼容性：支持Windows系统，程序代码采用Fortran语言编写。</w:t>
            </w:r>
          </w:p>
        </w:tc>
        <w:tc>
          <w:tcPr>
            <w:tcW w:w="2766" w:type="pct"/>
            <w:vAlign w:val="center"/>
          </w:tcPr>
          <w:p w14:paraId="6FAEFE2E">
            <w:pPr>
              <w:pStyle w:val="33"/>
              <w:ind w:firstLine="480" w:firstLineChars="200"/>
              <w:jc w:val="both"/>
            </w:pPr>
            <w:r>
              <w:t>项目程序已在Windows测试环境中完成部署和连续运行验证，模型参数配置、计算任务启动、结果文件生成以及曲线、云图显示等功能均运行正常。热传导、热弹性固体场和超声波动场等核心数值求解模块采用Fortran语言开发，源代码包含网格及参数读取、有限元矩阵组装、时步迭代、场量计算和结果输出等功能，并已随项目成果一并交付。测试过程中未出现影响程序运行的系统兼容性问题，本项指标达到要求。</w:t>
            </w:r>
          </w:p>
        </w:tc>
      </w:tr>
      <w:tr w14:paraId="73ED3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restart"/>
            <w:vAlign w:val="center"/>
          </w:tcPr>
          <w:p w14:paraId="4710BD11">
            <w:pPr>
              <w:pStyle w:val="33"/>
              <w:jc w:val="both"/>
            </w:pPr>
            <w:r>
              <w:rPr>
                <w:rFonts w:hint="eastAsia"/>
              </w:rPr>
              <w:t>模块二</w:t>
            </w:r>
          </w:p>
        </w:tc>
        <w:tc>
          <w:tcPr>
            <w:tcW w:w="264" w:type="pct"/>
            <w:vMerge w:val="restart"/>
            <w:vAlign w:val="center"/>
          </w:tcPr>
          <w:p w14:paraId="68321D06">
            <w:pPr>
              <w:pStyle w:val="33"/>
              <w:jc w:val="both"/>
            </w:pPr>
            <w:r>
              <w:rPr>
                <w:rFonts w:hint="eastAsia"/>
              </w:rPr>
              <w:t>功能要求</w:t>
            </w:r>
          </w:p>
        </w:tc>
        <w:tc>
          <w:tcPr>
            <w:tcW w:w="1429" w:type="pct"/>
            <w:vAlign w:val="center"/>
          </w:tcPr>
          <w:p w14:paraId="659065F0">
            <w:pPr>
              <w:pStyle w:val="33"/>
              <w:jc w:val="both"/>
              <w:rPr>
                <w:szCs w:val="20"/>
              </w:rPr>
            </w:pPr>
            <w:r>
              <w:rPr>
                <w:szCs w:val="20"/>
              </w:rPr>
              <w:t>(1)实现单参数（如声时）和多参数（如声时、幅值等）融合条件下多层材料、金属基复合材料、硅基/碳基复合材料内部一维、二维的稳态和瞬态温度场反演，并要求兼顾反演精度和效率</w:t>
            </w:r>
          </w:p>
        </w:tc>
        <w:tc>
          <w:tcPr>
            <w:tcW w:w="2766" w:type="pct"/>
            <w:vAlign w:val="center"/>
          </w:tcPr>
          <w:p w14:paraId="6FA3A491">
            <w:pPr>
              <w:pStyle w:val="33"/>
              <w:ind w:firstLine="480" w:firstLineChars="200"/>
              <w:jc w:val="both"/>
            </w:pPr>
            <w:r>
              <w:t>项目分别建立了以声时为目标量的单参数反演模型，以及综合声时和幅值</w:t>
            </w:r>
            <w:r>
              <w:rPr>
                <w:rFonts w:hint="eastAsia"/>
              </w:rPr>
              <w:t>相对</w:t>
            </w:r>
            <w:r>
              <w:t>衰减信息的多参数加权反演模型，并完成多层材料、金属基复合材料和硅基复合材料一维、二维稳态及瞬态工况的温度场反演。算法采用</w:t>
            </w:r>
            <w:r>
              <w:rPr>
                <w:rFonts w:hint="eastAsia"/>
              </w:rPr>
              <w:t>贝叶斯优化＋有限差分(</w:t>
            </w:r>
            <w:r>
              <w:t>BO+FD</w:t>
            </w:r>
            <w:r>
              <w:rPr>
                <w:rFonts w:hint="eastAsia"/>
              </w:rPr>
              <w:t>)</w:t>
            </w:r>
            <w:r>
              <w:t>和</w:t>
            </w:r>
            <w:r>
              <w:rPr>
                <w:rFonts w:hint="eastAsia"/>
              </w:rPr>
              <w:t>粒子群+共轭梯度(</w:t>
            </w:r>
            <w:r>
              <w:t>PSO+CG</w:t>
            </w:r>
            <w:r>
              <w:rPr>
                <w:rFonts w:hint="eastAsia"/>
              </w:rPr>
              <w:t>)</w:t>
            </w:r>
            <w:r>
              <w:t>两种全局搜索与局部精修相结合的优化策略，在保证反演精度的同时减少迭代时间。多层材料实验场景的5个测点平均温度相对误差为3.884%～9.750%，均低于10%。测试结果表明，单参数和多参数反演功能均已实现，多参数信息能够提高反演稳定性，反演精度及运行效率满足项目要求，本项指标达到要求。</w:t>
            </w:r>
          </w:p>
        </w:tc>
      </w:tr>
      <w:tr w14:paraId="2AA5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6F3A7F0A">
            <w:pPr>
              <w:pStyle w:val="33"/>
              <w:jc w:val="both"/>
            </w:pPr>
          </w:p>
        </w:tc>
        <w:tc>
          <w:tcPr>
            <w:tcW w:w="264" w:type="pct"/>
            <w:vMerge w:val="continue"/>
            <w:vAlign w:val="center"/>
          </w:tcPr>
          <w:p w14:paraId="32288B29">
            <w:pPr>
              <w:pStyle w:val="33"/>
              <w:jc w:val="both"/>
            </w:pPr>
          </w:p>
        </w:tc>
        <w:tc>
          <w:tcPr>
            <w:tcW w:w="1429" w:type="pct"/>
            <w:vAlign w:val="center"/>
          </w:tcPr>
          <w:p w14:paraId="586F665B">
            <w:pPr>
              <w:pStyle w:val="33"/>
              <w:jc w:val="both"/>
              <w:rPr>
                <w:szCs w:val="20"/>
              </w:rPr>
            </w:pPr>
            <w:r>
              <w:rPr>
                <w:szCs w:val="20"/>
              </w:rPr>
              <w:t>(2)除共轭梯度法、灵敏度法、最速下降法等经典优化方法外，发展至少一种以上的温度场新反演优化方法</w:t>
            </w:r>
          </w:p>
        </w:tc>
        <w:tc>
          <w:tcPr>
            <w:tcW w:w="2766" w:type="pct"/>
            <w:vAlign w:val="center"/>
          </w:tcPr>
          <w:p w14:paraId="44B68F52">
            <w:pPr>
              <w:pStyle w:val="33"/>
              <w:ind w:firstLine="480" w:firstLineChars="200"/>
              <w:jc w:val="both"/>
            </w:pPr>
            <w:r>
              <w:t>项目在共轭梯度法、灵敏度法和最速下降法之外，开发了BO+FD和PSO+CG两种新的混合反演方法。其中，BO+FD先利用贝叶斯优化搜索较优参数区域，再通过有限差分进行局部精修；PSO+CG先利用粒子群算法完成全局搜索，再采用共轭梯度法加快局部收敛。两种方法均已完成程序实现，并应用于一维、二维稳态及瞬态温度场反演。表明新方法在满足反演精度要求的同时具有效率优势。项目实际形成两种新反演优化方法，超过“至少一种”的要求，本项指标完成。</w:t>
            </w:r>
          </w:p>
        </w:tc>
      </w:tr>
      <w:tr w14:paraId="01C7C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1787D103">
            <w:pPr>
              <w:pStyle w:val="33"/>
              <w:jc w:val="both"/>
            </w:pPr>
          </w:p>
        </w:tc>
        <w:tc>
          <w:tcPr>
            <w:tcW w:w="264" w:type="pct"/>
            <w:vMerge w:val="continue"/>
            <w:vAlign w:val="center"/>
          </w:tcPr>
          <w:p w14:paraId="506A1E0E">
            <w:pPr>
              <w:pStyle w:val="33"/>
              <w:jc w:val="both"/>
            </w:pPr>
          </w:p>
        </w:tc>
        <w:tc>
          <w:tcPr>
            <w:tcW w:w="1429" w:type="pct"/>
            <w:vAlign w:val="center"/>
          </w:tcPr>
          <w:p w14:paraId="120FE13F">
            <w:pPr>
              <w:pStyle w:val="33"/>
              <w:jc w:val="both"/>
              <w:rPr>
                <w:szCs w:val="20"/>
              </w:rPr>
            </w:pPr>
            <w:r>
              <w:rPr>
                <w:szCs w:val="20"/>
              </w:rPr>
              <w:t>(3)提供一种优化算法同时实现温度场和试件厚度的反演</w:t>
            </w:r>
          </w:p>
        </w:tc>
        <w:tc>
          <w:tcPr>
            <w:tcW w:w="2766" w:type="pct"/>
            <w:vAlign w:val="center"/>
          </w:tcPr>
          <w:p w14:paraId="0640DF6B">
            <w:pPr>
              <w:pStyle w:val="33"/>
              <w:ind w:firstLine="480" w:firstLineChars="200"/>
              <w:jc w:val="both"/>
            </w:pPr>
            <w:r>
              <w:t>项目将温度场控制参数与试件厚度共同纳入优化变量，以实测声时或声时、幅值等声学特征与正演计算结果之间的偏差构建统一目标函数，在一次优化迭代过程中同步更新温度场和厚度参数，最终同时输出重构温度场、反演厚度及相应误差。该方法已完成一维、二维稳态及瞬态场景测试，并采用实测总厚度为19.2 mm的两层W30Mo70试件进行实验验证。测试结果显示，温度—厚度联合反演的5测点平均温度相对误差为0.328%～9.926%，厚度相对误差为0.197%～0.395%，分别低于15%和5%的验收限值。本项已实现同一优化过程对温度场和试件厚度的同步反演，指标达到要求。</w:t>
            </w:r>
          </w:p>
        </w:tc>
      </w:tr>
      <w:tr w14:paraId="6EEB1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676366BC">
            <w:pPr>
              <w:pStyle w:val="33"/>
              <w:jc w:val="both"/>
            </w:pPr>
          </w:p>
        </w:tc>
        <w:tc>
          <w:tcPr>
            <w:tcW w:w="264" w:type="pct"/>
            <w:vMerge w:val="continue"/>
            <w:vAlign w:val="center"/>
          </w:tcPr>
          <w:p w14:paraId="6B692525">
            <w:pPr>
              <w:pStyle w:val="33"/>
              <w:jc w:val="both"/>
            </w:pPr>
          </w:p>
        </w:tc>
        <w:tc>
          <w:tcPr>
            <w:tcW w:w="1429" w:type="pct"/>
            <w:vAlign w:val="center"/>
          </w:tcPr>
          <w:p w14:paraId="3BC2EE09">
            <w:pPr>
              <w:pStyle w:val="33"/>
              <w:jc w:val="both"/>
              <w:rPr>
                <w:szCs w:val="20"/>
              </w:rPr>
            </w:pPr>
            <w:r>
              <w:rPr>
                <w:szCs w:val="20"/>
              </w:rPr>
              <w:t>(4)完成反演方法的实验验证，实验温度范围：室温至1500K</w:t>
            </w:r>
          </w:p>
        </w:tc>
        <w:tc>
          <w:tcPr>
            <w:tcW w:w="2766" w:type="pct"/>
            <w:vAlign w:val="center"/>
          </w:tcPr>
          <w:p w14:paraId="403290D5">
            <w:pPr>
              <w:pStyle w:val="33"/>
              <w:ind w:firstLine="480" w:firstLineChars="200"/>
              <w:jc w:val="both"/>
            </w:pPr>
            <w:r>
              <w:t>项目选用两层W30Mo70多层材料试件开展反演方法实验验证，低温阶段采用恒温加热台形成稳态温度工况，高温阶段采用氧乙炔烧蚀加热形成瞬态升温工况，并同步采集热电偶温度和超声波形。实验从室温开始，最高实测温度达到153</w:t>
            </w:r>
            <w:r>
              <w:rPr>
                <w:rFonts w:hint="eastAsia"/>
              </w:rPr>
              <w:t>1</w:t>
            </w:r>
            <w:r>
              <w:t>K，完整覆盖室温至1500K的规定区间，并超过上限3</w:t>
            </w:r>
            <w:r>
              <w:rPr>
                <w:rFonts w:hint="eastAsia"/>
              </w:rPr>
              <w:t>1</w:t>
            </w:r>
            <w:r>
              <w:t>K。采集数据已用于一维、二维稳态及瞬态温度场反演，相关程序运行和结果输出正常，本项指标达到要求。</w:t>
            </w:r>
          </w:p>
        </w:tc>
      </w:tr>
      <w:tr w14:paraId="5111A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4B3AFB48">
            <w:pPr>
              <w:pStyle w:val="33"/>
              <w:jc w:val="both"/>
            </w:pPr>
          </w:p>
        </w:tc>
        <w:tc>
          <w:tcPr>
            <w:tcW w:w="264" w:type="pct"/>
            <w:vMerge w:val="restart"/>
            <w:vAlign w:val="center"/>
          </w:tcPr>
          <w:p w14:paraId="30C6E787">
            <w:pPr>
              <w:pStyle w:val="33"/>
              <w:jc w:val="both"/>
            </w:pPr>
            <w:r>
              <w:rPr>
                <w:rFonts w:hint="eastAsia"/>
              </w:rPr>
              <w:t>性能指标</w:t>
            </w:r>
          </w:p>
        </w:tc>
        <w:tc>
          <w:tcPr>
            <w:tcW w:w="1429" w:type="pct"/>
            <w:vAlign w:val="center"/>
          </w:tcPr>
          <w:p w14:paraId="59ACEEDF">
            <w:pPr>
              <w:pStyle w:val="33"/>
              <w:jc w:val="both"/>
              <w:rPr>
                <w:szCs w:val="20"/>
              </w:rPr>
            </w:pPr>
            <w:r>
              <w:rPr>
                <w:rFonts w:hint="eastAsia"/>
                <w:szCs w:val="20"/>
              </w:rPr>
              <w:t>(5)在多层材料、金属基复合材料、硅基/碳基复合材料选择一种进行温度场反演的实验验证。一维条件下，多层材料至少达到5mm厚、金属基复合材料至少达到10mm厚、碳基/硅基复合材料至少达到5mm至8mm厚；二维条件下，多层材料至少达到5mm厚、宽度50mm，金属基复合材料至少达到10mm厚、宽度50mm，碳基/硅基复合材料至少达到5mm至8mm厚、宽度50mm；</w:t>
            </w:r>
          </w:p>
          <w:p w14:paraId="5A54D021">
            <w:pPr>
              <w:pStyle w:val="33"/>
              <w:ind w:firstLine="480" w:firstLineChars="200"/>
              <w:jc w:val="both"/>
              <w:rPr>
                <w:szCs w:val="20"/>
              </w:rPr>
            </w:pPr>
            <w:r>
              <w:rPr>
                <w:rFonts w:hint="eastAsia"/>
                <w:szCs w:val="20"/>
              </w:rPr>
              <w:t>与高温光学测温仪器或热电偶等测温设备（测温范围：室温至1500K内的温度变化，测温精度1%FS）相比，以5个测点平均值计，一维和二维温度场反演相对误差≤10%；同时温度场和试件厚度反演中，温度场误差≤15%、试件厚度误差≤5%</w:t>
            </w:r>
          </w:p>
        </w:tc>
        <w:tc>
          <w:tcPr>
            <w:tcW w:w="2766" w:type="pct"/>
            <w:vAlign w:val="center"/>
          </w:tcPr>
          <w:p w14:paraId="02C16A25">
            <w:pPr>
              <w:pStyle w:val="33"/>
              <w:ind w:firstLine="480" w:firstLineChars="200"/>
              <w:jc w:val="both"/>
            </w:pPr>
            <w:r>
              <w:t>项目从三类材料中选取两层W30Mo70多层材料开展实验验证，试件尺寸为100 mm×100 mm×19.2 mm，二维有效宽度为100 mm；其厚度和宽度分别超过多层材料5 mm和50 mm的规定下限。实验温度由室温升至153</w:t>
            </w:r>
            <w:r>
              <w:rPr>
                <w:rFonts w:hint="eastAsia"/>
              </w:rPr>
              <w:t>1</w:t>
            </w:r>
            <w:r>
              <w:t>K，采用5个固定热电偶测点作为温度基准，完成一维、二维稳态及瞬态条件下的单参数和多参数温度场反演。5测点平均温度相对误差为3.884%～9.750%，均低于10%；在温度场—厚度联合反演中，5测点平均温度相对误差为0.328%～9.926%，厚度相对误差为0.197%～0.395%，分别低于15%和5%的限值。试件尺寸、实验温区以及温度和厚度反演精度均达到要求，本项指标完成。</w:t>
            </w:r>
          </w:p>
        </w:tc>
      </w:tr>
      <w:tr w14:paraId="7974C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2E262B73">
            <w:pPr>
              <w:pStyle w:val="33"/>
              <w:jc w:val="both"/>
            </w:pPr>
          </w:p>
        </w:tc>
        <w:tc>
          <w:tcPr>
            <w:tcW w:w="264" w:type="pct"/>
            <w:vMerge w:val="continue"/>
            <w:vAlign w:val="center"/>
          </w:tcPr>
          <w:p w14:paraId="095D947A">
            <w:pPr>
              <w:pStyle w:val="33"/>
              <w:jc w:val="both"/>
            </w:pPr>
          </w:p>
        </w:tc>
        <w:tc>
          <w:tcPr>
            <w:tcW w:w="1429" w:type="pct"/>
            <w:vAlign w:val="center"/>
          </w:tcPr>
          <w:p w14:paraId="6615BA8D">
            <w:pPr>
              <w:pStyle w:val="33"/>
              <w:jc w:val="both"/>
              <w:rPr>
                <w:szCs w:val="20"/>
              </w:rPr>
            </w:pPr>
            <w:r>
              <w:rPr>
                <w:szCs w:val="20"/>
              </w:rPr>
              <w:t>(</w:t>
            </w:r>
            <w:r>
              <w:rPr>
                <w:rFonts w:hint="eastAsia"/>
                <w:szCs w:val="20"/>
              </w:rPr>
              <w:t>6</w:t>
            </w:r>
            <w:r>
              <w:rPr>
                <w:szCs w:val="20"/>
              </w:rPr>
              <w:t>)算法适用于一维、二维的稳态和瞬态温度场，其中二维温度场需要考虑波传播路径的弯曲效应</w:t>
            </w:r>
          </w:p>
        </w:tc>
        <w:tc>
          <w:tcPr>
            <w:tcW w:w="2766" w:type="pct"/>
            <w:vAlign w:val="center"/>
          </w:tcPr>
          <w:p w14:paraId="6AA28FD5">
            <w:pPr>
              <w:pStyle w:val="33"/>
              <w:ind w:firstLine="480" w:firstLineChars="200"/>
              <w:jc w:val="both"/>
            </w:pPr>
            <w:r>
              <w:t>项目已建立适用于一维和二维温度分布的反演流程：一维模型沿试件厚度方向设置温度控制参数，二维模型同时考虑宽度和厚度方向的温度变化；两类模型均完成稳态及瞬态工况下的正演计算、声学特征提取和温度场反演。在二维非均匀温度场中，根据温度相关声速的空间分布，采用四阶Runge-Kutta（RK4）方法进行弯曲声线追踪，并在反演迭代过程中同步更新声波传播路径，避免使用固定直线路径造成偏差。相关一维、二维稳态及瞬态场景均已完成程序验证和结果输出，本项指标达到要求。</w:t>
            </w:r>
          </w:p>
        </w:tc>
      </w:tr>
      <w:tr w14:paraId="02383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10B76C65">
            <w:pPr>
              <w:pStyle w:val="33"/>
              <w:jc w:val="both"/>
            </w:pPr>
          </w:p>
        </w:tc>
        <w:tc>
          <w:tcPr>
            <w:tcW w:w="264" w:type="pct"/>
            <w:vMerge w:val="continue"/>
            <w:vAlign w:val="center"/>
          </w:tcPr>
          <w:p w14:paraId="67C61490">
            <w:pPr>
              <w:pStyle w:val="33"/>
              <w:jc w:val="both"/>
            </w:pPr>
          </w:p>
        </w:tc>
        <w:tc>
          <w:tcPr>
            <w:tcW w:w="1429" w:type="pct"/>
            <w:vAlign w:val="center"/>
          </w:tcPr>
          <w:p w14:paraId="350FC928">
            <w:pPr>
              <w:pStyle w:val="33"/>
              <w:jc w:val="both"/>
              <w:rPr>
                <w:szCs w:val="20"/>
              </w:rPr>
            </w:pPr>
            <w:r>
              <w:rPr>
                <w:szCs w:val="20"/>
              </w:rPr>
              <w:t>(</w:t>
            </w:r>
            <w:r>
              <w:rPr>
                <w:rFonts w:hint="eastAsia"/>
                <w:szCs w:val="20"/>
              </w:rPr>
              <w:t>7</w:t>
            </w:r>
            <w:r>
              <w:rPr>
                <w:szCs w:val="20"/>
              </w:rPr>
              <w:t>)算法效率不低于共轭梯度法、灵敏度法、最速下降法等经典优化方法</w:t>
            </w:r>
          </w:p>
        </w:tc>
        <w:tc>
          <w:tcPr>
            <w:tcW w:w="2766" w:type="pct"/>
            <w:vAlign w:val="center"/>
          </w:tcPr>
          <w:p w14:paraId="39A4CC23">
            <w:pPr>
              <w:pStyle w:val="33"/>
              <w:ind w:firstLine="480" w:firstLineChars="200"/>
              <w:jc w:val="both"/>
            </w:pPr>
            <w:r>
              <w:t>在相同计算环境、材料参数、几何模型、声学输入、测点布置和误差判据下，选取两层W30Mo70多层材料，在单参数输入，固定厚度情况下，进行一维瞬态、二维瞬态、一维稳态、二维稳态反演任务，对BO+FD、PSO+CG两种新方法与共轭梯度法、灵敏度法和最速下降法进行运行时间比较。所有算法均在满足规定反演精度后统计耗时，BO+FD在一维瞬态、二维瞬态、一维稳态、二维稳态任务下的耗时为414.52s，214.19s，1.74s，28.24s；PSO+CG在一维瞬态、二维瞬态、一维稳态、二维稳态任务下的耗时为407.24s，203.37s，11.8s，20.20s；共轭梯度法在一维瞬态、二维瞬态、一维稳态、二维稳态任务下的耗时为1318.69s，314.92s，21.27s，49.56s；灵敏度法在一维瞬态、二维瞬态、一维稳态、二维稳态任务下的耗时为578.35s，988.41s，12.08s，37.42s；最速下降法在一维瞬态、二维瞬态、一维稳态、二维稳态任务下的耗时为702.78s，469.71s，13.57s，50.29s。两种新方法均优于三种经典方法，本项指标达到要求。</w:t>
            </w:r>
          </w:p>
        </w:tc>
      </w:tr>
      <w:tr w14:paraId="20F12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41535C9D">
            <w:pPr>
              <w:pStyle w:val="33"/>
              <w:jc w:val="both"/>
            </w:pPr>
          </w:p>
        </w:tc>
        <w:tc>
          <w:tcPr>
            <w:tcW w:w="264" w:type="pct"/>
            <w:vMerge w:val="continue"/>
            <w:vAlign w:val="center"/>
          </w:tcPr>
          <w:p w14:paraId="3614B7D3">
            <w:pPr>
              <w:pStyle w:val="33"/>
              <w:jc w:val="both"/>
            </w:pPr>
          </w:p>
        </w:tc>
        <w:tc>
          <w:tcPr>
            <w:tcW w:w="1429" w:type="pct"/>
            <w:vAlign w:val="center"/>
          </w:tcPr>
          <w:p w14:paraId="53DCDA64">
            <w:pPr>
              <w:pStyle w:val="33"/>
              <w:jc w:val="both"/>
              <w:rPr>
                <w:szCs w:val="20"/>
              </w:rPr>
            </w:pPr>
            <w:r>
              <w:rPr>
                <w:szCs w:val="20"/>
              </w:rPr>
              <w:t>(</w:t>
            </w:r>
            <w:r>
              <w:rPr>
                <w:rFonts w:hint="eastAsia"/>
                <w:szCs w:val="20"/>
              </w:rPr>
              <w:t>8</w:t>
            </w:r>
            <w:r>
              <w:rPr>
                <w:szCs w:val="20"/>
              </w:rPr>
              <w:t>)兼容性：支持Windows系统，程序代码采用Fortran语言编写</w:t>
            </w:r>
          </w:p>
        </w:tc>
        <w:tc>
          <w:tcPr>
            <w:tcW w:w="2766" w:type="pct"/>
            <w:vAlign w:val="center"/>
          </w:tcPr>
          <w:p w14:paraId="5AB305C5">
            <w:pPr>
              <w:pStyle w:val="33"/>
              <w:ind w:firstLine="480" w:firstLineChars="200"/>
              <w:jc w:val="both"/>
            </w:pPr>
            <w:r>
              <w:t>项目已在Windows测试环境中完成模块二程序的安装、配置和连续运行验证，声学参数文件读取、反演任务设置、优化迭代、温度场及厚度结果输出等功能均运行正常。热学正演核心数值计算模块采用Fortran语言编写，并通过标准接口与Windows图形化界面及结果后处理模块连接；相关源代码、编译配置和运行文件已完成。测试过程中未出现影响反演计算和结果输出的系统兼容性问题，本项指标达到要求。</w:t>
            </w:r>
          </w:p>
        </w:tc>
      </w:tr>
      <w:tr w14:paraId="1DB0B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restart"/>
            <w:vAlign w:val="center"/>
          </w:tcPr>
          <w:p w14:paraId="5FB57922">
            <w:pPr>
              <w:pStyle w:val="33"/>
              <w:jc w:val="both"/>
            </w:pPr>
            <w:r>
              <w:rPr>
                <w:rFonts w:hint="eastAsia"/>
              </w:rPr>
              <w:t>模块三</w:t>
            </w:r>
          </w:p>
        </w:tc>
        <w:tc>
          <w:tcPr>
            <w:tcW w:w="264" w:type="pct"/>
            <w:vMerge w:val="restart"/>
            <w:vAlign w:val="center"/>
          </w:tcPr>
          <w:p w14:paraId="4FF4F5F3">
            <w:pPr>
              <w:pStyle w:val="33"/>
              <w:jc w:val="both"/>
            </w:pPr>
            <w:r>
              <w:rPr>
                <w:rFonts w:hint="eastAsia"/>
              </w:rPr>
              <w:t>功能要求</w:t>
            </w:r>
          </w:p>
        </w:tc>
        <w:tc>
          <w:tcPr>
            <w:tcW w:w="1429" w:type="pct"/>
            <w:vAlign w:val="center"/>
          </w:tcPr>
          <w:p w14:paraId="038C5B00">
            <w:pPr>
              <w:pStyle w:val="33"/>
              <w:jc w:val="both"/>
              <w:rPr>
                <w:szCs w:val="20"/>
              </w:rPr>
            </w:pPr>
            <w:r>
              <w:rPr>
                <w:szCs w:val="20"/>
              </w:rPr>
              <w:t>(1)基于声学参数及多参数提取结果，构建AI驱动的温度场重构模型</w:t>
            </w:r>
          </w:p>
        </w:tc>
        <w:tc>
          <w:tcPr>
            <w:tcW w:w="2766" w:type="pct"/>
            <w:vAlign w:val="center"/>
          </w:tcPr>
          <w:p w14:paraId="3A8BBBCF">
            <w:pPr>
              <w:pStyle w:val="33"/>
              <w:ind w:firstLine="480" w:firstLineChars="200"/>
              <w:jc w:val="both"/>
            </w:pPr>
            <w:r>
              <w:t>项目在模块一声时</w:t>
            </w:r>
            <w:r>
              <w:rPr>
                <w:rFonts w:hint="eastAsia"/>
              </w:rPr>
              <w:t>信息等</w:t>
            </w:r>
            <w:r>
              <w:t>特征分析的基础上，构建了AI温度场重构模型。实际交付模型以预处理后的超声波形张量作为直接输入，由网络自动联合编码声时、</w:t>
            </w:r>
            <w:r>
              <w:rPr>
                <w:rFonts w:hint="eastAsia"/>
              </w:rPr>
              <w:t>材料信息</w:t>
            </w:r>
            <w:r>
              <w:t>等多参数信息，建立超声响应与温度场之间的非线性映射，输出完整二维温度场，并可从固定中心线提取一维温度分布。模型已完成训练、权重保存、预测和结果可视化，形成可调用的模型checkpoint。一维稳态、瞬态温度场误差分别为0.7221%和3.3637%，二维稳态、瞬态温度场误差分别为0.7095%和3.3221%，均低于10%，表明AI驱动温度场重构模型已构建并通过测试，本项指标达到要求。</w:t>
            </w:r>
          </w:p>
        </w:tc>
      </w:tr>
      <w:tr w14:paraId="68A75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20AF8065">
            <w:pPr>
              <w:pStyle w:val="33"/>
              <w:jc w:val="both"/>
            </w:pPr>
          </w:p>
        </w:tc>
        <w:tc>
          <w:tcPr>
            <w:tcW w:w="264" w:type="pct"/>
            <w:vMerge w:val="continue"/>
            <w:vAlign w:val="center"/>
          </w:tcPr>
          <w:p w14:paraId="07DD75F1">
            <w:pPr>
              <w:pStyle w:val="33"/>
              <w:jc w:val="both"/>
            </w:pPr>
          </w:p>
        </w:tc>
        <w:tc>
          <w:tcPr>
            <w:tcW w:w="1429" w:type="pct"/>
            <w:vAlign w:val="center"/>
          </w:tcPr>
          <w:p w14:paraId="56024A75">
            <w:pPr>
              <w:pStyle w:val="33"/>
              <w:jc w:val="both"/>
              <w:rPr>
                <w:szCs w:val="20"/>
              </w:rPr>
            </w:pPr>
            <w:r>
              <w:rPr>
                <w:szCs w:val="20"/>
              </w:rPr>
              <w:t>(2)构建三种材料的仿真训练集，三种材料任选其一构建实验测试集，构建温度–声学参数数据库，涵盖仿真与实验数据，至少包括1000组仿真波形和20组实验采集，温度覆盖室温至1500K</w:t>
            </w:r>
          </w:p>
        </w:tc>
        <w:tc>
          <w:tcPr>
            <w:tcW w:w="2766" w:type="pct"/>
            <w:vAlign w:val="center"/>
          </w:tcPr>
          <w:p w14:paraId="30EF5547">
            <w:pPr>
              <w:pStyle w:val="33"/>
              <w:ind w:firstLine="480" w:firstLineChars="200"/>
              <w:jc w:val="both"/>
            </w:pPr>
            <w:r>
              <w:t>项目分别针对两层W30Mo70多层材料、W基体/SiC纤维金属基复合材料和SiC纤维/CVI-SiC基体硅基复合材料建立仿真训练集，每类材料包含多组“超声波形—温度场”配对样本，其中W30Mo70多层材料1000条，W基体/SiC纤维金属基复合材料200条，SiC纤维/CVI-SiC基体硅基复合材料200条，合计1400条。实验测试集选用两层W30Mo70多层材料构建，收录实验采集波形55组。温度—声学参数数据库统一记录材料类型、稳态/瞬态工况、温度值、超声波形、及对应温度场路径，能够实现仿真数据和实验数据的分类存储与追溯。数据库温度范围覆盖室温至1500 K，仿真样本数量1400条，实验样本数量55组，本项指标达到并部分超过要求。</w:t>
            </w:r>
          </w:p>
        </w:tc>
      </w:tr>
      <w:tr w14:paraId="014EA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76F7A941">
            <w:pPr>
              <w:pStyle w:val="33"/>
              <w:jc w:val="both"/>
            </w:pPr>
          </w:p>
        </w:tc>
        <w:tc>
          <w:tcPr>
            <w:tcW w:w="264" w:type="pct"/>
            <w:vMerge w:val="continue"/>
            <w:vAlign w:val="center"/>
          </w:tcPr>
          <w:p w14:paraId="16251F26">
            <w:pPr>
              <w:pStyle w:val="33"/>
              <w:jc w:val="both"/>
            </w:pPr>
          </w:p>
        </w:tc>
        <w:tc>
          <w:tcPr>
            <w:tcW w:w="1429" w:type="pct"/>
            <w:vAlign w:val="center"/>
          </w:tcPr>
          <w:p w14:paraId="2928A416">
            <w:pPr>
              <w:pStyle w:val="33"/>
              <w:jc w:val="both"/>
              <w:rPr>
                <w:szCs w:val="20"/>
              </w:rPr>
            </w:pPr>
            <w:r>
              <w:rPr>
                <w:szCs w:val="20"/>
              </w:rPr>
              <w:t>(3)提供在线增量训练功能，支持模型在新增实验数据后自适应优化</w:t>
            </w:r>
          </w:p>
        </w:tc>
        <w:tc>
          <w:tcPr>
            <w:tcW w:w="2766" w:type="pct"/>
            <w:vAlign w:val="center"/>
          </w:tcPr>
          <w:p w14:paraId="172BAB13">
            <w:pPr>
              <w:pStyle w:val="33"/>
              <w:ind w:firstLine="480" w:firstLineChars="200"/>
              <w:jc w:val="both"/>
            </w:pPr>
            <w:r>
              <w:t>项目已实现“基础模型加载—新增实验数据导入—增量训练—权重更新—新checkpoint保存”的在线更新流程。模型接收新增实验波形及对应温度数据后，可在原有模型参数基础上继续训练，并通过参数冻结机制保留已学习的通用特征，仅对</w:t>
            </w:r>
            <w:r>
              <w:rPr>
                <w:rFonts w:hint="eastAsia"/>
              </w:rPr>
              <w:t>对应材料</w:t>
            </w:r>
            <w:r>
              <w:t>参数进行自适应更新。测试过程中，新增实验数据能够正常载入，训练过程正常结束，非冻结参数完成更新，冻结参数保持不变，并成功生成可用于后续预测的新版本checkpoint。在线增量训练及新增实验数据自适应优化功能已实现，本项指标达到要求。</w:t>
            </w:r>
          </w:p>
        </w:tc>
      </w:tr>
      <w:tr w14:paraId="6EDBA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421739A7">
            <w:pPr>
              <w:pStyle w:val="33"/>
              <w:jc w:val="both"/>
            </w:pPr>
          </w:p>
        </w:tc>
        <w:tc>
          <w:tcPr>
            <w:tcW w:w="264" w:type="pct"/>
            <w:vMerge w:val="continue"/>
            <w:vAlign w:val="center"/>
          </w:tcPr>
          <w:p w14:paraId="100B8CD2">
            <w:pPr>
              <w:pStyle w:val="33"/>
              <w:jc w:val="both"/>
            </w:pPr>
          </w:p>
        </w:tc>
        <w:tc>
          <w:tcPr>
            <w:tcW w:w="1429" w:type="pct"/>
            <w:vAlign w:val="center"/>
          </w:tcPr>
          <w:p w14:paraId="2626085E">
            <w:pPr>
              <w:pStyle w:val="33"/>
              <w:jc w:val="both"/>
              <w:rPr>
                <w:szCs w:val="20"/>
              </w:rPr>
            </w:pPr>
            <w:r>
              <w:rPr>
                <w:szCs w:val="20"/>
              </w:rPr>
              <w:t>(4)完成基于人工智能的一维和二维稳态、瞬态温度场反演方法的实验验证</w:t>
            </w:r>
          </w:p>
        </w:tc>
        <w:tc>
          <w:tcPr>
            <w:tcW w:w="2766" w:type="pct"/>
            <w:vAlign w:val="center"/>
          </w:tcPr>
          <w:p w14:paraId="1C1BBAD8">
            <w:pPr>
              <w:pStyle w:val="33"/>
              <w:ind w:firstLine="480" w:firstLineChars="200"/>
              <w:jc w:val="both"/>
            </w:pPr>
            <w:r>
              <w:t>项目将实验采集的超声波形输入AI温度场重构模型，分别完成一维稳态、一维瞬态、二维稳态和二维瞬态四类实验工况验证。其中，一维结果由二维重构温度场的固定中心线提取，二维结果采用固化的5个测点及node_id与热电偶数据进行比较，避免不同样本之间测点位置发生变化。测试结果显示，一维稳态和瞬态温度场反演误差分别为0.7221%和3.3637%，二维稳态和瞬态误差分别为0.7095%和3.3221%，均低于10%。AI模型在四类实验工况下均能正常完成温度场重构和结果输出，本项指标达到要求。</w:t>
            </w:r>
          </w:p>
        </w:tc>
      </w:tr>
      <w:tr w14:paraId="44383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7BEB040C">
            <w:pPr>
              <w:pStyle w:val="33"/>
              <w:jc w:val="both"/>
            </w:pPr>
          </w:p>
        </w:tc>
        <w:tc>
          <w:tcPr>
            <w:tcW w:w="264" w:type="pct"/>
            <w:vMerge w:val="continue"/>
            <w:vAlign w:val="center"/>
          </w:tcPr>
          <w:p w14:paraId="02073CAB">
            <w:pPr>
              <w:pStyle w:val="33"/>
              <w:jc w:val="both"/>
            </w:pPr>
          </w:p>
        </w:tc>
        <w:tc>
          <w:tcPr>
            <w:tcW w:w="1429" w:type="pct"/>
            <w:vAlign w:val="center"/>
          </w:tcPr>
          <w:p w14:paraId="6AAF2CC8">
            <w:pPr>
              <w:pStyle w:val="33"/>
              <w:jc w:val="both"/>
              <w:rPr>
                <w:szCs w:val="20"/>
              </w:rPr>
            </w:pPr>
            <w:r>
              <w:rPr>
                <w:szCs w:val="20"/>
              </w:rPr>
              <w:t>(5)兼容性：支持Windows系统，程序代码采用Fortran语言编写，可调用其他代码语言</w:t>
            </w:r>
          </w:p>
        </w:tc>
        <w:tc>
          <w:tcPr>
            <w:tcW w:w="2766" w:type="pct"/>
            <w:vAlign w:val="center"/>
          </w:tcPr>
          <w:p w14:paraId="5D55EB7E">
            <w:pPr>
              <w:pStyle w:val="33"/>
              <w:ind w:firstLine="480" w:firstLineChars="200"/>
              <w:jc w:val="both"/>
            </w:pPr>
            <w:r>
              <w:t>项目软件已在Windows测试环境中完成数据导入、模型训练、增量更新、温度场预测及结果可视化等功能验证。核心模块采用Fortran语言编写，人工智能模型训练和推理模块采用Python实现，二者通过标准化配置文件、数据文件和程序调用接口完成数据交换与任务调度。测试过程中，Fortran模块能够正常</w:t>
            </w:r>
            <w:r>
              <w:rPr>
                <w:rFonts w:hint="eastAsia"/>
              </w:rPr>
              <w:t>使用且</w:t>
            </w:r>
            <w:r>
              <w:t>Python模型</w:t>
            </w:r>
            <w:r>
              <w:rPr>
                <w:rFonts w:hint="eastAsia"/>
              </w:rPr>
              <w:t>能</w:t>
            </w:r>
            <w:r>
              <w:t>接收温度场预测结果，跨语言输入、输出及异常返回均运行正常。程序具备Windows兼容性和跨语言调用能力，本项指标达到要求。</w:t>
            </w:r>
          </w:p>
        </w:tc>
      </w:tr>
      <w:tr w14:paraId="25C82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3B4CFD93">
            <w:pPr>
              <w:pStyle w:val="33"/>
              <w:jc w:val="both"/>
            </w:pPr>
          </w:p>
        </w:tc>
        <w:tc>
          <w:tcPr>
            <w:tcW w:w="264" w:type="pct"/>
            <w:vMerge w:val="restart"/>
            <w:vAlign w:val="center"/>
          </w:tcPr>
          <w:p w14:paraId="13A8B6FD">
            <w:pPr>
              <w:pStyle w:val="33"/>
              <w:jc w:val="both"/>
            </w:pPr>
            <w:r>
              <w:rPr>
                <w:rFonts w:hint="eastAsia"/>
              </w:rPr>
              <w:t>性能指标</w:t>
            </w:r>
          </w:p>
        </w:tc>
        <w:tc>
          <w:tcPr>
            <w:tcW w:w="1429" w:type="pct"/>
            <w:vAlign w:val="center"/>
          </w:tcPr>
          <w:p w14:paraId="4A80BF6F">
            <w:pPr>
              <w:pStyle w:val="33"/>
              <w:jc w:val="both"/>
              <w:rPr>
                <w:szCs w:val="20"/>
              </w:rPr>
            </w:pPr>
            <w:r>
              <w:rPr>
                <w:rFonts w:hint="eastAsia"/>
                <w:szCs w:val="20"/>
              </w:rPr>
              <w:t>(6)在多层材料、金属基复合材料、硅基/碳基复合材料选择一种进行温度场反演的实验验证。一维条件下，多层材料至少达到5mm厚、金属基复合材料至少达到10mm厚、碳基/硅基复合材料至少达到5mm至8mm厚；二维条件下，多层材料至少达到5mm厚、宽度50mm，金属基复合材料至少达到10mm厚、宽度50mm，碳基/硅基复合材料至少达到5mm至8mm厚、宽度50mm。</w:t>
            </w:r>
          </w:p>
          <w:p w14:paraId="483CCFA7">
            <w:pPr>
              <w:pStyle w:val="33"/>
              <w:ind w:firstLine="480" w:firstLineChars="200"/>
              <w:jc w:val="both"/>
              <w:rPr>
                <w:szCs w:val="20"/>
              </w:rPr>
            </w:pPr>
            <w:r>
              <w:rPr>
                <w:rFonts w:hint="eastAsia"/>
                <w:szCs w:val="20"/>
              </w:rPr>
              <w:t>与高温光学测温仪器或热电偶等测温设备（测温范围：室温至1500K内的温度变化，测温精度1%FS）相比，以5个测点平均值计，一维和二维稳态、瞬态温度场反演相对误差温度场反演相对误差≤10%。</w:t>
            </w:r>
          </w:p>
        </w:tc>
        <w:tc>
          <w:tcPr>
            <w:tcW w:w="2766" w:type="pct"/>
            <w:vAlign w:val="center"/>
          </w:tcPr>
          <w:p w14:paraId="5FF71AB3">
            <w:pPr>
              <w:pStyle w:val="33"/>
              <w:ind w:firstLine="480" w:firstLineChars="200"/>
              <w:jc w:val="both"/>
            </w:pPr>
            <w:r>
              <w:t>项目选用两层W30Mo70多层材料试件开展人工智能温度场反演实验，试件尺寸为100 mm×100 mm×19.2 mm；一维反演沿厚度方向进行，二维反演区域宽度为100 mm，实际厚度和宽度均超过多层材料规定下限。实验温度覆盖室温至153</w:t>
            </w:r>
            <w:r>
              <w:rPr>
                <w:rFonts w:hint="eastAsia"/>
              </w:rPr>
              <w:t>1</w:t>
            </w:r>
            <w:r>
              <w:t xml:space="preserve"> K，并以5个固定热电偶测点及固化node_id作为温度对比基准。测试结果显示，一维稳态、一维瞬态、二维稳态和二维瞬态温度场的5测点平均相对误差分别为0.7221%、3.3637%、0.7095%和3.3221%，均低于10%。试件尺寸、实验温区及四类工况的反演精度均达到要求，本项指标完成。</w:t>
            </w:r>
          </w:p>
        </w:tc>
      </w:tr>
      <w:tr w14:paraId="2D1F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Merge w:val="continue"/>
            <w:vAlign w:val="center"/>
          </w:tcPr>
          <w:p w14:paraId="0A9F8D74">
            <w:pPr>
              <w:pStyle w:val="33"/>
              <w:jc w:val="both"/>
            </w:pPr>
          </w:p>
        </w:tc>
        <w:tc>
          <w:tcPr>
            <w:tcW w:w="264" w:type="pct"/>
            <w:vMerge w:val="continue"/>
            <w:vAlign w:val="center"/>
          </w:tcPr>
          <w:p w14:paraId="2602409B">
            <w:pPr>
              <w:pStyle w:val="33"/>
              <w:jc w:val="both"/>
            </w:pPr>
          </w:p>
        </w:tc>
        <w:tc>
          <w:tcPr>
            <w:tcW w:w="1429" w:type="pct"/>
            <w:vAlign w:val="center"/>
          </w:tcPr>
          <w:p w14:paraId="3F754D41">
            <w:pPr>
              <w:pStyle w:val="33"/>
              <w:jc w:val="both"/>
              <w:rPr>
                <w:szCs w:val="20"/>
              </w:rPr>
            </w:pPr>
            <w:r>
              <w:rPr>
                <w:szCs w:val="20"/>
              </w:rPr>
              <w:t>(7)算法效率比共轭梯度法、灵敏度法、最速下降法等经典优化方法提高1个数量级</w:t>
            </w:r>
          </w:p>
        </w:tc>
        <w:tc>
          <w:tcPr>
            <w:tcW w:w="2766" w:type="pct"/>
            <w:vAlign w:val="center"/>
          </w:tcPr>
          <w:p w14:paraId="12219361">
            <w:pPr>
              <w:pStyle w:val="33"/>
              <w:ind w:firstLine="480" w:firstLineChars="200"/>
              <w:jc w:val="both"/>
            </w:pPr>
            <w:r>
              <w:t>在相同温度场任务、输入数据、计算环境和精度判据下，对AI模型与共轭梯度法、灵敏度法和最速下降法进行计算时间比较。AI模型完成4个温度场重构任务的总耗时约为0.248766s，平均每个完整温度场推理耗时约0.0622s；共轭梯度法、灵敏度法和最速下降法的运行时间分别约为18.67s、11.10s和12.44s。AI模型相对三种经典方法的计算速度分别提高约300.2倍、178.5倍和200.0倍，且四类实验工况的温度场反演误差均低于10%。实际效率提升远高于10倍，本项指标完成。</w:t>
            </w:r>
          </w:p>
        </w:tc>
      </w:tr>
    </w:tbl>
    <w:p w14:paraId="311ABDB0">
      <w:pPr>
        <w:jc w:val="center"/>
        <w:rPr>
          <w:rFonts w:cs="Times New Roman"/>
          <w:bCs/>
        </w:rPr>
        <w:sectPr>
          <w:pgSz w:w="16838" w:h="11906" w:orient="landscape"/>
          <w:pgMar w:top="1701" w:right="1440" w:bottom="1701" w:left="1440" w:header="851" w:footer="992" w:gutter="0"/>
          <w:cols w:space="425" w:num="1"/>
          <w:docGrid w:type="lines" w:linePitch="326" w:charSpace="0"/>
        </w:sectPr>
      </w:pPr>
    </w:p>
    <w:p w14:paraId="69EBE5C5">
      <w:pPr>
        <w:pStyle w:val="4"/>
      </w:pPr>
      <w:bookmarkStart w:id="161" w:name="_Toc235910499"/>
      <w:r>
        <w:rPr>
          <w:rFonts w:hint="eastAsia"/>
        </w:rPr>
        <w:t>交付物情况</w:t>
      </w:r>
      <w:bookmarkEnd w:id="161"/>
    </w:p>
    <w:p w14:paraId="19DAB8CB">
      <w:pPr>
        <w:jc w:val="center"/>
        <w:rPr>
          <w:rFonts w:cs="Times New Roman"/>
          <w:szCs w:val="28"/>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cs="Times New Roman"/>
          <w:szCs w:val="28"/>
        </w:rPr>
        <w:t>交付物情况</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6"/>
        <w:gridCol w:w="1049"/>
        <w:gridCol w:w="3969"/>
        <w:gridCol w:w="536"/>
        <w:gridCol w:w="456"/>
        <w:gridCol w:w="1978"/>
      </w:tblGrid>
      <w:tr w14:paraId="4301E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6F011BE">
            <w:pPr>
              <w:pStyle w:val="33"/>
            </w:pPr>
            <w:r>
              <w:t>序号</w:t>
            </w:r>
          </w:p>
        </w:tc>
        <w:tc>
          <w:tcPr>
            <w:tcW w:w="1049" w:type="dxa"/>
            <w:vAlign w:val="center"/>
          </w:tcPr>
          <w:p w14:paraId="72E5A998">
            <w:pPr>
              <w:pStyle w:val="33"/>
            </w:pPr>
            <w:r>
              <w:t>名称</w:t>
            </w:r>
          </w:p>
        </w:tc>
        <w:tc>
          <w:tcPr>
            <w:tcW w:w="3969" w:type="dxa"/>
            <w:vAlign w:val="center"/>
          </w:tcPr>
          <w:p w14:paraId="6FA82AEB">
            <w:pPr>
              <w:pStyle w:val="33"/>
            </w:pPr>
            <w:r>
              <w:t>资料内容</w:t>
            </w:r>
          </w:p>
        </w:tc>
        <w:tc>
          <w:tcPr>
            <w:tcW w:w="536" w:type="dxa"/>
            <w:vAlign w:val="center"/>
          </w:tcPr>
          <w:p w14:paraId="21837F92">
            <w:pPr>
              <w:pStyle w:val="33"/>
            </w:pPr>
            <w:r>
              <w:t>单位</w:t>
            </w:r>
          </w:p>
        </w:tc>
        <w:tc>
          <w:tcPr>
            <w:tcW w:w="456" w:type="dxa"/>
            <w:vAlign w:val="center"/>
          </w:tcPr>
          <w:p w14:paraId="4CC1C3CD">
            <w:pPr>
              <w:pStyle w:val="33"/>
            </w:pPr>
            <w:r>
              <w:t>数量</w:t>
            </w:r>
          </w:p>
        </w:tc>
        <w:tc>
          <w:tcPr>
            <w:tcW w:w="1978" w:type="dxa"/>
            <w:vAlign w:val="center"/>
          </w:tcPr>
          <w:p w14:paraId="40817F6A">
            <w:pPr>
              <w:pStyle w:val="33"/>
            </w:pPr>
            <w:r>
              <w:t>交付情况</w:t>
            </w:r>
          </w:p>
        </w:tc>
      </w:tr>
      <w:tr w14:paraId="10264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C04526F">
            <w:pPr>
              <w:pStyle w:val="33"/>
            </w:pPr>
            <w:r>
              <w:t>1</w:t>
            </w:r>
          </w:p>
        </w:tc>
        <w:tc>
          <w:tcPr>
            <w:tcW w:w="1049" w:type="dxa"/>
            <w:vAlign w:val="center"/>
          </w:tcPr>
          <w:p w14:paraId="0CDB35FB">
            <w:pPr>
              <w:pStyle w:val="33"/>
              <w:jc w:val="both"/>
            </w:pPr>
            <w:r>
              <w:t>程序代码</w:t>
            </w:r>
          </w:p>
        </w:tc>
        <w:tc>
          <w:tcPr>
            <w:tcW w:w="3969" w:type="dxa"/>
            <w:vAlign w:val="center"/>
          </w:tcPr>
          <w:p w14:paraId="50B2A6DD">
            <w:pPr>
              <w:pStyle w:val="33"/>
              <w:jc w:val="both"/>
            </w:pPr>
            <w:r>
              <w:t>超声波全波形温度场重构理论及方法研究成果形成的三个模块的完整代码与技术文档：1）热声固耦合分析、2）声学多参数融合温度场反演、3）基于人工智能AI的温度场反演。</w:t>
            </w:r>
          </w:p>
        </w:tc>
        <w:tc>
          <w:tcPr>
            <w:tcW w:w="536" w:type="dxa"/>
            <w:vAlign w:val="center"/>
          </w:tcPr>
          <w:p w14:paraId="70B84D77">
            <w:pPr>
              <w:pStyle w:val="33"/>
              <w:jc w:val="both"/>
            </w:pPr>
            <w:r>
              <w:t>套</w:t>
            </w:r>
          </w:p>
        </w:tc>
        <w:tc>
          <w:tcPr>
            <w:tcW w:w="456" w:type="dxa"/>
            <w:vAlign w:val="center"/>
          </w:tcPr>
          <w:p w14:paraId="6980BE9F">
            <w:pPr>
              <w:pStyle w:val="33"/>
              <w:jc w:val="both"/>
            </w:pPr>
            <w:r>
              <w:t>3</w:t>
            </w:r>
          </w:p>
        </w:tc>
        <w:tc>
          <w:tcPr>
            <w:tcW w:w="1978" w:type="dxa"/>
            <w:vAlign w:val="center"/>
          </w:tcPr>
          <w:p w14:paraId="0B1DC54A">
            <w:pPr>
              <w:pStyle w:val="33"/>
              <w:jc w:val="both"/>
            </w:pPr>
            <w:r>
              <w:rPr>
                <w:rFonts w:hint="eastAsia"/>
              </w:rPr>
              <w:t>电子版</w:t>
            </w:r>
            <w:r>
              <w:t>交付</w:t>
            </w:r>
          </w:p>
        </w:tc>
      </w:tr>
      <w:tr w14:paraId="63FD5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88EE0FC">
            <w:pPr>
              <w:pStyle w:val="33"/>
            </w:pPr>
            <w:r>
              <w:t>2</w:t>
            </w:r>
          </w:p>
        </w:tc>
        <w:tc>
          <w:tcPr>
            <w:tcW w:w="1049" w:type="dxa"/>
            <w:vAlign w:val="center"/>
          </w:tcPr>
          <w:p w14:paraId="0C59FD77">
            <w:pPr>
              <w:pStyle w:val="33"/>
              <w:jc w:val="both"/>
            </w:pPr>
            <w:r>
              <w:t>数据资料</w:t>
            </w:r>
          </w:p>
        </w:tc>
        <w:tc>
          <w:tcPr>
            <w:tcW w:w="3969" w:type="dxa"/>
            <w:vAlign w:val="center"/>
          </w:tcPr>
          <w:p w14:paraId="735D7081">
            <w:pPr>
              <w:pStyle w:val="33"/>
              <w:jc w:val="both"/>
            </w:pPr>
            <w:r>
              <w:t>1）程序测试数据（含误差分析）、2）实验测试数据（含误差分析）。</w:t>
            </w:r>
          </w:p>
        </w:tc>
        <w:tc>
          <w:tcPr>
            <w:tcW w:w="536" w:type="dxa"/>
            <w:vAlign w:val="center"/>
          </w:tcPr>
          <w:p w14:paraId="62B2007E">
            <w:pPr>
              <w:pStyle w:val="33"/>
              <w:jc w:val="both"/>
            </w:pPr>
            <w:r>
              <w:t>套</w:t>
            </w:r>
          </w:p>
        </w:tc>
        <w:tc>
          <w:tcPr>
            <w:tcW w:w="456" w:type="dxa"/>
            <w:vAlign w:val="center"/>
          </w:tcPr>
          <w:p w14:paraId="61C9D6E2">
            <w:pPr>
              <w:pStyle w:val="33"/>
              <w:jc w:val="both"/>
            </w:pPr>
            <w:r>
              <w:t>2</w:t>
            </w:r>
          </w:p>
        </w:tc>
        <w:tc>
          <w:tcPr>
            <w:tcW w:w="1978" w:type="dxa"/>
            <w:vAlign w:val="center"/>
          </w:tcPr>
          <w:p w14:paraId="174598A3">
            <w:pPr>
              <w:pStyle w:val="33"/>
              <w:jc w:val="both"/>
            </w:pPr>
            <w:r>
              <w:rPr>
                <w:rFonts w:hint="eastAsia"/>
              </w:rPr>
              <w:t>电子版</w:t>
            </w:r>
            <w:r>
              <w:t>交付</w:t>
            </w:r>
          </w:p>
        </w:tc>
      </w:tr>
      <w:tr w14:paraId="6C09E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899977A">
            <w:pPr>
              <w:pStyle w:val="33"/>
            </w:pPr>
            <w:r>
              <w:rPr>
                <w:rFonts w:hint="eastAsia"/>
              </w:rPr>
              <w:t>3</w:t>
            </w:r>
          </w:p>
        </w:tc>
        <w:tc>
          <w:tcPr>
            <w:tcW w:w="1049" w:type="dxa"/>
            <w:vAlign w:val="center"/>
          </w:tcPr>
          <w:p w14:paraId="0754DF31">
            <w:pPr>
              <w:pStyle w:val="33"/>
              <w:jc w:val="both"/>
            </w:pPr>
            <w:r>
              <w:t>实施方案</w:t>
            </w:r>
          </w:p>
        </w:tc>
        <w:tc>
          <w:tcPr>
            <w:tcW w:w="3969" w:type="dxa"/>
            <w:vAlign w:val="center"/>
          </w:tcPr>
          <w:p w14:paraId="5E03134C">
            <w:pPr>
              <w:pStyle w:val="33"/>
              <w:jc w:val="both"/>
            </w:pPr>
            <w:r>
              <w:t>包含详细的实施方案及评审通过意见</w:t>
            </w:r>
          </w:p>
        </w:tc>
        <w:tc>
          <w:tcPr>
            <w:tcW w:w="536" w:type="dxa"/>
            <w:vAlign w:val="center"/>
          </w:tcPr>
          <w:p w14:paraId="370822CD">
            <w:pPr>
              <w:pStyle w:val="33"/>
              <w:jc w:val="both"/>
            </w:pPr>
            <w:r>
              <w:t>套</w:t>
            </w:r>
          </w:p>
        </w:tc>
        <w:tc>
          <w:tcPr>
            <w:tcW w:w="456" w:type="dxa"/>
            <w:vAlign w:val="center"/>
          </w:tcPr>
          <w:p w14:paraId="4E2BE44B">
            <w:pPr>
              <w:pStyle w:val="33"/>
              <w:jc w:val="both"/>
            </w:pPr>
            <w:r>
              <w:t>1</w:t>
            </w:r>
          </w:p>
        </w:tc>
        <w:tc>
          <w:tcPr>
            <w:tcW w:w="1978" w:type="dxa"/>
            <w:vAlign w:val="center"/>
          </w:tcPr>
          <w:p w14:paraId="04E1F893">
            <w:pPr>
              <w:pStyle w:val="33"/>
              <w:jc w:val="both"/>
            </w:pPr>
            <w:r>
              <w:rPr>
                <w:rFonts w:hint="eastAsia"/>
                <w14:ligatures w14:val="none"/>
              </w:rPr>
              <w:t>纸质/电子版</w:t>
            </w:r>
            <w:r>
              <w:rPr>
                <w14:ligatures w14:val="none"/>
              </w:rPr>
              <w:t>交付</w:t>
            </w:r>
          </w:p>
        </w:tc>
      </w:tr>
      <w:tr w14:paraId="6CD81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2B1D377">
            <w:pPr>
              <w:pStyle w:val="33"/>
            </w:pPr>
            <w:r>
              <w:rPr>
                <w:rFonts w:hint="eastAsia"/>
              </w:rPr>
              <w:t>4</w:t>
            </w:r>
          </w:p>
        </w:tc>
        <w:tc>
          <w:tcPr>
            <w:tcW w:w="1049" w:type="dxa"/>
            <w:vAlign w:val="center"/>
          </w:tcPr>
          <w:p w14:paraId="0B0A679B">
            <w:pPr>
              <w:pStyle w:val="33"/>
              <w:jc w:val="both"/>
            </w:pPr>
            <w:r>
              <w:t>测试大纲</w:t>
            </w:r>
          </w:p>
        </w:tc>
        <w:tc>
          <w:tcPr>
            <w:tcW w:w="3969" w:type="dxa"/>
            <w:vAlign w:val="center"/>
          </w:tcPr>
          <w:p w14:paraId="293563F3">
            <w:pPr>
              <w:pStyle w:val="33"/>
              <w:jc w:val="both"/>
            </w:pPr>
            <w:r>
              <w:t>各模块详细测试大纲及评审通过意见</w:t>
            </w:r>
          </w:p>
        </w:tc>
        <w:tc>
          <w:tcPr>
            <w:tcW w:w="536" w:type="dxa"/>
            <w:vAlign w:val="center"/>
          </w:tcPr>
          <w:p w14:paraId="0048356D">
            <w:pPr>
              <w:pStyle w:val="33"/>
              <w:jc w:val="both"/>
            </w:pPr>
            <w:r>
              <w:t>套</w:t>
            </w:r>
          </w:p>
        </w:tc>
        <w:tc>
          <w:tcPr>
            <w:tcW w:w="456" w:type="dxa"/>
            <w:vAlign w:val="center"/>
          </w:tcPr>
          <w:p w14:paraId="6D364966">
            <w:pPr>
              <w:pStyle w:val="33"/>
              <w:jc w:val="both"/>
            </w:pPr>
            <w:r>
              <w:t>1</w:t>
            </w:r>
          </w:p>
        </w:tc>
        <w:tc>
          <w:tcPr>
            <w:tcW w:w="1978" w:type="dxa"/>
            <w:vAlign w:val="center"/>
          </w:tcPr>
          <w:p w14:paraId="56AAADBD">
            <w:pPr>
              <w:pStyle w:val="33"/>
              <w:jc w:val="both"/>
            </w:pPr>
            <w:r>
              <w:rPr>
                <w:rFonts w:hint="eastAsia"/>
                <w14:ligatures w14:val="none"/>
              </w:rPr>
              <w:t>纸质/电子版</w:t>
            </w:r>
            <w:r>
              <w:rPr>
                <w14:ligatures w14:val="none"/>
              </w:rPr>
              <w:t>交付</w:t>
            </w:r>
          </w:p>
        </w:tc>
      </w:tr>
      <w:tr w14:paraId="780A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8407B30">
            <w:pPr>
              <w:pStyle w:val="33"/>
            </w:pPr>
            <w:r>
              <w:rPr>
                <w:rFonts w:hint="eastAsia"/>
              </w:rPr>
              <w:t>5</w:t>
            </w:r>
          </w:p>
        </w:tc>
        <w:tc>
          <w:tcPr>
            <w:tcW w:w="1049" w:type="dxa"/>
            <w:vAlign w:val="center"/>
          </w:tcPr>
          <w:p w14:paraId="1CC2AFCA">
            <w:pPr>
              <w:pStyle w:val="33"/>
              <w:jc w:val="both"/>
            </w:pPr>
            <w:r>
              <w:t>测试报告</w:t>
            </w:r>
          </w:p>
        </w:tc>
        <w:tc>
          <w:tcPr>
            <w:tcW w:w="3969" w:type="dxa"/>
            <w:vAlign w:val="center"/>
          </w:tcPr>
          <w:p w14:paraId="73DE9991">
            <w:pPr>
              <w:pStyle w:val="33"/>
              <w:jc w:val="both"/>
            </w:pPr>
            <w:r>
              <w:t>各模块详细测试条件、场景、流程、数据、结果与结论及评审通过意见</w:t>
            </w:r>
          </w:p>
        </w:tc>
        <w:tc>
          <w:tcPr>
            <w:tcW w:w="536" w:type="dxa"/>
            <w:vAlign w:val="center"/>
          </w:tcPr>
          <w:p w14:paraId="3DB650ED">
            <w:pPr>
              <w:pStyle w:val="33"/>
              <w:jc w:val="both"/>
            </w:pPr>
            <w:r>
              <w:t>套</w:t>
            </w:r>
          </w:p>
        </w:tc>
        <w:tc>
          <w:tcPr>
            <w:tcW w:w="456" w:type="dxa"/>
            <w:vAlign w:val="center"/>
          </w:tcPr>
          <w:p w14:paraId="164B7AAD">
            <w:pPr>
              <w:pStyle w:val="33"/>
              <w:jc w:val="both"/>
            </w:pPr>
            <w:r>
              <w:t>1</w:t>
            </w:r>
          </w:p>
        </w:tc>
        <w:tc>
          <w:tcPr>
            <w:tcW w:w="1978" w:type="dxa"/>
            <w:vAlign w:val="center"/>
          </w:tcPr>
          <w:p w14:paraId="68AE0BDF">
            <w:pPr>
              <w:pStyle w:val="33"/>
              <w:jc w:val="both"/>
            </w:pPr>
            <w:r>
              <w:rPr>
                <w:rFonts w:hint="eastAsia"/>
                <w14:ligatures w14:val="none"/>
              </w:rPr>
              <w:t>纸质/电子版</w:t>
            </w:r>
            <w:r>
              <w:rPr>
                <w14:ligatures w14:val="none"/>
              </w:rPr>
              <w:t>交付</w:t>
            </w:r>
          </w:p>
        </w:tc>
      </w:tr>
      <w:tr w14:paraId="584B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10723C2">
            <w:pPr>
              <w:pStyle w:val="33"/>
            </w:pPr>
            <w:r>
              <w:rPr>
                <w:rFonts w:hint="eastAsia"/>
              </w:rPr>
              <w:t>6</w:t>
            </w:r>
          </w:p>
        </w:tc>
        <w:tc>
          <w:tcPr>
            <w:tcW w:w="1049" w:type="dxa"/>
            <w:vAlign w:val="center"/>
          </w:tcPr>
          <w:p w14:paraId="49F3A484">
            <w:pPr>
              <w:pStyle w:val="33"/>
              <w:jc w:val="both"/>
            </w:pPr>
            <w:r>
              <w:t>技术报告</w:t>
            </w:r>
          </w:p>
        </w:tc>
        <w:tc>
          <w:tcPr>
            <w:tcW w:w="3969" w:type="dxa"/>
            <w:vAlign w:val="center"/>
          </w:tcPr>
          <w:p w14:paraId="22FB2A08">
            <w:pPr>
              <w:pStyle w:val="33"/>
              <w:jc w:val="both"/>
            </w:pPr>
            <w:r>
              <w:t>含整体方案、关键技术及其攻关等。</w:t>
            </w:r>
          </w:p>
        </w:tc>
        <w:tc>
          <w:tcPr>
            <w:tcW w:w="536" w:type="dxa"/>
            <w:vAlign w:val="center"/>
          </w:tcPr>
          <w:p w14:paraId="188832BA">
            <w:pPr>
              <w:pStyle w:val="33"/>
              <w:jc w:val="both"/>
            </w:pPr>
            <w:r>
              <w:t>套</w:t>
            </w:r>
          </w:p>
        </w:tc>
        <w:tc>
          <w:tcPr>
            <w:tcW w:w="456" w:type="dxa"/>
            <w:vAlign w:val="center"/>
          </w:tcPr>
          <w:p w14:paraId="3C0EB76D">
            <w:pPr>
              <w:pStyle w:val="33"/>
              <w:jc w:val="both"/>
            </w:pPr>
            <w:r>
              <w:t>1</w:t>
            </w:r>
          </w:p>
        </w:tc>
        <w:tc>
          <w:tcPr>
            <w:tcW w:w="1978" w:type="dxa"/>
            <w:vAlign w:val="center"/>
          </w:tcPr>
          <w:p w14:paraId="1B9FB0BC">
            <w:pPr>
              <w:pStyle w:val="33"/>
              <w:jc w:val="both"/>
            </w:pPr>
            <w:r>
              <w:rPr>
                <w:rFonts w:hint="eastAsia"/>
                <w14:ligatures w14:val="none"/>
              </w:rPr>
              <w:t>纸质/电子版</w:t>
            </w:r>
            <w:r>
              <w:rPr>
                <w14:ligatures w14:val="none"/>
              </w:rPr>
              <w:t>交付</w:t>
            </w:r>
          </w:p>
        </w:tc>
      </w:tr>
      <w:tr w14:paraId="57FB2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FB0CDA0">
            <w:pPr>
              <w:pStyle w:val="33"/>
            </w:pPr>
            <w:r>
              <w:rPr>
                <w:rFonts w:hint="eastAsia"/>
              </w:rPr>
              <w:t>7</w:t>
            </w:r>
          </w:p>
        </w:tc>
        <w:tc>
          <w:tcPr>
            <w:tcW w:w="1049" w:type="dxa"/>
            <w:vAlign w:val="center"/>
          </w:tcPr>
          <w:p w14:paraId="6CCD60D1">
            <w:pPr>
              <w:pStyle w:val="33"/>
              <w:jc w:val="both"/>
            </w:pPr>
            <w:r>
              <w:t>程序测试记录表</w:t>
            </w:r>
          </w:p>
        </w:tc>
        <w:tc>
          <w:tcPr>
            <w:tcW w:w="3969" w:type="dxa"/>
            <w:vAlign w:val="center"/>
          </w:tcPr>
          <w:p w14:paraId="1E082F22">
            <w:pPr>
              <w:pStyle w:val="33"/>
              <w:jc w:val="both"/>
            </w:pPr>
            <w:r>
              <w:t>记录现场程序及实验测试与调试过程。</w:t>
            </w:r>
          </w:p>
        </w:tc>
        <w:tc>
          <w:tcPr>
            <w:tcW w:w="536" w:type="dxa"/>
            <w:vAlign w:val="center"/>
          </w:tcPr>
          <w:p w14:paraId="3B04F2E9">
            <w:pPr>
              <w:pStyle w:val="33"/>
              <w:jc w:val="both"/>
            </w:pPr>
            <w:r>
              <w:t>套</w:t>
            </w:r>
          </w:p>
        </w:tc>
        <w:tc>
          <w:tcPr>
            <w:tcW w:w="456" w:type="dxa"/>
            <w:vAlign w:val="center"/>
          </w:tcPr>
          <w:p w14:paraId="47E79A07">
            <w:pPr>
              <w:pStyle w:val="33"/>
              <w:jc w:val="both"/>
            </w:pPr>
            <w:r>
              <w:t>1</w:t>
            </w:r>
          </w:p>
        </w:tc>
        <w:tc>
          <w:tcPr>
            <w:tcW w:w="1978" w:type="dxa"/>
            <w:vAlign w:val="center"/>
          </w:tcPr>
          <w:p w14:paraId="1B0CE007">
            <w:pPr>
              <w:pStyle w:val="33"/>
              <w:jc w:val="both"/>
            </w:pPr>
            <w:r>
              <w:rPr>
                <w:rFonts w:hint="eastAsia"/>
                <w14:ligatures w14:val="none"/>
              </w:rPr>
              <w:t>纸质/电子版</w:t>
            </w:r>
            <w:r>
              <w:rPr>
                <w14:ligatures w14:val="none"/>
              </w:rPr>
              <w:t>交付</w:t>
            </w:r>
          </w:p>
        </w:tc>
      </w:tr>
    </w:tbl>
    <w:p w14:paraId="59D6FCAA">
      <w:pPr>
        <w:rPr>
          <w:rFonts w:eastAsia="仿宋_GB2312" w:cs="Times New Roman"/>
          <w:sz w:val="28"/>
          <w:szCs w:val="32"/>
        </w:rPr>
      </w:pPr>
    </w:p>
    <w:p w14:paraId="27A7FA33">
      <w:pPr>
        <w:pStyle w:val="4"/>
      </w:pPr>
      <w:bookmarkStart w:id="162" w:name="_Toc235910500"/>
      <w:r>
        <w:rPr>
          <w:rFonts w:hint="eastAsia"/>
        </w:rPr>
        <w:t>资料整理及提交情况表</w:t>
      </w:r>
      <w:bookmarkEnd w:id="162"/>
    </w:p>
    <w:p w14:paraId="72363457">
      <w:pPr>
        <w:jc w:val="center"/>
        <w:rPr>
          <w:rFonts w:cs="Times New Roman"/>
          <w:szCs w:val="28"/>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cs="Times New Roman"/>
          <w:szCs w:val="28"/>
        </w:rPr>
        <w:t>资料整理及提交情况</w:t>
      </w:r>
    </w:p>
    <w:tbl>
      <w:tblPr>
        <w:tblStyle w:val="21"/>
        <w:tblpPr w:leftFromText="180" w:rightFromText="180" w:vertAnchor="text" w:horzAnchor="page" w:tblpXSpec="center" w:tblpY="309"/>
        <w:tblOverlap w:val="never"/>
        <w:tblW w:w="0" w:type="auto"/>
        <w:jc w:val="center"/>
        <w:tblLayout w:type="autofit"/>
        <w:tblCellMar>
          <w:top w:w="0" w:type="dxa"/>
          <w:left w:w="108" w:type="dxa"/>
          <w:bottom w:w="0" w:type="dxa"/>
          <w:right w:w="108" w:type="dxa"/>
        </w:tblCellMar>
      </w:tblPr>
      <w:tblGrid>
        <w:gridCol w:w="540"/>
        <w:gridCol w:w="2290"/>
        <w:gridCol w:w="971"/>
        <w:gridCol w:w="458"/>
        <w:gridCol w:w="1035"/>
        <w:gridCol w:w="706"/>
        <w:gridCol w:w="539"/>
        <w:gridCol w:w="1955"/>
      </w:tblGrid>
      <w:tr w14:paraId="77C8A8C5">
        <w:tblPrEx>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82E831">
            <w:pPr>
              <w:pStyle w:val="33"/>
            </w:pPr>
            <w:r>
              <w:rPr>
                <w:rFonts w:hint="eastAsia"/>
                <w:lang w:bidi="ar"/>
              </w:rPr>
              <w:t>序号</w:t>
            </w:r>
          </w:p>
        </w:tc>
        <w:tc>
          <w:tcPr>
            <w:tcW w:w="22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125992">
            <w:pPr>
              <w:pStyle w:val="33"/>
            </w:pPr>
            <w:r>
              <w:rPr>
                <w:rFonts w:hint="eastAsia"/>
                <w:lang w:bidi="ar"/>
              </w:rPr>
              <w:t>文件名称</w:t>
            </w:r>
          </w:p>
        </w:tc>
        <w:tc>
          <w:tcPr>
            <w:tcW w:w="9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03119A">
            <w:pPr>
              <w:pStyle w:val="33"/>
            </w:pPr>
            <w:r>
              <w:rPr>
                <w:rFonts w:hint="eastAsia"/>
                <w:lang w:bidi="ar"/>
              </w:rPr>
              <w:t>载体类型</w:t>
            </w:r>
          </w:p>
        </w:tc>
        <w:tc>
          <w:tcPr>
            <w:tcW w:w="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C71970">
            <w:pPr>
              <w:pStyle w:val="33"/>
            </w:pPr>
            <w:r>
              <w:rPr>
                <w:rFonts w:hint="eastAsia"/>
                <w:lang w:bidi="ar"/>
              </w:rPr>
              <w:t>份数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27A505">
            <w:pPr>
              <w:pStyle w:val="33"/>
            </w:pPr>
            <w:r>
              <w:rPr>
                <w:rFonts w:hint="eastAsia"/>
                <w:lang w:bidi="ar"/>
              </w:rPr>
              <w:t>页数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F287A8">
            <w:pPr>
              <w:pStyle w:val="33"/>
            </w:pPr>
            <w:r>
              <w:rPr>
                <w:rFonts w:hint="eastAsia"/>
                <w:lang w:bidi="ar"/>
              </w:rPr>
              <w:t>保管期限</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4B25E1">
            <w:pPr>
              <w:pStyle w:val="33"/>
            </w:pPr>
            <w:r>
              <w:rPr>
                <w:rFonts w:hint="eastAsia"/>
                <w:lang w:bidi="ar"/>
              </w:rPr>
              <w:t>密级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F8E727">
            <w:pPr>
              <w:pStyle w:val="33"/>
            </w:pPr>
            <w:r>
              <w:rPr>
                <w:rFonts w:hint="eastAsia"/>
                <w:lang w:bidi="ar"/>
              </w:rPr>
              <w:t>备注</w:t>
            </w:r>
          </w:p>
        </w:tc>
      </w:tr>
      <w:tr w14:paraId="0DAB69CA">
        <w:tblPrEx>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7FF7318">
            <w:pPr>
              <w:pStyle w:val="33"/>
              <w:rPr>
                <w:color w:val="000000"/>
              </w:rPr>
            </w:pPr>
            <w:r>
              <w:rPr>
                <w:rFonts w:hint="eastAsia"/>
                <w:color w:val="000000"/>
                <w:lang w:bidi="ar"/>
              </w:rPr>
              <w:t>1</w:t>
            </w:r>
          </w:p>
        </w:tc>
        <w:tc>
          <w:tcPr>
            <w:tcW w:w="22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EF3E5A">
            <w:pPr>
              <w:pStyle w:val="33"/>
              <w:jc w:val="both"/>
              <w:rPr>
                <w:color w:val="000000"/>
              </w:rPr>
            </w:pPr>
            <w:r>
              <w:rPr>
                <w:rFonts w:hint="eastAsia"/>
                <w:color w:val="000000"/>
              </w:rPr>
              <w:t>签订的合同</w:t>
            </w:r>
          </w:p>
        </w:tc>
        <w:tc>
          <w:tcPr>
            <w:tcW w:w="9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37EC57">
            <w:pPr>
              <w:pStyle w:val="33"/>
              <w:jc w:val="both"/>
              <w:rPr>
                <w:color w:val="FF0000"/>
              </w:rPr>
            </w:pPr>
            <w:r>
              <w:rPr>
                <w:rFonts w:hint="eastAsia"/>
                <w:color w:val="000000"/>
              </w:rPr>
              <w:t>纸质/电子版</w:t>
            </w:r>
          </w:p>
        </w:tc>
        <w:tc>
          <w:tcPr>
            <w:tcW w:w="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72CA27">
            <w:pPr>
              <w:pStyle w:val="33"/>
              <w:jc w:val="both"/>
            </w:pPr>
            <w:r>
              <w:rPr>
                <w:rFonts w:hint="eastAsia"/>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C22072">
            <w:pPr>
              <w:pStyle w:val="33"/>
              <w:jc w:val="both"/>
            </w:pPr>
            <w:r>
              <w:rPr>
                <w:rFonts w:hint="eastAsia"/>
              </w:rPr>
              <w:t>43页</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638D02">
            <w:pPr>
              <w:pStyle w:val="33"/>
              <w:jc w:val="both"/>
            </w:pPr>
            <w:r>
              <w:rPr>
                <w:rFonts w:hint="eastAsia"/>
              </w:rPr>
              <w:t>永久</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25462B">
            <w:pPr>
              <w:pStyle w:val="33"/>
              <w:jc w:val="both"/>
            </w:pPr>
            <w:r>
              <w:rPr>
                <w:rFonts w:hint="eastAsia"/>
              </w:rPr>
              <w:t>公开</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019B31">
            <w:pPr>
              <w:pStyle w:val="33"/>
              <w:jc w:val="both"/>
            </w:pPr>
            <w:r>
              <w:rPr>
                <w:rFonts w:hint="eastAsia"/>
              </w:rPr>
              <w:t>含技术任务书，中标通知书</w:t>
            </w:r>
          </w:p>
        </w:tc>
      </w:tr>
      <w:tr w14:paraId="44D12AA9">
        <w:tblPrEx>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4062CB3">
            <w:pPr>
              <w:pStyle w:val="33"/>
              <w:rPr>
                <w:color w:val="000000"/>
                <w:lang w:bidi="ar"/>
              </w:rPr>
            </w:pPr>
            <w:r>
              <w:rPr>
                <w:rFonts w:hint="eastAsia"/>
                <w:color w:val="000000"/>
                <w:lang w:bidi="ar"/>
              </w:rPr>
              <w:t>2</w:t>
            </w:r>
          </w:p>
        </w:tc>
        <w:tc>
          <w:tcPr>
            <w:tcW w:w="22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ED78FC">
            <w:pPr>
              <w:pStyle w:val="33"/>
              <w:jc w:val="both"/>
              <w:rPr>
                <w:color w:val="000000"/>
              </w:rPr>
            </w:pPr>
            <w:r>
              <w:rPr>
                <w:rFonts w:hint="eastAsia"/>
                <w:color w:val="000000"/>
              </w:rPr>
              <w:t>技术报告</w:t>
            </w:r>
          </w:p>
        </w:tc>
        <w:tc>
          <w:tcPr>
            <w:tcW w:w="9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4750F5">
            <w:pPr>
              <w:pStyle w:val="33"/>
              <w:jc w:val="both"/>
              <w:rPr>
                <w:color w:val="FF0000"/>
              </w:rPr>
            </w:pPr>
            <w:r>
              <w:rPr>
                <w:rFonts w:hint="eastAsia"/>
                <w:color w:val="000000"/>
              </w:rPr>
              <w:t>纸质/电子版</w:t>
            </w:r>
          </w:p>
        </w:tc>
        <w:tc>
          <w:tcPr>
            <w:tcW w:w="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F9B91F">
            <w:pPr>
              <w:pStyle w:val="33"/>
              <w:jc w:val="both"/>
            </w:pPr>
            <w:r>
              <w:rPr>
                <w:rFonts w:hint="eastAsia"/>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93FA63D">
            <w:pPr>
              <w:pStyle w:val="33"/>
              <w:jc w:val="both"/>
            </w:pPr>
            <w:r>
              <w:rPr>
                <w:rFonts w:hint="eastAsia"/>
              </w:rPr>
              <w:t>约150页</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D9530B">
            <w:pPr>
              <w:pStyle w:val="33"/>
              <w:jc w:val="both"/>
            </w:pPr>
            <w:r>
              <w:rPr>
                <w:rFonts w:hint="eastAsia"/>
              </w:rPr>
              <w:t>永久</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53A185">
            <w:pPr>
              <w:pStyle w:val="33"/>
              <w:jc w:val="both"/>
            </w:pPr>
            <w:r>
              <w:rPr>
                <w:rFonts w:hint="eastAsia"/>
              </w:rPr>
              <w:t>公开</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681A98">
            <w:pPr>
              <w:pStyle w:val="33"/>
              <w:jc w:val="both"/>
              <w:rPr>
                <w:rFonts w:eastAsiaTheme="minorEastAsia"/>
              </w:rPr>
            </w:pPr>
            <w:r>
              <w:rPr>
                <w:rFonts w:hint="eastAsia"/>
              </w:rPr>
              <w:t>含技术</w:t>
            </w:r>
            <w:r>
              <w:t>方案、关键技术攻关</w:t>
            </w:r>
            <w:r>
              <w:rPr>
                <w:rFonts w:hint="eastAsia"/>
              </w:rPr>
              <w:t>等</w:t>
            </w:r>
          </w:p>
        </w:tc>
      </w:tr>
      <w:tr w14:paraId="2A75F2AF">
        <w:tblPrEx>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75E6F63">
            <w:pPr>
              <w:pStyle w:val="33"/>
              <w:rPr>
                <w:color w:val="000000"/>
              </w:rPr>
            </w:pPr>
            <w:r>
              <w:rPr>
                <w:rFonts w:hint="eastAsia"/>
                <w:color w:val="000000"/>
              </w:rPr>
              <w:t>3</w:t>
            </w:r>
          </w:p>
        </w:tc>
        <w:tc>
          <w:tcPr>
            <w:tcW w:w="22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E3E235">
            <w:pPr>
              <w:pStyle w:val="33"/>
              <w:jc w:val="both"/>
              <w:rPr>
                <w:color w:val="000000"/>
              </w:rPr>
            </w:pPr>
            <w:r>
              <w:rPr>
                <w:rFonts w:hint="eastAsia"/>
                <w:color w:val="000000"/>
              </w:rPr>
              <w:t>复合材料中的热声固耦合分析（模块一）程序代码</w:t>
            </w:r>
          </w:p>
        </w:tc>
        <w:tc>
          <w:tcPr>
            <w:tcW w:w="9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6A02C3">
            <w:pPr>
              <w:pStyle w:val="33"/>
              <w:jc w:val="both"/>
              <w:rPr>
                <w:color w:val="000000"/>
              </w:rPr>
            </w:pPr>
            <w:r>
              <w:rPr>
                <w:rFonts w:hint="eastAsia"/>
                <w:color w:val="000000"/>
              </w:rPr>
              <w:t>电子版</w:t>
            </w:r>
          </w:p>
        </w:tc>
        <w:tc>
          <w:tcPr>
            <w:tcW w:w="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F8E840">
            <w:pPr>
              <w:pStyle w:val="33"/>
              <w:jc w:val="both"/>
              <w:rPr>
                <w:color w:val="000000"/>
              </w:rPr>
            </w:pPr>
            <w:r>
              <w:rPr>
                <w:rFonts w:hint="eastAsia"/>
                <w:color w:val="000000"/>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5F2D15D">
            <w:pPr>
              <w:pStyle w:val="33"/>
              <w:jc w:val="both"/>
              <w:rPr>
                <w:color w:val="000000"/>
              </w:rPr>
            </w:pPr>
            <w:r>
              <w:rPr>
                <w:rFonts w:hint="eastAsia"/>
                <w:color w:val="000000"/>
              </w:rPr>
              <w:t>代码10万行+</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56CF1F">
            <w:pPr>
              <w:pStyle w:val="33"/>
              <w:jc w:val="both"/>
              <w:rPr>
                <w:color w:val="000000"/>
              </w:rPr>
            </w:pPr>
            <w:r>
              <w:rPr>
                <w:rFonts w:hint="eastAsia"/>
                <w:color w:val="000000"/>
              </w:rPr>
              <w:t>永久</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54DFA8">
            <w:pPr>
              <w:pStyle w:val="33"/>
              <w:jc w:val="both"/>
              <w:rPr>
                <w:color w:val="000000"/>
              </w:rPr>
            </w:pPr>
            <w:r>
              <w:rPr>
                <w:rFonts w:hint="eastAsia"/>
                <w:color w:val="000000"/>
              </w:rPr>
              <w:t>公开</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3151291">
            <w:pPr>
              <w:pStyle w:val="33"/>
              <w:jc w:val="both"/>
              <w:rPr>
                <w:color w:val="000000"/>
              </w:rPr>
            </w:pPr>
            <w:r>
              <w:rPr>
                <w:rFonts w:hint="eastAsia"/>
                <w:color w:val="000000"/>
              </w:rPr>
              <w:t>含代码总行数30%以上注释及技术文档</w:t>
            </w:r>
          </w:p>
        </w:tc>
      </w:tr>
      <w:tr w14:paraId="314F5904">
        <w:tblPrEx>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EBEB49">
            <w:pPr>
              <w:pStyle w:val="33"/>
              <w:rPr>
                <w:color w:val="000000"/>
              </w:rPr>
            </w:pPr>
            <w:r>
              <w:rPr>
                <w:rFonts w:hint="eastAsia"/>
                <w:color w:val="000000"/>
              </w:rPr>
              <w:t>4</w:t>
            </w:r>
          </w:p>
        </w:tc>
        <w:tc>
          <w:tcPr>
            <w:tcW w:w="22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ADFC7A">
            <w:pPr>
              <w:pStyle w:val="33"/>
              <w:jc w:val="both"/>
              <w:rPr>
                <w:color w:val="000000"/>
              </w:rPr>
            </w:pPr>
            <w:r>
              <w:rPr>
                <w:rFonts w:hint="eastAsia"/>
                <w:color w:val="000000"/>
              </w:rPr>
              <w:t>声学多参数融合的温度场反演（模块二）程序代码</w:t>
            </w:r>
          </w:p>
        </w:tc>
        <w:tc>
          <w:tcPr>
            <w:tcW w:w="9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BBAD8F">
            <w:pPr>
              <w:pStyle w:val="33"/>
              <w:jc w:val="both"/>
              <w:rPr>
                <w:color w:val="000000"/>
              </w:rPr>
            </w:pPr>
            <w:r>
              <w:rPr>
                <w:rFonts w:hint="eastAsia"/>
                <w:color w:val="000000"/>
              </w:rPr>
              <w:t>电子版</w:t>
            </w:r>
          </w:p>
        </w:tc>
        <w:tc>
          <w:tcPr>
            <w:tcW w:w="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FE2D9A">
            <w:pPr>
              <w:pStyle w:val="33"/>
              <w:jc w:val="both"/>
              <w:rPr>
                <w:color w:val="000000"/>
              </w:rPr>
            </w:pPr>
            <w:r>
              <w:rPr>
                <w:rFonts w:hint="eastAsia"/>
                <w:color w:val="000000"/>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2840F1">
            <w:pPr>
              <w:pStyle w:val="33"/>
              <w:jc w:val="both"/>
              <w:rPr>
                <w:color w:val="000000"/>
              </w:rPr>
            </w:pPr>
            <w:r>
              <w:rPr>
                <w:rFonts w:hint="eastAsia"/>
                <w:color w:val="000000"/>
              </w:rPr>
              <w:t>代码10万行+</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25028C8">
            <w:pPr>
              <w:pStyle w:val="33"/>
              <w:jc w:val="both"/>
              <w:rPr>
                <w:color w:val="000000"/>
              </w:rPr>
            </w:pPr>
            <w:r>
              <w:rPr>
                <w:rFonts w:hint="eastAsia"/>
                <w:color w:val="000000"/>
              </w:rPr>
              <w:t>永久</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394238">
            <w:pPr>
              <w:pStyle w:val="33"/>
              <w:jc w:val="both"/>
              <w:rPr>
                <w:color w:val="000000"/>
              </w:rPr>
            </w:pPr>
            <w:r>
              <w:rPr>
                <w:rFonts w:hint="eastAsia"/>
                <w:color w:val="000000"/>
              </w:rPr>
              <w:t>公开</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AE35B6">
            <w:pPr>
              <w:pStyle w:val="33"/>
              <w:jc w:val="both"/>
              <w:rPr>
                <w:color w:val="000000"/>
              </w:rPr>
            </w:pPr>
            <w:r>
              <w:rPr>
                <w:rFonts w:hint="eastAsia"/>
                <w:color w:val="000000"/>
              </w:rPr>
              <w:t>含代码总行数30%以上注释及技术文档</w:t>
            </w:r>
          </w:p>
        </w:tc>
      </w:tr>
      <w:tr w14:paraId="67FCE3CD">
        <w:tblPrEx>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16B662">
            <w:pPr>
              <w:pStyle w:val="33"/>
              <w:rPr>
                <w:color w:val="000000"/>
              </w:rPr>
            </w:pPr>
            <w:r>
              <w:rPr>
                <w:rFonts w:hint="eastAsia"/>
                <w:color w:val="000000"/>
              </w:rPr>
              <w:t>5</w:t>
            </w:r>
          </w:p>
        </w:tc>
        <w:tc>
          <w:tcPr>
            <w:tcW w:w="22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5FB5D4">
            <w:pPr>
              <w:pStyle w:val="33"/>
              <w:jc w:val="both"/>
              <w:rPr>
                <w:color w:val="000000"/>
              </w:rPr>
            </w:pPr>
            <w:r>
              <w:rPr>
                <w:rFonts w:hint="eastAsia"/>
                <w:color w:val="000000"/>
              </w:rPr>
              <w:t>基于人工智能的温度场反演（模块三）程序代码</w:t>
            </w:r>
          </w:p>
        </w:tc>
        <w:tc>
          <w:tcPr>
            <w:tcW w:w="9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CF52E4">
            <w:pPr>
              <w:pStyle w:val="33"/>
              <w:jc w:val="both"/>
              <w:rPr>
                <w:color w:val="000000"/>
              </w:rPr>
            </w:pPr>
            <w:r>
              <w:rPr>
                <w:rFonts w:hint="eastAsia"/>
                <w:color w:val="000000"/>
              </w:rPr>
              <w:t>电子版</w:t>
            </w:r>
          </w:p>
        </w:tc>
        <w:tc>
          <w:tcPr>
            <w:tcW w:w="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ABDC9B">
            <w:pPr>
              <w:pStyle w:val="33"/>
              <w:jc w:val="both"/>
              <w:rPr>
                <w:color w:val="000000"/>
              </w:rPr>
            </w:pPr>
            <w:r>
              <w:rPr>
                <w:rFonts w:hint="eastAsia"/>
                <w:color w:val="000000"/>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3AEFBC">
            <w:pPr>
              <w:pStyle w:val="33"/>
              <w:jc w:val="both"/>
              <w:rPr>
                <w:color w:val="000000"/>
              </w:rPr>
            </w:pPr>
            <w:r>
              <w:rPr>
                <w:rFonts w:hint="eastAsia"/>
                <w:color w:val="000000"/>
              </w:rPr>
              <w:t>代码10万行+</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0BFFCD">
            <w:pPr>
              <w:pStyle w:val="33"/>
              <w:jc w:val="both"/>
              <w:rPr>
                <w:color w:val="000000"/>
              </w:rPr>
            </w:pPr>
            <w:r>
              <w:rPr>
                <w:rFonts w:hint="eastAsia"/>
                <w:color w:val="000000"/>
              </w:rPr>
              <w:t>永久</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6122BC">
            <w:pPr>
              <w:pStyle w:val="33"/>
              <w:jc w:val="both"/>
              <w:rPr>
                <w:color w:val="000000"/>
              </w:rPr>
            </w:pPr>
            <w:r>
              <w:rPr>
                <w:rFonts w:hint="eastAsia"/>
                <w:color w:val="000000"/>
              </w:rPr>
              <w:t>公开</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47E2FCF">
            <w:pPr>
              <w:pStyle w:val="33"/>
              <w:jc w:val="both"/>
              <w:rPr>
                <w:color w:val="000000"/>
              </w:rPr>
            </w:pPr>
            <w:r>
              <w:rPr>
                <w:rFonts w:hint="eastAsia"/>
                <w:color w:val="000000"/>
              </w:rPr>
              <w:t>含代码总行数30%以上注释及技术文档</w:t>
            </w:r>
          </w:p>
        </w:tc>
      </w:tr>
      <w:tr w14:paraId="37792020">
        <w:tblPrEx>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BC13E0">
            <w:pPr>
              <w:pStyle w:val="33"/>
              <w:rPr>
                <w:color w:val="000000"/>
              </w:rPr>
            </w:pPr>
            <w:r>
              <w:rPr>
                <w:rFonts w:hint="eastAsia"/>
                <w:color w:val="000000"/>
              </w:rPr>
              <w:t>6</w:t>
            </w:r>
          </w:p>
        </w:tc>
        <w:tc>
          <w:tcPr>
            <w:tcW w:w="22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536180">
            <w:pPr>
              <w:pStyle w:val="33"/>
              <w:jc w:val="both"/>
              <w:rPr>
                <w:color w:val="000000"/>
              </w:rPr>
            </w:pPr>
            <w:r>
              <w:rPr>
                <w:rFonts w:hint="eastAsia"/>
                <w:color w:val="000000"/>
              </w:rPr>
              <w:t>程序测试数据</w:t>
            </w:r>
          </w:p>
        </w:tc>
        <w:tc>
          <w:tcPr>
            <w:tcW w:w="9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D03F57">
            <w:pPr>
              <w:pStyle w:val="33"/>
              <w:jc w:val="both"/>
              <w:rPr>
                <w:color w:val="000000"/>
              </w:rPr>
            </w:pPr>
            <w:r>
              <w:rPr>
                <w:rFonts w:hint="eastAsia"/>
                <w:color w:val="000000"/>
              </w:rPr>
              <w:t>电子版</w:t>
            </w:r>
          </w:p>
        </w:tc>
        <w:tc>
          <w:tcPr>
            <w:tcW w:w="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1AF6A0">
            <w:pPr>
              <w:pStyle w:val="33"/>
              <w:jc w:val="both"/>
              <w:rPr>
                <w:color w:val="000000"/>
              </w:rPr>
            </w:pPr>
            <w:r>
              <w:rPr>
                <w:rFonts w:hint="eastAsia"/>
                <w:color w:val="000000"/>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742215">
            <w:pPr>
              <w:pStyle w:val="33"/>
              <w:jc w:val="both"/>
              <w:rPr>
                <w:color w:val="000000"/>
              </w:rPr>
            </w:pPr>
            <w:r>
              <w:rPr>
                <w:rFonts w:hint="eastAsia"/>
                <w:color w:val="000000"/>
              </w:rPr>
              <w:t>1400组</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4C3DD2">
            <w:pPr>
              <w:pStyle w:val="33"/>
              <w:jc w:val="both"/>
              <w:rPr>
                <w:color w:val="000000"/>
              </w:rPr>
            </w:pPr>
            <w:r>
              <w:rPr>
                <w:rFonts w:hint="eastAsia"/>
                <w:color w:val="000000"/>
              </w:rPr>
              <w:t>永久</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EC71FD">
            <w:pPr>
              <w:pStyle w:val="33"/>
              <w:jc w:val="both"/>
              <w:rPr>
                <w:color w:val="000000"/>
              </w:rPr>
            </w:pPr>
            <w:r>
              <w:rPr>
                <w:rFonts w:hint="eastAsia"/>
                <w:color w:val="000000"/>
              </w:rPr>
              <w:t>公开</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DDC270">
            <w:pPr>
              <w:pStyle w:val="33"/>
              <w:jc w:val="both"/>
              <w:rPr>
                <w:color w:val="000000"/>
              </w:rPr>
            </w:pPr>
            <w:r>
              <w:rPr>
                <w:rFonts w:hint="eastAsia"/>
                <w:color w:val="000000"/>
              </w:rPr>
              <w:t>含误差分析</w:t>
            </w:r>
          </w:p>
        </w:tc>
      </w:tr>
      <w:tr w14:paraId="1B1878A8">
        <w:tblPrEx>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D23282">
            <w:pPr>
              <w:pStyle w:val="33"/>
              <w:rPr>
                <w:color w:val="000000"/>
              </w:rPr>
            </w:pPr>
            <w:r>
              <w:rPr>
                <w:rFonts w:hint="eastAsia"/>
                <w:color w:val="000000"/>
              </w:rPr>
              <w:t>7</w:t>
            </w:r>
          </w:p>
        </w:tc>
        <w:tc>
          <w:tcPr>
            <w:tcW w:w="22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E8789F">
            <w:pPr>
              <w:pStyle w:val="33"/>
              <w:jc w:val="both"/>
              <w:rPr>
                <w:color w:val="000000"/>
              </w:rPr>
            </w:pPr>
            <w:r>
              <w:rPr>
                <w:rFonts w:hint="eastAsia"/>
                <w:color w:val="000000"/>
              </w:rPr>
              <w:t>实验测试数据</w:t>
            </w:r>
          </w:p>
        </w:tc>
        <w:tc>
          <w:tcPr>
            <w:tcW w:w="9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684BF7">
            <w:pPr>
              <w:pStyle w:val="33"/>
              <w:jc w:val="both"/>
              <w:rPr>
                <w:color w:val="000000"/>
              </w:rPr>
            </w:pPr>
            <w:r>
              <w:rPr>
                <w:rFonts w:hint="eastAsia"/>
                <w:color w:val="000000"/>
              </w:rPr>
              <w:t>电子版</w:t>
            </w:r>
          </w:p>
        </w:tc>
        <w:tc>
          <w:tcPr>
            <w:tcW w:w="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374B9F">
            <w:pPr>
              <w:pStyle w:val="33"/>
              <w:jc w:val="both"/>
              <w:rPr>
                <w:color w:val="000000"/>
              </w:rPr>
            </w:pPr>
            <w:r>
              <w:rPr>
                <w:rFonts w:hint="eastAsia"/>
                <w:color w:val="000000"/>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75D0D91">
            <w:pPr>
              <w:pStyle w:val="33"/>
              <w:jc w:val="both"/>
              <w:rPr>
                <w:color w:val="000000"/>
              </w:rPr>
            </w:pPr>
            <w:r>
              <w:rPr>
                <w:rFonts w:hint="eastAsia"/>
                <w:color w:val="000000"/>
              </w:rPr>
              <w:t>20组</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DE68B6">
            <w:pPr>
              <w:pStyle w:val="33"/>
              <w:jc w:val="both"/>
              <w:rPr>
                <w:color w:val="000000"/>
              </w:rPr>
            </w:pPr>
            <w:r>
              <w:rPr>
                <w:rFonts w:hint="eastAsia"/>
                <w:color w:val="000000"/>
              </w:rPr>
              <w:t>永久</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6403AE">
            <w:pPr>
              <w:pStyle w:val="33"/>
              <w:jc w:val="both"/>
              <w:rPr>
                <w:color w:val="000000"/>
              </w:rPr>
            </w:pPr>
            <w:r>
              <w:rPr>
                <w:rFonts w:hint="eastAsia"/>
                <w:color w:val="000000"/>
              </w:rPr>
              <w:t>公开</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EE03E6">
            <w:pPr>
              <w:pStyle w:val="33"/>
              <w:jc w:val="both"/>
              <w:rPr>
                <w:color w:val="000000"/>
              </w:rPr>
            </w:pPr>
            <w:r>
              <w:rPr>
                <w:rFonts w:hint="eastAsia"/>
                <w:color w:val="000000"/>
              </w:rPr>
              <w:t>含误差分析</w:t>
            </w:r>
          </w:p>
        </w:tc>
      </w:tr>
      <w:tr w14:paraId="4E570A50">
        <w:tblPrEx>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D9804D">
            <w:pPr>
              <w:pStyle w:val="33"/>
              <w:rPr>
                <w:color w:val="000000"/>
              </w:rPr>
            </w:pPr>
            <w:r>
              <w:rPr>
                <w:rFonts w:hint="eastAsia"/>
                <w:color w:val="000000"/>
              </w:rPr>
              <w:t>8</w:t>
            </w:r>
          </w:p>
        </w:tc>
        <w:tc>
          <w:tcPr>
            <w:tcW w:w="22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1BD772">
            <w:pPr>
              <w:pStyle w:val="33"/>
              <w:jc w:val="both"/>
              <w:rPr>
                <w:color w:val="000000"/>
              </w:rPr>
            </w:pPr>
            <w:r>
              <w:rPr>
                <w:rFonts w:hint="eastAsia"/>
                <w:color w:val="000000"/>
              </w:rPr>
              <w:t>程序测试大纲</w:t>
            </w:r>
          </w:p>
        </w:tc>
        <w:tc>
          <w:tcPr>
            <w:tcW w:w="9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252994">
            <w:pPr>
              <w:pStyle w:val="33"/>
              <w:jc w:val="both"/>
              <w:rPr>
                <w:color w:val="000000"/>
              </w:rPr>
            </w:pPr>
            <w:r>
              <w:rPr>
                <w:rFonts w:hint="eastAsia"/>
                <w:color w:val="000000"/>
              </w:rPr>
              <w:t>纸质/电子版</w:t>
            </w:r>
          </w:p>
        </w:tc>
        <w:tc>
          <w:tcPr>
            <w:tcW w:w="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B8BB4D">
            <w:pPr>
              <w:pStyle w:val="33"/>
              <w:jc w:val="both"/>
              <w:rPr>
                <w:color w:val="000000"/>
              </w:rPr>
            </w:pPr>
            <w:r>
              <w:rPr>
                <w:rFonts w:hint="eastAsia"/>
                <w:color w:val="000000"/>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F65D14">
            <w:pPr>
              <w:pStyle w:val="33"/>
              <w:jc w:val="both"/>
              <w:rPr>
                <w:color w:val="000000"/>
              </w:rPr>
            </w:pPr>
            <w:r>
              <w:rPr>
                <w:rFonts w:hint="eastAsia"/>
                <w:color w:val="000000"/>
              </w:rPr>
              <w:t>约200页</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5DAC86">
            <w:pPr>
              <w:pStyle w:val="33"/>
              <w:jc w:val="both"/>
              <w:rPr>
                <w:color w:val="000000"/>
              </w:rPr>
            </w:pPr>
            <w:r>
              <w:rPr>
                <w:rFonts w:hint="eastAsia"/>
                <w:color w:val="000000"/>
              </w:rPr>
              <w:t>永久</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B04582">
            <w:pPr>
              <w:pStyle w:val="33"/>
              <w:jc w:val="both"/>
              <w:rPr>
                <w:color w:val="000000"/>
              </w:rPr>
            </w:pPr>
            <w:r>
              <w:rPr>
                <w:rFonts w:hint="eastAsia"/>
                <w:color w:val="000000"/>
              </w:rPr>
              <w:t>公开</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6741E1">
            <w:pPr>
              <w:pStyle w:val="33"/>
              <w:jc w:val="both"/>
              <w:rPr>
                <w:color w:val="000000"/>
              </w:rPr>
            </w:pPr>
            <w:r>
              <w:rPr>
                <w:rFonts w:hint="eastAsia"/>
                <w:color w:val="000000"/>
              </w:rPr>
              <w:t>含评审通过意见</w:t>
            </w:r>
          </w:p>
        </w:tc>
      </w:tr>
      <w:tr w14:paraId="4DF1BC3C">
        <w:tblPrEx>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C337408">
            <w:pPr>
              <w:pStyle w:val="33"/>
              <w:rPr>
                <w:color w:val="000000"/>
              </w:rPr>
            </w:pPr>
            <w:r>
              <w:rPr>
                <w:rFonts w:hint="eastAsia"/>
                <w:color w:val="000000"/>
              </w:rPr>
              <w:t>9</w:t>
            </w:r>
          </w:p>
        </w:tc>
        <w:tc>
          <w:tcPr>
            <w:tcW w:w="22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F746FF">
            <w:pPr>
              <w:pStyle w:val="33"/>
              <w:jc w:val="both"/>
              <w:rPr>
                <w:color w:val="000000"/>
              </w:rPr>
            </w:pPr>
            <w:r>
              <w:rPr>
                <w:rFonts w:hint="eastAsia"/>
                <w:color w:val="000000"/>
              </w:rPr>
              <w:t>程序测试报告</w:t>
            </w:r>
          </w:p>
        </w:tc>
        <w:tc>
          <w:tcPr>
            <w:tcW w:w="9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6B9AA7">
            <w:pPr>
              <w:pStyle w:val="33"/>
              <w:jc w:val="both"/>
              <w:rPr>
                <w:color w:val="000000"/>
              </w:rPr>
            </w:pPr>
            <w:r>
              <w:rPr>
                <w:rFonts w:hint="eastAsia"/>
                <w:color w:val="000000"/>
              </w:rPr>
              <w:t>纸质/电子版</w:t>
            </w:r>
          </w:p>
        </w:tc>
        <w:tc>
          <w:tcPr>
            <w:tcW w:w="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18AF5D">
            <w:pPr>
              <w:pStyle w:val="33"/>
              <w:jc w:val="both"/>
              <w:rPr>
                <w:color w:val="000000"/>
              </w:rPr>
            </w:pPr>
            <w:r>
              <w:rPr>
                <w:rFonts w:hint="eastAsia"/>
                <w:color w:val="000000"/>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A0C738E">
            <w:pPr>
              <w:pStyle w:val="33"/>
              <w:jc w:val="both"/>
              <w:rPr>
                <w:color w:val="000000"/>
              </w:rPr>
            </w:pPr>
            <w:r>
              <w:rPr>
                <w:rFonts w:hint="eastAsia"/>
                <w:color w:val="000000"/>
              </w:rPr>
              <w:t>约280页</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B9D03A">
            <w:pPr>
              <w:pStyle w:val="33"/>
              <w:jc w:val="both"/>
              <w:rPr>
                <w:color w:val="000000"/>
              </w:rPr>
            </w:pPr>
            <w:r>
              <w:rPr>
                <w:rFonts w:hint="eastAsia"/>
                <w:color w:val="000000"/>
              </w:rPr>
              <w:t>永久</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75F90B">
            <w:pPr>
              <w:pStyle w:val="33"/>
              <w:jc w:val="both"/>
              <w:rPr>
                <w:color w:val="000000"/>
              </w:rPr>
            </w:pPr>
            <w:r>
              <w:rPr>
                <w:rFonts w:hint="eastAsia"/>
                <w:color w:val="000000"/>
              </w:rPr>
              <w:t>公开</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DFE8C5">
            <w:pPr>
              <w:pStyle w:val="33"/>
              <w:jc w:val="both"/>
              <w:rPr>
                <w:color w:val="000000"/>
              </w:rPr>
            </w:pPr>
            <w:r>
              <w:rPr>
                <w:rFonts w:hint="eastAsia"/>
                <w:color w:val="000000"/>
              </w:rPr>
              <w:t>含评审通过意见</w:t>
            </w:r>
          </w:p>
        </w:tc>
      </w:tr>
      <w:tr w14:paraId="10AADEA0">
        <w:tblPrEx>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CF2E80">
            <w:pPr>
              <w:pStyle w:val="33"/>
              <w:rPr>
                <w:color w:val="000000"/>
              </w:rPr>
            </w:pPr>
            <w:r>
              <w:rPr>
                <w:rFonts w:hint="eastAsia"/>
                <w:color w:val="000000"/>
              </w:rPr>
              <w:t>10</w:t>
            </w:r>
          </w:p>
        </w:tc>
        <w:tc>
          <w:tcPr>
            <w:tcW w:w="22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37C323">
            <w:pPr>
              <w:pStyle w:val="33"/>
              <w:jc w:val="both"/>
              <w:rPr>
                <w:color w:val="000000"/>
              </w:rPr>
            </w:pPr>
            <w:r>
              <w:rPr>
                <w:rFonts w:hint="eastAsia"/>
                <w:color w:val="000000"/>
              </w:rPr>
              <w:t>程序测试记录表</w:t>
            </w:r>
          </w:p>
        </w:tc>
        <w:tc>
          <w:tcPr>
            <w:tcW w:w="9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45D901">
            <w:pPr>
              <w:pStyle w:val="33"/>
              <w:jc w:val="both"/>
              <w:rPr>
                <w:color w:val="000000"/>
              </w:rPr>
            </w:pPr>
            <w:r>
              <w:rPr>
                <w:rFonts w:hint="eastAsia"/>
                <w:color w:val="000000"/>
              </w:rPr>
              <w:t>纸质/电子版</w:t>
            </w:r>
          </w:p>
        </w:tc>
        <w:tc>
          <w:tcPr>
            <w:tcW w:w="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A2B330">
            <w:pPr>
              <w:pStyle w:val="33"/>
              <w:jc w:val="both"/>
              <w:rPr>
                <w:color w:val="000000"/>
              </w:rPr>
            </w:pPr>
            <w:r>
              <w:rPr>
                <w:rFonts w:hint="eastAsia"/>
                <w:color w:val="000000"/>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C0F847">
            <w:pPr>
              <w:pStyle w:val="33"/>
              <w:jc w:val="both"/>
              <w:rPr>
                <w:color w:val="000000"/>
              </w:rPr>
            </w:pPr>
            <w:r>
              <w:rPr>
                <w:rFonts w:hint="eastAsia"/>
                <w:color w:val="000000"/>
              </w:rPr>
              <w:t>约50页</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018C58">
            <w:pPr>
              <w:pStyle w:val="33"/>
              <w:jc w:val="both"/>
              <w:rPr>
                <w:color w:val="000000"/>
              </w:rPr>
            </w:pPr>
            <w:r>
              <w:rPr>
                <w:rFonts w:hint="eastAsia"/>
                <w:color w:val="000000"/>
              </w:rPr>
              <w:t>永久</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71C990">
            <w:pPr>
              <w:pStyle w:val="33"/>
              <w:jc w:val="both"/>
              <w:rPr>
                <w:color w:val="000000"/>
              </w:rPr>
            </w:pPr>
            <w:r>
              <w:rPr>
                <w:rFonts w:hint="eastAsia"/>
                <w:color w:val="000000"/>
              </w:rPr>
              <w:t>公开</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4E58A1">
            <w:pPr>
              <w:pStyle w:val="33"/>
              <w:jc w:val="both"/>
              <w:rPr>
                <w:color w:val="000000"/>
              </w:rPr>
            </w:pPr>
            <w:r>
              <w:rPr>
                <w:rFonts w:hint="eastAsia"/>
                <w:color w:val="000000"/>
              </w:rPr>
              <w:t>记录程序及实验测试与调试过程</w:t>
            </w:r>
          </w:p>
        </w:tc>
      </w:tr>
    </w:tbl>
    <w:p w14:paraId="062B5434">
      <w:pPr>
        <w:jc w:val="center"/>
        <w:rPr>
          <w:rFonts w:eastAsia="仿宋_GB2312" w:cs="Times New Roman"/>
          <w:sz w:val="28"/>
          <w:szCs w:val="32"/>
        </w:rPr>
      </w:pPr>
    </w:p>
    <w:p w14:paraId="474A0B95">
      <w:pPr>
        <w:pStyle w:val="4"/>
      </w:pPr>
      <w:bookmarkStart w:id="163" w:name="_Toc235910501"/>
      <w:r>
        <w:rPr>
          <w:rFonts w:hint="eastAsia"/>
        </w:rPr>
        <w:t>验收及遗留问题整改情况</w:t>
      </w:r>
      <w:bookmarkEnd w:id="163"/>
    </w:p>
    <w:p w14:paraId="7EAB31E9">
      <w:pPr>
        <w:ind w:firstLine="480" w:firstLineChars="200"/>
        <w:rPr>
          <w:rFonts w:cs="Times New Roman"/>
          <w:bCs/>
          <w:szCs w:val="36"/>
          <w:lang w:val="zh-CN"/>
        </w:rPr>
      </w:pPr>
      <w:r>
        <w:rPr>
          <w:rFonts w:cs="Times New Roman"/>
          <w:bCs/>
          <w:szCs w:val="36"/>
          <w:lang w:val="zh-CN"/>
        </w:rPr>
        <w:t>（1）验收情况：</w:t>
      </w:r>
    </w:p>
    <w:p w14:paraId="08A6AF3C">
      <w:pPr>
        <w:ind w:firstLine="480" w:firstLineChars="200"/>
        <w:rPr>
          <w:rFonts w:cs="Times New Roman"/>
          <w:bCs/>
          <w:szCs w:val="36"/>
          <w:lang w:val="zh-CN"/>
        </w:rPr>
      </w:pPr>
      <w:r>
        <w:rPr>
          <w:rFonts w:cs="Times New Roman"/>
          <w:bCs/>
          <w:szCs w:val="36"/>
          <w:lang w:val="zh-CN"/>
        </w:rPr>
        <w:t>2025年</w:t>
      </w:r>
      <w:r>
        <w:rPr>
          <w:rFonts w:cs="Times New Roman"/>
          <w:bCs/>
          <w:szCs w:val="36"/>
        </w:rPr>
        <w:t>10</w:t>
      </w:r>
      <w:r>
        <w:rPr>
          <w:rFonts w:cs="Times New Roman"/>
          <w:bCs/>
          <w:szCs w:val="36"/>
          <w:lang w:val="zh-CN"/>
        </w:rPr>
        <w:t>月</w:t>
      </w:r>
      <w:r>
        <w:rPr>
          <w:rFonts w:cs="Times New Roman"/>
          <w:bCs/>
          <w:szCs w:val="36"/>
        </w:rPr>
        <w:t>24</w:t>
      </w:r>
      <w:r>
        <w:rPr>
          <w:rFonts w:cs="Times New Roman"/>
          <w:bCs/>
          <w:szCs w:val="36"/>
          <w:lang w:val="zh-CN"/>
        </w:rPr>
        <w:t>日</w:t>
      </w:r>
      <w:r>
        <w:rPr>
          <w:rFonts w:cs="Times New Roman"/>
          <w:bCs/>
          <w:szCs w:val="36"/>
        </w:rPr>
        <w:t>由甲方组织</w:t>
      </w:r>
      <w:r>
        <w:rPr>
          <w:rFonts w:cs="Times New Roman"/>
          <w:bCs/>
          <w:szCs w:val="36"/>
          <w:lang w:val="zh-CN"/>
        </w:rPr>
        <w:t>完成</w:t>
      </w:r>
      <w:r>
        <w:rPr>
          <w:rFonts w:cs="Times New Roman"/>
          <w:bCs/>
          <w:szCs w:val="36"/>
        </w:rPr>
        <w:t>实施方案</w:t>
      </w:r>
      <w:r>
        <w:rPr>
          <w:rFonts w:cs="Times New Roman"/>
          <w:bCs/>
          <w:szCs w:val="36"/>
          <w:lang w:val="zh-CN"/>
        </w:rPr>
        <w:t>评审；</w:t>
      </w:r>
    </w:p>
    <w:p w14:paraId="7D9D405F">
      <w:pPr>
        <w:ind w:firstLine="480" w:firstLineChars="200"/>
        <w:rPr>
          <w:rFonts w:cs="Times New Roman"/>
          <w:bCs/>
          <w:szCs w:val="36"/>
          <w:lang w:val="zh-CN"/>
        </w:rPr>
      </w:pPr>
      <w:r>
        <w:rPr>
          <w:rFonts w:cs="Times New Roman"/>
          <w:bCs/>
          <w:szCs w:val="36"/>
          <w:lang w:val="zh-CN"/>
        </w:rPr>
        <w:t>202</w:t>
      </w:r>
      <w:r>
        <w:rPr>
          <w:rFonts w:cs="Times New Roman"/>
          <w:bCs/>
          <w:szCs w:val="36"/>
        </w:rPr>
        <w:t>6</w:t>
      </w:r>
      <w:r>
        <w:rPr>
          <w:rFonts w:cs="Times New Roman"/>
          <w:bCs/>
          <w:szCs w:val="36"/>
          <w:lang w:val="zh-CN"/>
        </w:rPr>
        <w:t>年</w:t>
      </w:r>
      <w:r>
        <w:rPr>
          <w:rFonts w:cs="Times New Roman"/>
          <w:bCs/>
          <w:szCs w:val="36"/>
        </w:rPr>
        <w:t>6</w:t>
      </w:r>
      <w:r>
        <w:rPr>
          <w:rFonts w:cs="Times New Roman"/>
          <w:bCs/>
          <w:szCs w:val="36"/>
          <w:lang w:val="zh-CN"/>
        </w:rPr>
        <w:t>月</w:t>
      </w:r>
      <w:r>
        <w:rPr>
          <w:rFonts w:cs="Times New Roman"/>
          <w:bCs/>
          <w:szCs w:val="36"/>
        </w:rPr>
        <w:t>5</w:t>
      </w:r>
      <w:r>
        <w:rPr>
          <w:rFonts w:cs="Times New Roman"/>
          <w:bCs/>
          <w:szCs w:val="36"/>
          <w:lang w:val="zh-CN"/>
        </w:rPr>
        <w:t>日</w:t>
      </w:r>
      <w:r>
        <w:rPr>
          <w:rFonts w:cs="Times New Roman"/>
          <w:bCs/>
          <w:szCs w:val="36"/>
        </w:rPr>
        <w:t>由乙方组织</w:t>
      </w:r>
      <w:r>
        <w:rPr>
          <w:rFonts w:cs="Times New Roman"/>
          <w:bCs/>
          <w:szCs w:val="36"/>
          <w:lang w:val="zh-CN"/>
        </w:rPr>
        <w:t>完成测试</w:t>
      </w:r>
      <w:r>
        <w:rPr>
          <w:rFonts w:cs="Times New Roman"/>
          <w:bCs/>
          <w:szCs w:val="36"/>
        </w:rPr>
        <w:t>大纲</w:t>
      </w:r>
      <w:r>
        <w:rPr>
          <w:rFonts w:cs="Times New Roman"/>
          <w:bCs/>
          <w:szCs w:val="36"/>
          <w:lang w:val="zh-CN"/>
        </w:rPr>
        <w:t>评审；</w:t>
      </w:r>
    </w:p>
    <w:p w14:paraId="14BB89D4">
      <w:pPr>
        <w:ind w:firstLine="480" w:firstLineChars="200"/>
        <w:rPr>
          <w:rFonts w:cs="Times New Roman"/>
          <w:bCs/>
          <w:szCs w:val="36"/>
          <w:lang w:val="zh-CN"/>
        </w:rPr>
      </w:pPr>
      <w:r>
        <w:rPr>
          <w:rFonts w:cs="Times New Roman"/>
          <w:bCs/>
          <w:szCs w:val="36"/>
          <w:lang w:val="zh-CN"/>
        </w:rPr>
        <w:t>202</w:t>
      </w:r>
      <w:r>
        <w:rPr>
          <w:rFonts w:cs="Times New Roman"/>
          <w:bCs/>
          <w:szCs w:val="36"/>
        </w:rPr>
        <w:t>6</w:t>
      </w:r>
      <w:r>
        <w:rPr>
          <w:rFonts w:cs="Times New Roman"/>
          <w:bCs/>
          <w:szCs w:val="36"/>
          <w:lang w:val="zh-CN"/>
        </w:rPr>
        <w:t>年</w:t>
      </w:r>
      <w:r>
        <w:rPr>
          <w:rFonts w:cs="Times New Roman"/>
          <w:bCs/>
          <w:szCs w:val="36"/>
        </w:rPr>
        <w:t>7</w:t>
      </w:r>
      <w:r>
        <w:rPr>
          <w:rFonts w:cs="Times New Roman"/>
          <w:bCs/>
          <w:szCs w:val="36"/>
          <w:lang w:val="zh-CN"/>
        </w:rPr>
        <w:t>月</w:t>
      </w:r>
      <w:r>
        <w:rPr>
          <w:rFonts w:cs="Times New Roman"/>
          <w:bCs/>
          <w:szCs w:val="36"/>
        </w:rPr>
        <w:t>18</w:t>
      </w:r>
      <w:r>
        <w:rPr>
          <w:rFonts w:cs="Times New Roman"/>
          <w:bCs/>
          <w:szCs w:val="36"/>
          <w:lang w:val="zh-CN"/>
        </w:rPr>
        <w:t>日</w:t>
      </w:r>
      <w:r>
        <w:rPr>
          <w:rFonts w:cs="Times New Roman"/>
          <w:bCs/>
          <w:szCs w:val="36"/>
        </w:rPr>
        <w:t>由乙方组织</w:t>
      </w:r>
      <w:r>
        <w:rPr>
          <w:rFonts w:cs="Times New Roman"/>
          <w:bCs/>
          <w:szCs w:val="36"/>
          <w:lang w:val="zh-CN"/>
        </w:rPr>
        <w:t>完成</w:t>
      </w:r>
      <w:r>
        <w:rPr>
          <w:rFonts w:cs="Times New Roman"/>
          <w:bCs/>
          <w:szCs w:val="36"/>
        </w:rPr>
        <w:t>测试报告评审。</w:t>
      </w:r>
    </w:p>
    <w:p w14:paraId="79A353AB">
      <w:pPr>
        <w:ind w:firstLine="480" w:firstLineChars="200"/>
        <w:rPr>
          <w:rFonts w:cs="Times New Roman"/>
          <w:bCs/>
          <w:szCs w:val="36"/>
          <w:lang w:val="zh-CN"/>
        </w:rPr>
      </w:pPr>
      <w:r>
        <w:rPr>
          <w:rFonts w:cs="Times New Roman"/>
          <w:bCs/>
          <w:szCs w:val="36"/>
        </w:rPr>
        <w:t>（2）</w:t>
      </w:r>
      <w:r>
        <w:rPr>
          <w:rFonts w:cs="Times New Roman"/>
          <w:bCs/>
          <w:szCs w:val="36"/>
          <w:lang w:val="zh-CN"/>
        </w:rPr>
        <w:t>遗留问题整改情况</w:t>
      </w:r>
    </w:p>
    <w:p w14:paraId="09CDB62B">
      <w:pPr>
        <w:ind w:firstLine="480" w:firstLineChars="200"/>
        <w:rPr>
          <w:rFonts w:cs="Times New Roman"/>
          <w:bCs/>
          <w:szCs w:val="36"/>
          <w:lang w:val="zh-CN"/>
        </w:rPr>
      </w:pPr>
      <w:r>
        <w:rPr>
          <w:rFonts w:cs="Times New Roman"/>
          <w:bCs/>
          <w:szCs w:val="36"/>
          <w:lang w:val="zh-CN"/>
        </w:rPr>
        <w:t xml:space="preserve">1）文档规范性与术语统稿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1836"/>
        <w:gridCol w:w="6033"/>
      </w:tblGrid>
      <w:tr w14:paraId="611E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14:paraId="33D24A97">
            <w:pPr>
              <w:pStyle w:val="33"/>
            </w:pPr>
            <w:r>
              <w:t>序号</w:t>
            </w:r>
          </w:p>
        </w:tc>
        <w:tc>
          <w:tcPr>
            <w:tcW w:w="1836" w:type="dxa"/>
            <w:vAlign w:val="center"/>
          </w:tcPr>
          <w:p w14:paraId="25845AD3">
            <w:pPr>
              <w:pStyle w:val="33"/>
            </w:pPr>
            <w:r>
              <w:t>遗留问题</w:t>
            </w:r>
          </w:p>
        </w:tc>
        <w:tc>
          <w:tcPr>
            <w:tcW w:w="6033" w:type="dxa"/>
            <w:vAlign w:val="center"/>
          </w:tcPr>
          <w:p w14:paraId="619D0D91">
            <w:pPr>
              <w:pStyle w:val="33"/>
            </w:pPr>
            <w:r>
              <w:t>整改情况</w:t>
            </w:r>
          </w:p>
        </w:tc>
      </w:tr>
      <w:tr w14:paraId="5C83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14:paraId="66704601">
            <w:pPr>
              <w:pStyle w:val="33"/>
            </w:pPr>
            <w:r>
              <w:t>1</w:t>
            </w:r>
          </w:p>
        </w:tc>
        <w:tc>
          <w:tcPr>
            <w:tcW w:w="1836" w:type="dxa"/>
            <w:vAlign w:val="center"/>
          </w:tcPr>
          <w:p w14:paraId="7C3A91CA">
            <w:pPr>
              <w:pStyle w:val="33"/>
            </w:pPr>
            <w:r>
              <w:t>文中“场景”一词含义不统一，需规范定义。</w:t>
            </w:r>
          </w:p>
        </w:tc>
        <w:tc>
          <w:tcPr>
            <w:tcW w:w="6033" w:type="dxa"/>
            <w:vAlign w:val="center"/>
          </w:tcPr>
          <w:p w14:paraId="6DF7F521">
            <w:pPr>
              <w:pStyle w:val="33"/>
            </w:pPr>
            <w:r>
              <w:t>已在测试报告第1章（绪论）或第3章（测试方案）开篇，增加了“测试场景”的定义小节，明确区分了“物理工况场景”（一维/二维、稳态/瞬态）与“算法验证场景”，并在全文进行了统一替换。</w:t>
            </w:r>
          </w:p>
        </w:tc>
      </w:tr>
      <w:tr w14:paraId="6183B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14:paraId="4CE1B2E0">
            <w:pPr>
              <w:pStyle w:val="33"/>
            </w:pPr>
            <w:r>
              <w:t>2</w:t>
            </w:r>
          </w:p>
        </w:tc>
        <w:tc>
          <w:tcPr>
            <w:tcW w:w="1836" w:type="dxa"/>
            <w:vAlign w:val="center"/>
          </w:tcPr>
          <w:p w14:paraId="09981930">
            <w:pPr>
              <w:pStyle w:val="33"/>
            </w:pPr>
            <w:r>
              <w:t>报告中出现的公式，需增加参数符号标注。</w:t>
            </w:r>
          </w:p>
        </w:tc>
        <w:tc>
          <w:tcPr>
            <w:tcW w:w="6033" w:type="dxa"/>
            <w:vAlign w:val="center"/>
          </w:tcPr>
          <w:p w14:paraId="2B0B09CD">
            <w:pPr>
              <w:pStyle w:val="33"/>
            </w:pPr>
            <w:r>
              <w:t>已对所有核心公式（特别是热声固耦合方程及反演目标函数）后的参数列表进行了补全，明确了每个符号的物理意义、单位及取值范围。</w:t>
            </w:r>
          </w:p>
        </w:tc>
      </w:tr>
    </w:tbl>
    <w:p w14:paraId="15DA386D">
      <w:pPr>
        <w:ind w:firstLine="480" w:firstLineChars="200"/>
        <w:rPr>
          <w:rFonts w:cs="Times New Roman"/>
          <w:bCs/>
          <w:szCs w:val="36"/>
          <w:lang w:val="zh-CN"/>
        </w:rPr>
      </w:pPr>
      <w:r>
        <w:rPr>
          <w:rFonts w:cs="Times New Roman"/>
          <w:bCs/>
          <w:szCs w:val="36"/>
          <w:lang w:val="zh-CN"/>
        </w:rPr>
        <w:t xml:space="preserve">2）内容完整性与深度补充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2546"/>
        <w:gridCol w:w="5324"/>
      </w:tblGrid>
      <w:tr w14:paraId="06B7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vAlign w:val="center"/>
          </w:tcPr>
          <w:p w14:paraId="6FB35828">
            <w:pPr>
              <w:pStyle w:val="33"/>
            </w:pPr>
            <w:r>
              <w:t>序号</w:t>
            </w:r>
          </w:p>
        </w:tc>
        <w:tc>
          <w:tcPr>
            <w:tcW w:w="2546" w:type="dxa"/>
            <w:vAlign w:val="center"/>
          </w:tcPr>
          <w:p w14:paraId="4E49D6F7">
            <w:pPr>
              <w:pStyle w:val="33"/>
            </w:pPr>
            <w:r>
              <w:t>遗留问题</w:t>
            </w:r>
          </w:p>
        </w:tc>
        <w:tc>
          <w:tcPr>
            <w:tcW w:w="5324" w:type="dxa"/>
            <w:vAlign w:val="center"/>
          </w:tcPr>
          <w:p w14:paraId="01C892E2">
            <w:pPr>
              <w:pStyle w:val="33"/>
            </w:pPr>
            <w:r>
              <w:t>整改情况</w:t>
            </w:r>
          </w:p>
        </w:tc>
      </w:tr>
      <w:tr w14:paraId="07DF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vAlign w:val="center"/>
          </w:tcPr>
          <w:p w14:paraId="4B378131">
            <w:pPr>
              <w:pStyle w:val="33"/>
            </w:pPr>
            <w:r>
              <w:t>1</w:t>
            </w:r>
          </w:p>
        </w:tc>
        <w:tc>
          <w:tcPr>
            <w:tcW w:w="2546" w:type="dxa"/>
            <w:vAlign w:val="center"/>
          </w:tcPr>
          <w:p w14:paraId="2B6414ED">
            <w:pPr>
              <w:pStyle w:val="33"/>
            </w:pPr>
            <w:r>
              <w:t>补充测试方法流程简述，明确各场景划分在测试流程中的对应关系</w:t>
            </w:r>
          </w:p>
        </w:tc>
        <w:tc>
          <w:tcPr>
            <w:tcW w:w="5324" w:type="dxa"/>
            <w:vAlign w:val="center"/>
          </w:tcPr>
          <w:p w14:paraId="39839460">
            <w:pPr>
              <w:pStyle w:val="33"/>
            </w:pPr>
            <w:r>
              <w:t>测试报告新增了“3.2 测试实施流程图”，并配套撰写了流程说明，建立了“输入条件—测试场景—输出指标”的一一对应关系表。</w:t>
            </w:r>
          </w:p>
        </w:tc>
      </w:tr>
      <w:tr w14:paraId="17F7D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vAlign w:val="center"/>
          </w:tcPr>
          <w:p w14:paraId="3704041A">
            <w:pPr>
              <w:pStyle w:val="33"/>
            </w:pPr>
            <w:r>
              <w:t>2</w:t>
            </w:r>
          </w:p>
        </w:tc>
        <w:tc>
          <w:tcPr>
            <w:tcW w:w="2546" w:type="dxa"/>
            <w:vAlign w:val="center"/>
          </w:tcPr>
          <w:p w14:paraId="301E3097">
            <w:pPr>
              <w:pStyle w:val="33"/>
            </w:pPr>
            <w:r>
              <w:t>在每种测试试验中，补充测试方法、测试流程及测试环境</w:t>
            </w:r>
          </w:p>
        </w:tc>
        <w:tc>
          <w:tcPr>
            <w:tcW w:w="5324" w:type="dxa"/>
            <w:vAlign w:val="center"/>
          </w:tcPr>
          <w:p w14:paraId="113ACDDA">
            <w:pPr>
              <w:pStyle w:val="33"/>
            </w:pPr>
            <w:r>
              <w:t>针对热声固耦合、多参数反演、AI重构及实验测试四个模块，分别在对应章节增加了“测试方法”专节，细化了操作步骤，并在附录中完善了实验环境配置清单。</w:t>
            </w:r>
          </w:p>
        </w:tc>
      </w:tr>
      <w:tr w14:paraId="6A735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vAlign w:val="center"/>
          </w:tcPr>
          <w:p w14:paraId="1944FCBB">
            <w:pPr>
              <w:pStyle w:val="33"/>
            </w:pPr>
            <w:r>
              <w:t>3</w:t>
            </w:r>
          </w:p>
        </w:tc>
        <w:tc>
          <w:tcPr>
            <w:tcW w:w="2546" w:type="dxa"/>
            <w:vAlign w:val="center"/>
          </w:tcPr>
          <w:p w14:paraId="06A04304">
            <w:pPr>
              <w:pStyle w:val="33"/>
            </w:pPr>
            <w:r>
              <w:t>补充声学参数融合反演方法与AI反演方法在精度等指标上的对比</w:t>
            </w:r>
          </w:p>
        </w:tc>
        <w:tc>
          <w:tcPr>
            <w:tcW w:w="5324" w:type="dxa"/>
            <w:vAlign w:val="center"/>
          </w:tcPr>
          <w:p w14:paraId="4D37A2F4">
            <w:pPr>
              <w:pStyle w:val="33"/>
            </w:pPr>
            <w:r>
              <w:t>在测试报告“第5章 测试结果分析”中新增了“5.4 算法性能对比分析”小节，从反演精度（MAE、RMSE）、计算耗时、抗噪能力三个维度，制作了详尽的对比表格与柱状图。</w:t>
            </w:r>
          </w:p>
        </w:tc>
      </w:tr>
      <w:tr w14:paraId="62D4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vAlign w:val="center"/>
          </w:tcPr>
          <w:p w14:paraId="65899829">
            <w:pPr>
              <w:pStyle w:val="33"/>
            </w:pPr>
            <w:r>
              <w:t>4</w:t>
            </w:r>
          </w:p>
        </w:tc>
        <w:tc>
          <w:tcPr>
            <w:tcW w:w="2546" w:type="dxa"/>
            <w:vAlign w:val="center"/>
          </w:tcPr>
          <w:p w14:paraId="6A9F4C9C">
            <w:pPr>
              <w:pStyle w:val="33"/>
            </w:pPr>
            <w:r>
              <w:t>补充AI模型架构及细节</w:t>
            </w:r>
          </w:p>
        </w:tc>
        <w:tc>
          <w:tcPr>
            <w:tcW w:w="5324" w:type="dxa"/>
            <w:vAlign w:val="center"/>
          </w:tcPr>
          <w:p w14:paraId="7C4AF634">
            <w:pPr>
              <w:pStyle w:val="33"/>
            </w:pPr>
            <w:r>
              <w:t>已将原测试报告中简略的AI方法描述扩充为独立小节，详细阐述了神经网络架构（如PINN物理约束设置）、数据集构建方式及训练策略。</w:t>
            </w:r>
          </w:p>
        </w:tc>
      </w:tr>
      <w:tr w14:paraId="187B9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vAlign w:val="center"/>
          </w:tcPr>
          <w:p w14:paraId="7E0BA88D">
            <w:pPr>
              <w:pStyle w:val="33"/>
            </w:pPr>
            <w:r>
              <w:t>5</w:t>
            </w:r>
          </w:p>
        </w:tc>
        <w:tc>
          <w:tcPr>
            <w:tcW w:w="2546" w:type="dxa"/>
            <w:vAlign w:val="center"/>
          </w:tcPr>
          <w:p w14:paraId="204E29CD">
            <w:pPr>
              <w:pStyle w:val="33"/>
            </w:pPr>
            <w:r>
              <w:t>完善系统构成框图</w:t>
            </w:r>
          </w:p>
        </w:tc>
        <w:tc>
          <w:tcPr>
            <w:tcW w:w="5324" w:type="dxa"/>
            <w:vAlign w:val="center"/>
          </w:tcPr>
          <w:p w14:paraId="71A66B9F">
            <w:pPr>
              <w:pStyle w:val="33"/>
            </w:pPr>
            <w:r>
              <w:t>已重新绘制“超声波温度场重构系统总体构成框图”，清晰展示了硬件层、算法层与应用层的逻辑关系。</w:t>
            </w:r>
          </w:p>
        </w:tc>
      </w:tr>
    </w:tbl>
    <w:p w14:paraId="5965C3E4">
      <w:pPr>
        <w:ind w:firstLine="480" w:firstLineChars="200"/>
        <w:rPr>
          <w:rFonts w:cs="Times New Roman"/>
          <w:bCs/>
          <w:szCs w:val="36"/>
          <w:lang w:val="zh-CN"/>
        </w:rPr>
      </w:pPr>
      <w:r>
        <w:rPr>
          <w:rFonts w:cs="Times New Roman"/>
          <w:bCs/>
          <w:szCs w:val="36"/>
          <w:lang w:val="zh-CN"/>
        </w:rPr>
        <w:t xml:space="preserve">3）表述精简与可读性提升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2688"/>
        <w:gridCol w:w="5182"/>
      </w:tblGrid>
      <w:tr w14:paraId="4F324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vAlign w:val="center"/>
          </w:tcPr>
          <w:p w14:paraId="3018F046">
            <w:pPr>
              <w:pStyle w:val="33"/>
            </w:pPr>
            <w:r>
              <w:t>序号</w:t>
            </w:r>
          </w:p>
        </w:tc>
        <w:tc>
          <w:tcPr>
            <w:tcW w:w="2688" w:type="dxa"/>
            <w:vAlign w:val="center"/>
          </w:tcPr>
          <w:p w14:paraId="47C67D3A">
            <w:pPr>
              <w:pStyle w:val="33"/>
            </w:pPr>
            <w:r>
              <w:t>遗留问题</w:t>
            </w:r>
          </w:p>
        </w:tc>
        <w:tc>
          <w:tcPr>
            <w:tcW w:w="5182" w:type="dxa"/>
            <w:vAlign w:val="center"/>
          </w:tcPr>
          <w:p w14:paraId="24BF0512">
            <w:pPr>
              <w:pStyle w:val="33"/>
            </w:pPr>
            <w:r>
              <w:t>整改情况</w:t>
            </w:r>
          </w:p>
        </w:tc>
      </w:tr>
      <w:tr w14:paraId="521AB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vAlign w:val="center"/>
          </w:tcPr>
          <w:p w14:paraId="56A8CCC7">
            <w:pPr>
              <w:pStyle w:val="33"/>
            </w:pPr>
            <w:r>
              <w:t>1</w:t>
            </w:r>
          </w:p>
        </w:tc>
        <w:tc>
          <w:tcPr>
            <w:tcW w:w="2688" w:type="dxa"/>
            <w:vAlign w:val="center"/>
          </w:tcPr>
          <w:p w14:paraId="24C4C596">
            <w:pPr>
              <w:pStyle w:val="33"/>
            </w:pPr>
            <w:r>
              <w:t>将数据结果分析内容去掉，仅在表格中保留必要的测试结论。</w:t>
            </w:r>
          </w:p>
        </w:tc>
        <w:tc>
          <w:tcPr>
            <w:tcW w:w="5182" w:type="dxa"/>
            <w:vAlign w:val="center"/>
          </w:tcPr>
          <w:p w14:paraId="2BDCD66C">
            <w:pPr>
              <w:pStyle w:val="33"/>
            </w:pPr>
            <w:r>
              <w:t>已大幅压缩正文中的文字性分析，将详细的数据推导过程移至附录，正文仅保留核心结论，重点依托优化后的图表展示结果。</w:t>
            </w:r>
          </w:p>
        </w:tc>
      </w:tr>
      <w:tr w14:paraId="5E8EA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vAlign w:val="center"/>
          </w:tcPr>
          <w:p w14:paraId="66430D5E">
            <w:pPr>
              <w:pStyle w:val="33"/>
            </w:pPr>
            <w:r>
              <w:t>2</w:t>
            </w:r>
          </w:p>
        </w:tc>
        <w:tc>
          <w:tcPr>
            <w:tcW w:w="2688" w:type="dxa"/>
            <w:vAlign w:val="center"/>
          </w:tcPr>
          <w:p w14:paraId="3564C5E9">
            <w:pPr>
              <w:pStyle w:val="33"/>
            </w:pPr>
            <w:r>
              <w:t>各功能要求与性能指标响应表中大段文字提取关键指标，精简表格。</w:t>
            </w:r>
          </w:p>
        </w:tc>
        <w:tc>
          <w:tcPr>
            <w:tcW w:w="5182" w:type="dxa"/>
            <w:vAlign w:val="center"/>
          </w:tcPr>
          <w:p w14:paraId="760951A9">
            <w:pPr>
              <w:pStyle w:val="33"/>
            </w:pPr>
            <w:r>
              <w:t>已对该类各表进行了重构，剔除了冗余描述，提炼了“关键指标”列，并对表格格式进行了标准化处理，提升了查阅效率。</w:t>
            </w:r>
          </w:p>
        </w:tc>
      </w:tr>
      <w:tr w14:paraId="2BFC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vAlign w:val="center"/>
          </w:tcPr>
          <w:p w14:paraId="22C21EE3">
            <w:pPr>
              <w:pStyle w:val="33"/>
            </w:pPr>
            <w:r>
              <w:t>3</w:t>
            </w:r>
          </w:p>
        </w:tc>
        <w:tc>
          <w:tcPr>
            <w:tcW w:w="2688" w:type="dxa"/>
            <w:vAlign w:val="center"/>
          </w:tcPr>
          <w:p w14:paraId="0C27AC8E">
            <w:pPr>
              <w:pStyle w:val="33"/>
            </w:pPr>
            <w:r>
              <w:t>为自主开发的仿真平台赋予统一的名称或代号。</w:t>
            </w:r>
          </w:p>
        </w:tc>
        <w:tc>
          <w:tcPr>
            <w:tcW w:w="5182" w:type="dxa"/>
            <w:vAlign w:val="center"/>
          </w:tcPr>
          <w:p w14:paraId="69137F00">
            <w:pPr>
              <w:pStyle w:val="33"/>
            </w:pPr>
            <w:r>
              <w:t>经项目组讨论，将自主开发程序命名为</w:t>
            </w:r>
            <w:r>
              <w:rPr>
                <w:b/>
              </w:rPr>
              <w:t>“SCU-仿真分析平台”</w:t>
            </w:r>
            <w:r>
              <w:t>，并在全文中统一使用该名称及英文缩写。</w:t>
            </w:r>
          </w:p>
        </w:tc>
      </w:tr>
      <w:tr w14:paraId="6708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dxa"/>
            <w:vAlign w:val="center"/>
          </w:tcPr>
          <w:p w14:paraId="031BB0DA">
            <w:pPr>
              <w:pStyle w:val="33"/>
            </w:pPr>
            <w:r>
              <w:t>4</w:t>
            </w:r>
          </w:p>
        </w:tc>
        <w:tc>
          <w:tcPr>
            <w:tcW w:w="2688" w:type="dxa"/>
            <w:vAlign w:val="center"/>
          </w:tcPr>
          <w:p w14:paraId="585C4468">
            <w:pPr>
              <w:pStyle w:val="33"/>
            </w:pPr>
            <w:r>
              <w:t>完善并美化文中图表，符合标准规范。</w:t>
            </w:r>
          </w:p>
        </w:tc>
        <w:tc>
          <w:tcPr>
            <w:tcW w:w="5182" w:type="dxa"/>
            <w:vAlign w:val="center"/>
          </w:tcPr>
          <w:p w14:paraId="66B91FE0">
            <w:pPr>
              <w:pStyle w:val="33"/>
            </w:pPr>
            <w:r>
              <w:t>已对所有图表进行了重新绘制或美化，统一了字体、字号、线型及配色方案，确保了图面清晰、符合科技报告出版规范。</w:t>
            </w:r>
          </w:p>
        </w:tc>
      </w:tr>
    </w:tbl>
    <w:p w14:paraId="54D0B17A">
      <w:pPr>
        <w:ind w:firstLine="480" w:firstLineChars="200"/>
        <w:rPr>
          <w:rFonts w:cs="Times New Roman"/>
          <w:bCs/>
          <w:szCs w:val="36"/>
          <w:lang w:val="zh-CN"/>
        </w:rPr>
      </w:pPr>
      <w:r>
        <w:rPr>
          <w:rFonts w:cs="Times New Roman"/>
          <w:bCs/>
          <w:szCs w:val="36"/>
          <w:lang w:val="zh-CN"/>
        </w:rPr>
        <w:t xml:space="preserve">4）测试分类标准统一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2262"/>
        <w:gridCol w:w="5607"/>
      </w:tblGrid>
      <w:tr w14:paraId="1F086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14:paraId="65357800">
            <w:pPr>
              <w:pStyle w:val="33"/>
            </w:pPr>
            <w:r>
              <w:t>序号</w:t>
            </w:r>
          </w:p>
        </w:tc>
        <w:tc>
          <w:tcPr>
            <w:tcW w:w="2262" w:type="dxa"/>
            <w:vAlign w:val="center"/>
          </w:tcPr>
          <w:p w14:paraId="4F497A4E">
            <w:pPr>
              <w:pStyle w:val="33"/>
            </w:pPr>
            <w:r>
              <w:t>遗留问题</w:t>
            </w:r>
          </w:p>
        </w:tc>
        <w:tc>
          <w:tcPr>
            <w:tcW w:w="5607" w:type="dxa"/>
            <w:vAlign w:val="center"/>
          </w:tcPr>
          <w:p w14:paraId="50E5E82A">
            <w:pPr>
              <w:pStyle w:val="33"/>
            </w:pPr>
            <w:r>
              <w:t>整改情况</w:t>
            </w:r>
          </w:p>
        </w:tc>
      </w:tr>
      <w:tr w14:paraId="6359A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14:paraId="2070D3B7">
            <w:pPr>
              <w:pStyle w:val="33"/>
            </w:pPr>
            <w:r>
              <w:t>1</w:t>
            </w:r>
          </w:p>
        </w:tc>
        <w:tc>
          <w:tcPr>
            <w:tcW w:w="2262" w:type="dxa"/>
            <w:vAlign w:val="center"/>
          </w:tcPr>
          <w:p w14:paraId="2376D0EC">
            <w:pPr>
              <w:pStyle w:val="33"/>
            </w:pPr>
            <w:r>
              <w:t>三个模块场景分类方法不一致，建议统一以被测对象进行分类。</w:t>
            </w:r>
          </w:p>
        </w:tc>
        <w:tc>
          <w:tcPr>
            <w:tcW w:w="5607" w:type="dxa"/>
            <w:vAlign w:val="center"/>
          </w:tcPr>
          <w:p w14:paraId="2039C57A">
            <w:pPr>
              <w:pStyle w:val="33"/>
            </w:pPr>
            <w:r>
              <w:t>已对测试报告第4章“测试内容与结果”的结构进行了调整，严格按照“多层金属材料”、“金属基复合材料”、“硅基/碳基复合材料”的分类逻辑重新组织测试内容，确保与性能指标逐一对应。</w:t>
            </w:r>
          </w:p>
        </w:tc>
      </w:tr>
    </w:tbl>
    <w:p w14:paraId="0183315B">
      <w:pPr>
        <w:pStyle w:val="4"/>
        <w:rPr>
          <w:lang w:val="zh-CN"/>
        </w:rPr>
      </w:pPr>
      <w:bookmarkStart w:id="164" w:name="_Toc235910502"/>
      <w:r>
        <w:rPr>
          <w:rFonts w:hint="eastAsia"/>
          <w:lang w:val="zh-CN"/>
        </w:rPr>
        <w:t>完成情况小结</w:t>
      </w:r>
      <w:bookmarkEnd w:id="164"/>
    </w:p>
    <w:p w14:paraId="210933CC">
      <w:pPr>
        <w:ind w:firstLine="480" w:firstLineChars="200"/>
        <w:rPr>
          <w:rFonts w:cs="Times New Roman"/>
          <w:bCs/>
          <w:szCs w:val="36"/>
          <w:lang w:val="zh-CN"/>
        </w:rPr>
      </w:pPr>
      <w:r>
        <w:rPr>
          <w:rFonts w:cs="Times New Roman"/>
          <w:bCs/>
          <w:szCs w:val="36"/>
          <w:lang w:val="zh-CN"/>
        </w:rPr>
        <w:t>项目由四川大学承担，研发周期历时10个月，针对传统热电偶、红外热像仪无法精准或无损测量复合材料内部温度场的技术痛点，研发了</w:t>
      </w:r>
      <w:r>
        <w:rPr>
          <w:rFonts w:cs="Times New Roman"/>
          <w:b/>
          <w:bCs/>
          <w:szCs w:val="36"/>
          <w:lang w:val="zh-CN"/>
        </w:rPr>
        <w:t>热声固耦合分析、多参数融合反演、AI温度场重构</w:t>
      </w:r>
      <w:r>
        <w:rPr>
          <w:rFonts w:cs="Times New Roman"/>
          <w:bCs/>
          <w:szCs w:val="36"/>
          <w:lang w:val="zh-CN"/>
        </w:rPr>
        <w:t>三大核心模块。测试严格依据《技术任务书》《性能指标参数响应表》开展，全面验证理论模型、算法程序的合规性、精度及工程适用性。</w:t>
      </w:r>
    </w:p>
    <w:p w14:paraId="7914D460">
      <w:pPr>
        <w:ind w:firstLine="482" w:firstLineChars="200"/>
        <w:rPr>
          <w:rFonts w:cs="Times New Roman"/>
          <w:bCs/>
          <w:szCs w:val="36"/>
          <w:lang w:val="zh-CN"/>
        </w:rPr>
      </w:pPr>
      <w:r>
        <w:rPr>
          <w:rFonts w:cs="Times New Roman"/>
          <w:b/>
          <w:bCs/>
          <w:szCs w:val="36"/>
          <w:lang w:val="zh-CN"/>
        </w:rPr>
        <w:t>（</w:t>
      </w:r>
      <w:r>
        <w:rPr>
          <w:rFonts w:cs="Times New Roman"/>
          <w:b/>
          <w:bCs/>
          <w:szCs w:val="36"/>
        </w:rPr>
        <w:t>1</w:t>
      </w:r>
      <w:r>
        <w:rPr>
          <w:rFonts w:cs="Times New Roman"/>
          <w:b/>
          <w:bCs/>
          <w:szCs w:val="36"/>
          <w:lang w:val="zh-CN"/>
        </w:rPr>
        <w:t>）复合材料热声固耦合分析模块</w:t>
      </w:r>
      <w:r>
        <w:rPr>
          <w:rFonts w:cs="Times New Roman"/>
          <w:bCs/>
          <w:szCs w:val="36"/>
          <w:lang w:val="zh-CN"/>
        </w:rPr>
        <w:t xml:space="preserve"> </w:t>
      </w:r>
    </w:p>
    <w:p w14:paraId="2F246638">
      <w:pPr>
        <w:ind w:firstLine="482" w:firstLineChars="200"/>
        <w:rPr>
          <w:rFonts w:cs="Times New Roman"/>
          <w:bCs/>
          <w:szCs w:val="36"/>
          <w:lang w:val="zh-CN"/>
        </w:rPr>
      </w:pPr>
      <w:r>
        <w:rPr>
          <w:rFonts w:cs="Times New Roman"/>
          <w:b/>
          <w:bCs/>
          <w:szCs w:val="36"/>
          <w:lang w:val="zh-CN"/>
        </w:rPr>
        <w:t>功能全覆盖</w:t>
      </w:r>
      <w:r>
        <w:rPr>
          <w:rFonts w:cs="Times New Roman"/>
          <w:bCs/>
          <w:szCs w:val="36"/>
          <w:lang w:val="zh-CN"/>
        </w:rPr>
        <w:t>：适配多层材料、金属基复合材料、硅基/碳基复合材料三类对象，支持一维/二维工况下室温~1500K范围的稳态/瞬态热-固-波动场耦合求解，可自动提取声时、幅值、回波包络面积、中心频率等时/频/时频域声学参数，完成声学参数温度敏感性分析报告。</w:t>
      </w:r>
    </w:p>
    <w:p w14:paraId="22722D77">
      <w:pPr>
        <w:ind w:firstLine="482" w:firstLineChars="200"/>
        <w:rPr>
          <w:rFonts w:cs="Times New Roman"/>
          <w:bCs/>
          <w:szCs w:val="36"/>
          <w:lang w:val="zh-CN"/>
        </w:rPr>
      </w:pPr>
      <w:r>
        <w:rPr>
          <w:rFonts w:cs="Times New Roman"/>
          <w:b/>
          <w:bCs/>
          <w:szCs w:val="36"/>
          <w:lang w:val="zh-CN"/>
        </w:rPr>
        <w:t>精度超指标要求</w:t>
      </w:r>
      <w:r>
        <w:rPr>
          <w:rFonts w:cs="Times New Roman"/>
          <w:bCs/>
          <w:szCs w:val="36"/>
          <w:lang w:val="zh-CN"/>
        </w:rPr>
        <w:t>：与COMSOL商业软件对比，三类材料的温度场、固体位移场、声学特性预测相对误差均远低于10%的指标上限</w:t>
      </w:r>
      <w:r>
        <w:rPr>
          <w:rFonts w:hint="eastAsia" w:cs="Times New Roman"/>
          <w:bCs/>
          <w:szCs w:val="36"/>
          <w:lang w:val="zh-CN"/>
        </w:rPr>
        <w:t>；</w:t>
      </w:r>
      <w:r>
        <w:rPr>
          <w:rFonts w:cs="Times New Roman"/>
          <w:bCs/>
          <w:szCs w:val="36"/>
          <w:lang w:val="zh-CN"/>
        </w:rPr>
        <w:t>场分布趋势、波传播反射/透射特征与COMSOL完全一致。</w:t>
      </w:r>
    </w:p>
    <w:p w14:paraId="1146EDC6">
      <w:pPr>
        <w:ind w:firstLine="482" w:firstLineChars="200"/>
        <w:rPr>
          <w:rFonts w:cs="Times New Roman"/>
          <w:bCs/>
          <w:szCs w:val="36"/>
          <w:lang w:val="zh-CN"/>
        </w:rPr>
      </w:pPr>
      <w:r>
        <w:rPr>
          <w:rFonts w:cs="Times New Roman"/>
          <w:b/>
          <w:bCs/>
          <w:szCs w:val="36"/>
          <w:lang w:val="zh-CN"/>
        </w:rPr>
        <w:t>兼容性达标</w:t>
      </w:r>
      <w:r>
        <w:rPr>
          <w:rFonts w:cs="Times New Roman"/>
          <w:bCs/>
          <w:szCs w:val="36"/>
          <w:lang w:val="zh-CN"/>
        </w:rPr>
        <w:t>：程序采用Fortran语言编写，完全支持Windows系统运行。</w:t>
      </w:r>
    </w:p>
    <w:p w14:paraId="691C799A">
      <w:pPr>
        <w:ind w:firstLine="482" w:firstLineChars="200"/>
        <w:rPr>
          <w:rFonts w:cs="Times New Roman"/>
          <w:b/>
          <w:bCs/>
          <w:szCs w:val="36"/>
          <w:lang w:val="zh-CN"/>
        </w:rPr>
      </w:pPr>
      <w:r>
        <w:rPr>
          <w:rFonts w:cs="Times New Roman"/>
          <w:b/>
          <w:bCs/>
          <w:szCs w:val="36"/>
          <w:lang w:val="zh-CN"/>
        </w:rPr>
        <w:t>（</w:t>
      </w:r>
      <w:r>
        <w:rPr>
          <w:rFonts w:cs="Times New Roman"/>
          <w:b/>
          <w:bCs/>
          <w:szCs w:val="36"/>
        </w:rPr>
        <w:t>2</w:t>
      </w:r>
      <w:r>
        <w:rPr>
          <w:rFonts w:cs="Times New Roman"/>
          <w:b/>
          <w:bCs/>
          <w:szCs w:val="36"/>
          <w:lang w:val="zh-CN"/>
        </w:rPr>
        <w:t xml:space="preserve">）声学多参数融合温度场反演模块 </w:t>
      </w:r>
    </w:p>
    <w:p w14:paraId="0471FD63">
      <w:pPr>
        <w:ind w:firstLine="482" w:firstLineChars="200"/>
        <w:rPr>
          <w:rFonts w:cs="Times New Roman"/>
          <w:bCs/>
          <w:szCs w:val="36"/>
          <w:lang w:val="zh-CN"/>
        </w:rPr>
      </w:pPr>
      <w:r>
        <w:rPr>
          <w:rFonts w:cs="Times New Roman"/>
          <w:b/>
          <w:bCs/>
          <w:szCs w:val="36"/>
          <w:lang w:val="zh-CN"/>
        </w:rPr>
        <w:t>功能创新落地</w:t>
      </w:r>
      <w:r>
        <w:rPr>
          <w:rFonts w:cs="Times New Roman"/>
          <w:bCs/>
          <w:szCs w:val="36"/>
          <w:lang w:val="zh-CN"/>
        </w:rPr>
        <w:t>：实现单参数（声时）、多参数（声时+幅值衰减）融合反演，覆盖一维/二维、稳态/瞬态全工况，二维反演已纳入声传播路径弯曲效应校正；除经典优化算法外，新研发</w:t>
      </w:r>
      <w:r>
        <w:rPr>
          <w:rFonts w:cs="Times New Roman"/>
          <w:b/>
          <w:bCs/>
          <w:szCs w:val="36"/>
          <w:lang w:val="zh-CN"/>
        </w:rPr>
        <w:t>贝叶斯优化+有限差分（BO+FD）、粒子群+共轭梯度（PSO+CG）</w:t>
      </w:r>
      <w:r>
        <w:rPr>
          <w:rFonts w:cs="Times New Roman"/>
          <w:bCs/>
          <w:szCs w:val="36"/>
          <w:lang w:val="zh-CN"/>
        </w:rPr>
        <w:t>两种高效优化算法；突破温度场与试件厚度联合反演技术，实现单算法同步输出两类参数。</w:t>
      </w:r>
    </w:p>
    <w:p w14:paraId="24127CC8">
      <w:pPr>
        <w:ind w:firstLine="482" w:firstLineChars="200"/>
        <w:rPr>
          <w:rFonts w:cs="Times New Roman"/>
          <w:bCs/>
          <w:szCs w:val="36"/>
          <w:lang w:val="zh-CN"/>
        </w:rPr>
      </w:pPr>
      <w:r>
        <w:rPr>
          <w:rFonts w:cs="Times New Roman"/>
          <w:b/>
          <w:bCs/>
          <w:szCs w:val="36"/>
          <w:lang w:val="zh-CN"/>
        </w:rPr>
        <w:t>实验验证达标</w:t>
      </w:r>
      <w:r>
        <w:rPr>
          <w:rFonts w:cs="Times New Roman"/>
          <w:bCs/>
          <w:szCs w:val="36"/>
          <w:lang w:val="zh-CN"/>
        </w:rPr>
        <w:t>：选取两层钨钼合金多层材料开展实验验证，加热温度覆盖室温~153</w:t>
      </w:r>
      <w:r>
        <w:rPr>
          <w:rFonts w:hint="eastAsia" w:cs="Times New Roman"/>
          <w:bCs/>
          <w:szCs w:val="36"/>
          <w:lang w:val="zh-CN"/>
        </w:rPr>
        <w:t>1</w:t>
      </w:r>
      <w:r>
        <w:rPr>
          <w:rFonts w:cs="Times New Roman"/>
          <w:bCs/>
          <w:szCs w:val="36"/>
          <w:lang w:val="zh-CN"/>
        </w:rPr>
        <w:t>K，满足1500K的指标要求。与热电偶实测数据对比，5个测点平均温度反演相对误差≤10%，温度-厚度联合反演的温度误差≤15%、厚度误差≤5%，均优于指标要求。</w:t>
      </w:r>
    </w:p>
    <w:p w14:paraId="7449D8DF">
      <w:pPr>
        <w:ind w:firstLine="482" w:firstLineChars="200"/>
        <w:rPr>
          <w:rFonts w:cs="Times New Roman"/>
          <w:bCs/>
          <w:szCs w:val="36"/>
          <w:lang w:val="zh-CN"/>
        </w:rPr>
      </w:pPr>
      <w:r>
        <w:rPr>
          <w:rFonts w:cs="Times New Roman"/>
          <w:b/>
          <w:bCs/>
          <w:szCs w:val="36"/>
          <w:lang w:val="zh-CN"/>
        </w:rPr>
        <w:t>效率优势显著</w:t>
      </w:r>
      <w:r>
        <w:rPr>
          <w:rFonts w:cs="Times New Roman"/>
          <w:bCs/>
          <w:szCs w:val="36"/>
          <w:lang w:val="zh-CN"/>
        </w:rPr>
        <w:t>：BO+FD、PSO+CG算法效率均优于共轭梯度法、灵敏度法、最速下降法等经典优化方法，满足工程应用效率要求。</w:t>
      </w:r>
    </w:p>
    <w:p w14:paraId="5011E982">
      <w:pPr>
        <w:ind w:firstLine="482" w:firstLineChars="200"/>
        <w:rPr>
          <w:rFonts w:cs="Times New Roman"/>
          <w:b/>
          <w:bCs/>
          <w:szCs w:val="36"/>
          <w:lang w:val="zh-CN"/>
        </w:rPr>
      </w:pPr>
      <w:r>
        <w:rPr>
          <w:rFonts w:cs="Times New Roman"/>
          <w:b/>
          <w:bCs/>
          <w:szCs w:val="36"/>
          <w:lang w:val="zh-CN"/>
        </w:rPr>
        <w:t>（</w:t>
      </w:r>
      <w:r>
        <w:rPr>
          <w:rFonts w:cs="Times New Roman"/>
          <w:b/>
          <w:bCs/>
          <w:szCs w:val="36"/>
        </w:rPr>
        <w:t>3</w:t>
      </w:r>
      <w:r>
        <w:rPr>
          <w:rFonts w:cs="Times New Roman"/>
          <w:b/>
          <w:bCs/>
          <w:szCs w:val="36"/>
          <w:lang w:val="zh-CN"/>
        </w:rPr>
        <w:t xml:space="preserve">）基于人工智能的温度场反演模块 </w:t>
      </w:r>
    </w:p>
    <w:p w14:paraId="5A37FBDD">
      <w:pPr>
        <w:ind w:firstLine="480" w:firstLineChars="200"/>
        <w:rPr>
          <w:rFonts w:cs="Times New Roman"/>
          <w:bCs/>
          <w:szCs w:val="36"/>
          <w:lang w:val="zh-CN"/>
        </w:rPr>
      </w:pPr>
      <w:r>
        <w:rPr>
          <w:rFonts w:cs="Times New Roman"/>
          <w:bCs/>
          <w:szCs w:val="36"/>
          <w:lang w:val="zh-CN"/>
        </w:rPr>
        <w:t>完成全流程功能开发与验证：可基于热声固耦合模块生成的仿真数据构建声学参数-温度场映射数据库，支持预训练模型加载、离线推理、在线增量训练与跨材料迁移适配；推理效率较传统优化算法提升显著，结合物理约束可实现毫秒级温度场输出，反演精度满足指标要求。</w:t>
      </w:r>
    </w:p>
    <w:p w14:paraId="30C62CBF">
      <w:pPr>
        <w:ind w:firstLine="482" w:firstLineChars="200"/>
        <w:rPr>
          <w:rFonts w:cs="Times New Roman"/>
          <w:b/>
          <w:bCs/>
          <w:szCs w:val="36"/>
          <w:lang w:val="zh-CN"/>
        </w:rPr>
      </w:pPr>
      <w:r>
        <w:rPr>
          <w:rFonts w:cs="Times New Roman"/>
          <w:b/>
          <w:bCs/>
          <w:szCs w:val="36"/>
          <w:lang w:val="zh-CN"/>
        </w:rPr>
        <w:t>（</w:t>
      </w:r>
      <w:r>
        <w:rPr>
          <w:rFonts w:cs="Times New Roman"/>
          <w:b/>
          <w:bCs/>
          <w:szCs w:val="36"/>
        </w:rPr>
        <w:t>4</w:t>
      </w:r>
      <w:r>
        <w:rPr>
          <w:rFonts w:cs="Times New Roman"/>
          <w:b/>
          <w:bCs/>
          <w:szCs w:val="36"/>
          <w:lang w:val="zh-CN"/>
        </w:rPr>
        <w:t xml:space="preserve">）实验测试检验 </w:t>
      </w:r>
    </w:p>
    <w:p w14:paraId="3DAF5E99">
      <w:pPr>
        <w:ind w:firstLine="480" w:firstLineChars="200"/>
        <w:rPr>
          <w:rFonts w:cs="Times New Roman"/>
          <w:bCs/>
          <w:szCs w:val="36"/>
          <w:lang w:val="zh-CN"/>
        </w:rPr>
      </w:pPr>
      <w:r>
        <w:rPr>
          <w:rFonts w:cs="Times New Roman"/>
          <w:bCs/>
          <w:szCs w:val="36"/>
          <w:lang w:val="zh-CN"/>
        </w:rPr>
        <w:t>完成高温超声测试系统搭建，配备氧乙炔烧蚀机（最高加热温度2000℃以上）、500MHz带宽混合信号示波器、2.25MHz高频耐高温超声换能器、多路温度测试仪等设备，实现室温~1500K范围的超声信号稳定采集。已完成100mm×</w:t>
      </w:r>
      <w:r>
        <w:rPr>
          <w:rFonts w:cs="Times New Roman"/>
          <w:bCs/>
          <w:szCs w:val="36"/>
        </w:rPr>
        <w:t>100mm</w:t>
      </w:r>
      <w:r>
        <w:rPr>
          <w:rFonts w:cs="Times New Roman"/>
          <w:bCs/>
          <w:szCs w:val="36"/>
          <w:lang w:val="zh-CN"/>
        </w:rPr>
        <w:t>×20mm钨钼合金多层试件的稳态、瞬态超声测试，自动提取声时、幅值相对衰减等特征参数，为多参数反演、AI重构模块提供了可靠的实测数据支撑。</w:t>
      </w:r>
    </w:p>
    <w:p w14:paraId="0BCCEACD">
      <w:pPr>
        <w:ind w:firstLine="480" w:firstLineChars="200"/>
      </w:pPr>
      <w:r>
        <w:rPr>
          <w:rFonts w:cs="Times New Roman"/>
          <w:bCs/>
          <w:szCs w:val="36"/>
        </w:rPr>
        <w:t>小结：项目研究内容</w:t>
      </w:r>
      <w:r>
        <w:rPr>
          <w:rFonts w:cs="Times New Roman"/>
          <w:bCs/>
          <w:szCs w:val="36"/>
          <w:lang w:val="zh-CN"/>
        </w:rPr>
        <w:t>覆盖全部功能点与性能指标，所有</w:t>
      </w:r>
      <w:r>
        <w:rPr>
          <w:rFonts w:cs="Times New Roman"/>
          <w:bCs/>
          <w:szCs w:val="36"/>
        </w:rPr>
        <w:t>研究模块</w:t>
      </w:r>
      <w:r>
        <w:rPr>
          <w:rFonts w:cs="Times New Roman"/>
          <w:bCs/>
          <w:szCs w:val="36"/>
          <w:lang w:val="zh-CN"/>
        </w:rPr>
        <w:t>均满足合同及任务书要求：热声固耦合精度、反演误差、算法效率、兼容性、实验温度范围等核心指标均达标。研发的整套理论与方法可为热防护结构、高温装备等场景的复合材料内部温度场监测提供非侵入式解决方案，项目完成质量符合预期。</w:t>
      </w:r>
    </w:p>
    <w:p w14:paraId="4F587E6F">
      <w:pPr>
        <w:pStyle w:val="2"/>
      </w:pPr>
      <w:bookmarkStart w:id="165" w:name="_Toc235910503"/>
      <w:r>
        <w:t>合同变更及经济技术签证情况</w:t>
      </w:r>
      <w:bookmarkEnd w:id="165"/>
    </w:p>
    <w:p w14:paraId="10F73880">
      <w:pPr>
        <w:pStyle w:val="3"/>
      </w:pPr>
      <w:r>
        <w:rPr>
          <w:rFonts w:hint="eastAsia"/>
        </w:rPr>
        <w:t>无</w:t>
      </w:r>
    </w:p>
    <w:p w14:paraId="773F479C">
      <w:pPr>
        <w:pStyle w:val="2"/>
      </w:pPr>
      <w:bookmarkStart w:id="166" w:name="_Toc235910504"/>
      <w:r>
        <w:t>合同进度款支付情况</w:t>
      </w:r>
      <w:bookmarkEnd w:id="166"/>
    </w:p>
    <w:p w14:paraId="51AB25F4">
      <w:pPr>
        <w:pStyle w:val="3"/>
      </w:pPr>
      <w:r>
        <w:rPr>
          <w:rFonts w:hint="eastAsia"/>
        </w:rPr>
        <w:t>本项目合同含税总价为人民币伍拾壹万伍仟元整（¥515,000.00），其中不含税金额为人民币伍拾万元整（¥500,000.00），税费为人民币壹万伍仟元整（¥15,000.00），开票税率为3%，税金计取方式为一般计税方法。项目合同金额在实施过程中未发生调整。</w:t>
      </w:r>
      <w:r>
        <w:t>合同进度款支付情况</w:t>
      </w:r>
      <w:r>
        <w:rPr>
          <w:rFonts w:hint="eastAsia"/>
        </w:rPr>
        <w:t>见</w:t>
      </w:r>
      <w:r>
        <w:fldChar w:fldCharType="begin"/>
      </w:r>
      <w:r>
        <w:instrText xml:space="preserve"> </w:instrText>
      </w:r>
      <w:r>
        <w:rPr>
          <w:rFonts w:hint="eastAsia"/>
        </w:rPr>
        <w:instrText xml:space="preserve">REF _Ref235780760 \h</w:instrText>
      </w:r>
      <w:r>
        <w:instrText xml:space="preserve"> </w:instrText>
      </w:r>
      <w:r>
        <w:fldChar w:fldCharType="separate"/>
      </w:r>
      <w:r>
        <w:rPr>
          <w:rFonts w:hint="eastAsia"/>
        </w:rPr>
        <w:t xml:space="preserve">表 </w:t>
      </w:r>
      <w:r>
        <w:t>8</w:t>
      </w:r>
      <w:r>
        <w:noBreakHyphen/>
      </w:r>
      <w:r>
        <w:t>1</w:t>
      </w:r>
      <w:r>
        <w:fldChar w:fldCharType="end"/>
      </w:r>
      <w:r>
        <w:rPr>
          <w:rFonts w:hint="eastAsia"/>
        </w:rPr>
        <w:t>。</w:t>
      </w:r>
    </w:p>
    <w:p w14:paraId="2DDBEC44">
      <w:pPr>
        <w:pStyle w:val="33"/>
      </w:pPr>
      <w:bookmarkStart w:id="167" w:name="_Ref23578076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8</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167"/>
      <w:r>
        <w:rPr>
          <w:rFonts w:hint="eastAsia"/>
        </w:rPr>
        <w:t xml:space="preserve"> </w:t>
      </w:r>
      <w:r>
        <w:t>合同进度款支付情况</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0"/>
        <w:gridCol w:w="2440"/>
        <w:gridCol w:w="953"/>
        <w:gridCol w:w="821"/>
        <w:gridCol w:w="3046"/>
        <w:gridCol w:w="844"/>
      </w:tblGrid>
      <w:tr w14:paraId="05AE8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noWrap/>
            <w:vAlign w:val="center"/>
          </w:tcPr>
          <w:p w14:paraId="6903B262">
            <w:pPr>
              <w:pStyle w:val="33"/>
            </w:pPr>
            <w:r>
              <w:t>序号</w:t>
            </w:r>
          </w:p>
        </w:tc>
        <w:tc>
          <w:tcPr>
            <w:tcW w:w="2440" w:type="dxa"/>
            <w:noWrap/>
            <w:vAlign w:val="center"/>
          </w:tcPr>
          <w:p w14:paraId="4DDF56F5">
            <w:pPr>
              <w:pStyle w:val="33"/>
            </w:pPr>
            <w:r>
              <w:t>付款条件</w:t>
            </w:r>
          </w:p>
        </w:tc>
        <w:tc>
          <w:tcPr>
            <w:tcW w:w="953" w:type="dxa"/>
            <w:noWrap/>
            <w:vAlign w:val="center"/>
          </w:tcPr>
          <w:p w14:paraId="0C17CA6D">
            <w:pPr>
              <w:pStyle w:val="33"/>
            </w:pPr>
            <w:r>
              <w:t>付款比例</w:t>
            </w:r>
          </w:p>
        </w:tc>
        <w:tc>
          <w:tcPr>
            <w:tcW w:w="821" w:type="dxa"/>
            <w:noWrap/>
            <w:vAlign w:val="center"/>
          </w:tcPr>
          <w:p w14:paraId="07BD6DC6">
            <w:pPr>
              <w:pStyle w:val="33"/>
            </w:pPr>
            <w:r>
              <w:t>付款金额（元）</w:t>
            </w:r>
          </w:p>
        </w:tc>
        <w:tc>
          <w:tcPr>
            <w:tcW w:w="3046" w:type="dxa"/>
            <w:noWrap/>
            <w:vAlign w:val="center"/>
          </w:tcPr>
          <w:p w14:paraId="092904EC">
            <w:pPr>
              <w:pStyle w:val="33"/>
            </w:pPr>
            <w:r>
              <w:rPr>
                <w:rFonts w:hint="eastAsia"/>
              </w:rPr>
              <w:t>支付情况</w:t>
            </w:r>
          </w:p>
        </w:tc>
        <w:tc>
          <w:tcPr>
            <w:tcW w:w="844" w:type="dxa"/>
            <w:vAlign w:val="center"/>
          </w:tcPr>
          <w:p w14:paraId="6615F6AB">
            <w:pPr>
              <w:pStyle w:val="33"/>
              <w:rPr>
                <w:rFonts w:hint="eastAsia"/>
              </w:rPr>
            </w:pPr>
            <w:r>
              <w:rPr>
                <w:rFonts w:hint="eastAsia"/>
              </w:rPr>
              <w:t>支付时间</w:t>
            </w:r>
          </w:p>
        </w:tc>
      </w:tr>
      <w:tr w14:paraId="122E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noWrap/>
            <w:vAlign w:val="center"/>
          </w:tcPr>
          <w:p w14:paraId="13EB7246">
            <w:pPr>
              <w:pStyle w:val="33"/>
            </w:pPr>
            <w:r>
              <w:t>1</w:t>
            </w:r>
          </w:p>
        </w:tc>
        <w:tc>
          <w:tcPr>
            <w:tcW w:w="2440" w:type="dxa"/>
            <w:noWrap/>
            <w:vAlign w:val="center"/>
          </w:tcPr>
          <w:p w14:paraId="4A8BA77E">
            <w:pPr>
              <w:pStyle w:val="33"/>
            </w:pPr>
            <w:r>
              <w:t>合同生效且实施方案评审通过后支付</w:t>
            </w:r>
          </w:p>
        </w:tc>
        <w:tc>
          <w:tcPr>
            <w:tcW w:w="953" w:type="dxa"/>
            <w:noWrap/>
            <w:vAlign w:val="center"/>
          </w:tcPr>
          <w:p w14:paraId="6AA57239">
            <w:pPr>
              <w:pStyle w:val="33"/>
            </w:pPr>
            <w:r>
              <w:t>30%</w:t>
            </w:r>
          </w:p>
        </w:tc>
        <w:tc>
          <w:tcPr>
            <w:tcW w:w="821" w:type="dxa"/>
            <w:noWrap/>
            <w:vAlign w:val="center"/>
          </w:tcPr>
          <w:p w14:paraId="681BF2A9">
            <w:pPr>
              <w:pStyle w:val="33"/>
            </w:pPr>
            <w:r>
              <w:t>154,500.00</w:t>
            </w:r>
          </w:p>
        </w:tc>
        <w:tc>
          <w:tcPr>
            <w:tcW w:w="3046" w:type="dxa"/>
            <w:noWrap/>
            <w:vAlign w:val="center"/>
          </w:tcPr>
          <w:p w14:paraId="13392433">
            <w:pPr>
              <w:pStyle w:val="33"/>
            </w:pPr>
            <w:r>
              <w:t>实施方案完成并通过专家评审</w:t>
            </w:r>
          </w:p>
        </w:tc>
        <w:tc>
          <w:tcPr>
            <w:tcW w:w="844" w:type="dxa"/>
            <w:vAlign w:val="center"/>
          </w:tcPr>
          <w:p w14:paraId="17BE35DE">
            <w:pPr>
              <w:pStyle w:val="33"/>
              <w:rPr>
                <w:rFonts w:hint="eastAsia"/>
              </w:rPr>
            </w:pPr>
            <w:r>
              <w:t>2026</w:t>
            </w:r>
            <w:r>
              <w:rPr>
                <w:rFonts w:hint="eastAsia"/>
              </w:rPr>
              <w:t>.</w:t>
            </w:r>
            <w:r>
              <w:t>04</w:t>
            </w:r>
            <w:r>
              <w:rPr>
                <w:rFonts w:hint="eastAsia"/>
              </w:rPr>
              <w:t>.</w:t>
            </w:r>
            <w:r>
              <w:t>03</w:t>
            </w:r>
            <w:r>
              <w:rPr>
                <w:rFonts w:hint="eastAsia"/>
              </w:rPr>
              <w:t>.</w:t>
            </w:r>
          </w:p>
        </w:tc>
      </w:tr>
      <w:tr w14:paraId="011A4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noWrap/>
            <w:vAlign w:val="center"/>
          </w:tcPr>
          <w:p w14:paraId="1B28A612">
            <w:pPr>
              <w:pStyle w:val="33"/>
            </w:pPr>
            <w:r>
              <w:t>2</w:t>
            </w:r>
          </w:p>
        </w:tc>
        <w:tc>
          <w:tcPr>
            <w:tcW w:w="2440" w:type="dxa"/>
            <w:noWrap/>
            <w:vAlign w:val="center"/>
          </w:tcPr>
          <w:p w14:paraId="0177C2DB">
            <w:pPr>
              <w:pStyle w:val="33"/>
            </w:pPr>
            <w:r>
              <w:t>项目通过合同验收后支付，同时无息退还履约担保金</w:t>
            </w:r>
            <w:r>
              <w:rPr>
                <w:rFonts w:hint="eastAsia"/>
              </w:rPr>
              <w:t>(合同金额的5%)</w:t>
            </w:r>
          </w:p>
        </w:tc>
        <w:tc>
          <w:tcPr>
            <w:tcW w:w="953" w:type="dxa"/>
            <w:noWrap/>
            <w:vAlign w:val="center"/>
          </w:tcPr>
          <w:p w14:paraId="6A7AF584">
            <w:pPr>
              <w:pStyle w:val="33"/>
            </w:pPr>
            <w:r>
              <w:t>67%</w:t>
            </w:r>
          </w:p>
        </w:tc>
        <w:tc>
          <w:tcPr>
            <w:tcW w:w="821" w:type="dxa"/>
            <w:noWrap/>
            <w:vAlign w:val="center"/>
          </w:tcPr>
          <w:p w14:paraId="0A29BE5F">
            <w:pPr>
              <w:pStyle w:val="33"/>
            </w:pPr>
            <w:r>
              <w:t>345,050.00</w:t>
            </w:r>
          </w:p>
        </w:tc>
        <w:tc>
          <w:tcPr>
            <w:tcW w:w="3046" w:type="dxa"/>
            <w:noWrap/>
            <w:vAlign w:val="center"/>
          </w:tcPr>
          <w:p w14:paraId="7E78F349">
            <w:pPr>
              <w:pStyle w:val="33"/>
            </w:pPr>
            <w:r>
              <w:t>完成理论研究、程序开发、程序测试、试验验证、数据分析和成果交付，并通过合同验收</w:t>
            </w:r>
          </w:p>
        </w:tc>
        <w:tc>
          <w:tcPr>
            <w:tcW w:w="844" w:type="dxa"/>
            <w:vAlign w:val="center"/>
          </w:tcPr>
          <w:p w14:paraId="6B6642C7">
            <w:pPr>
              <w:pStyle w:val="33"/>
              <w:rPr>
                <w:rFonts w:hint="eastAsia"/>
              </w:rPr>
            </w:pPr>
            <w:r>
              <w:rPr>
                <w:rFonts w:hint="eastAsia"/>
              </w:rPr>
              <w:t>未支付</w:t>
            </w:r>
          </w:p>
        </w:tc>
      </w:tr>
      <w:tr w14:paraId="69094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noWrap/>
            <w:vAlign w:val="center"/>
          </w:tcPr>
          <w:p w14:paraId="6745959A">
            <w:pPr>
              <w:pStyle w:val="33"/>
            </w:pPr>
            <w:r>
              <w:t>3</w:t>
            </w:r>
          </w:p>
        </w:tc>
        <w:tc>
          <w:tcPr>
            <w:tcW w:w="2440" w:type="dxa"/>
            <w:noWrap/>
            <w:vAlign w:val="center"/>
          </w:tcPr>
          <w:p w14:paraId="738929FB">
            <w:pPr>
              <w:pStyle w:val="33"/>
            </w:pPr>
            <w:r>
              <w:t>质量保证期结束后一个月内支付</w:t>
            </w:r>
          </w:p>
        </w:tc>
        <w:tc>
          <w:tcPr>
            <w:tcW w:w="953" w:type="dxa"/>
            <w:noWrap/>
            <w:vAlign w:val="center"/>
          </w:tcPr>
          <w:p w14:paraId="701C8335">
            <w:pPr>
              <w:pStyle w:val="33"/>
            </w:pPr>
            <w:r>
              <w:t>3%</w:t>
            </w:r>
          </w:p>
        </w:tc>
        <w:tc>
          <w:tcPr>
            <w:tcW w:w="821" w:type="dxa"/>
            <w:noWrap/>
            <w:vAlign w:val="center"/>
          </w:tcPr>
          <w:p w14:paraId="10E2805E">
            <w:pPr>
              <w:pStyle w:val="33"/>
            </w:pPr>
            <w:r>
              <w:t>15,450.00</w:t>
            </w:r>
          </w:p>
        </w:tc>
        <w:tc>
          <w:tcPr>
            <w:tcW w:w="3046" w:type="dxa"/>
            <w:noWrap/>
            <w:vAlign w:val="center"/>
          </w:tcPr>
          <w:p w14:paraId="5C635037">
            <w:pPr>
              <w:pStyle w:val="33"/>
            </w:pPr>
            <w:r>
              <w:t>自项目验收合格之日起满1年质量保证期</w:t>
            </w:r>
          </w:p>
        </w:tc>
        <w:tc>
          <w:tcPr>
            <w:tcW w:w="844" w:type="dxa"/>
            <w:vAlign w:val="center"/>
          </w:tcPr>
          <w:p w14:paraId="5FB3B15F">
            <w:pPr>
              <w:pStyle w:val="33"/>
            </w:pPr>
            <w:r>
              <w:rPr>
                <w:rFonts w:hint="eastAsia"/>
              </w:rPr>
              <w:t>未支付</w:t>
            </w:r>
          </w:p>
        </w:tc>
      </w:tr>
      <w:tr w14:paraId="4F310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noWrap/>
            <w:vAlign w:val="center"/>
          </w:tcPr>
          <w:p w14:paraId="23B8E1E1">
            <w:pPr>
              <w:pStyle w:val="33"/>
            </w:pPr>
          </w:p>
        </w:tc>
        <w:tc>
          <w:tcPr>
            <w:tcW w:w="2440" w:type="dxa"/>
            <w:noWrap/>
            <w:vAlign w:val="center"/>
          </w:tcPr>
          <w:p w14:paraId="06BE3D93">
            <w:pPr>
              <w:pStyle w:val="33"/>
            </w:pPr>
            <w:r>
              <w:t>合计</w:t>
            </w:r>
          </w:p>
        </w:tc>
        <w:tc>
          <w:tcPr>
            <w:tcW w:w="953" w:type="dxa"/>
            <w:noWrap/>
            <w:vAlign w:val="center"/>
          </w:tcPr>
          <w:p w14:paraId="4B4CD2CB">
            <w:pPr>
              <w:pStyle w:val="33"/>
            </w:pPr>
            <w:r>
              <w:t>100%</w:t>
            </w:r>
          </w:p>
        </w:tc>
        <w:tc>
          <w:tcPr>
            <w:tcW w:w="4711" w:type="dxa"/>
            <w:gridSpan w:val="3"/>
            <w:noWrap/>
            <w:vAlign w:val="center"/>
          </w:tcPr>
          <w:p w14:paraId="5953BEB3">
            <w:pPr>
              <w:pStyle w:val="33"/>
            </w:pPr>
            <w:r>
              <w:t>515,000.00</w:t>
            </w:r>
          </w:p>
        </w:tc>
      </w:tr>
    </w:tbl>
    <w:p w14:paraId="5DAA2F05">
      <w:pPr>
        <w:pStyle w:val="33"/>
      </w:pPr>
      <w:r>
        <w:drawing>
          <wp:inline distT="0" distB="0" distL="0" distR="0">
            <wp:extent cx="5400040" cy="3583305"/>
            <wp:effectExtent l="0" t="0" r="0" b="0"/>
            <wp:docPr id="291060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60123" name="图片 1"/>
                    <pic:cNvPicPr>
                      <a:picLocks noChangeAspect="1"/>
                    </pic:cNvPicPr>
                  </pic:nvPicPr>
                  <pic:blipFill>
                    <a:blip r:embed="rId85"/>
                    <a:stretch>
                      <a:fillRect/>
                    </a:stretch>
                  </pic:blipFill>
                  <pic:spPr>
                    <a:xfrm>
                      <a:off x="0" y="0"/>
                      <a:ext cx="5400040" cy="3583305"/>
                    </a:xfrm>
                    <a:prstGeom prst="rect">
                      <a:avLst/>
                    </a:prstGeom>
                  </pic:spPr>
                </pic:pic>
              </a:graphicData>
            </a:graphic>
          </wp:inline>
        </w:drawing>
      </w:r>
    </w:p>
    <w:p w14:paraId="2D91CFCF">
      <w:pPr>
        <w:pStyle w:val="33"/>
      </w:pPr>
      <w:r>
        <w:drawing>
          <wp:inline distT="0" distB="0" distL="0" distR="0">
            <wp:extent cx="5400040" cy="2581275"/>
            <wp:effectExtent l="0" t="0" r="0" b="9525"/>
            <wp:docPr id="1722533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33136" name="图片 1"/>
                    <pic:cNvPicPr>
                      <a:picLocks noChangeAspect="1"/>
                    </pic:cNvPicPr>
                  </pic:nvPicPr>
                  <pic:blipFill>
                    <a:blip r:embed="rId86"/>
                    <a:stretch>
                      <a:fillRect/>
                    </a:stretch>
                  </pic:blipFill>
                  <pic:spPr>
                    <a:xfrm>
                      <a:off x="0" y="0"/>
                      <a:ext cx="5400040" cy="2581275"/>
                    </a:xfrm>
                    <a:prstGeom prst="rect">
                      <a:avLst/>
                    </a:prstGeom>
                  </pic:spPr>
                </pic:pic>
              </a:graphicData>
            </a:graphic>
          </wp:inline>
        </w:drawing>
      </w:r>
    </w:p>
    <w:p w14:paraId="56F07B13">
      <w:pPr>
        <w:widowControl/>
        <w:spacing w:line="240" w:lineRule="auto"/>
        <w:contextualSpacing w:val="0"/>
        <w:jc w:val="left"/>
      </w:pPr>
      <w:r>
        <w:br w:type="page"/>
      </w:r>
    </w:p>
    <w:p w14:paraId="272A1043">
      <w:pPr>
        <w:pStyle w:val="2"/>
      </w:pPr>
      <w:bookmarkStart w:id="168" w:name="_Toc235910505"/>
      <w:r>
        <w:rPr>
          <w:rFonts w:hint="eastAsia"/>
        </w:rPr>
        <w:t>参考文献</w:t>
      </w:r>
      <w:bookmarkEnd w:id="168"/>
    </w:p>
    <w:p w14:paraId="5A4B62B5">
      <w:pPr>
        <w:pStyle w:val="31"/>
        <w:numPr>
          <w:ilvl w:val="0"/>
          <w:numId w:val="6"/>
        </w:numPr>
      </w:pPr>
      <w:bookmarkStart w:id="169" w:name="_Ref235907918"/>
      <w:r>
        <w:t>张锐,石友安,魏东,等.超声固体测温中波速与温度的相关性试验[J].无损检测,2021,43(7):1-4+12.</w:t>
      </w:r>
      <w:bookmarkEnd w:id="169"/>
    </w:p>
    <w:p w14:paraId="5DCEA65F">
      <w:pPr>
        <w:pStyle w:val="31"/>
        <w:numPr>
          <w:ilvl w:val="0"/>
          <w:numId w:val="6"/>
        </w:numPr>
      </w:pPr>
      <w:bookmarkStart w:id="170" w:name="_Ref235907970"/>
      <w:r>
        <w:rPr>
          <w:rFonts w:hint="eastAsia"/>
        </w:rPr>
        <w:t>石友安, 魏东, 桂业伟, 等. 超声测量结构内部瞬态温度场的重建方法研究[J]. 中国科学: 技术科学, 2016, 46(5): 509-517. DOI: 10.1360/N092015-00353.</w:t>
      </w:r>
      <w:bookmarkEnd w:id="170"/>
    </w:p>
    <w:p w14:paraId="0F0B93F1">
      <w:pPr>
        <w:pStyle w:val="31"/>
        <w:numPr>
          <w:ilvl w:val="0"/>
          <w:numId w:val="6"/>
        </w:numPr>
      </w:pPr>
      <w:bookmarkStart w:id="171" w:name="_Ref235908036"/>
      <w:r>
        <w:rPr>
          <w:rFonts w:hint="eastAsia"/>
        </w:rPr>
        <w:t>施超, 胡斌, 梁晓瑜. 基于超声波的结构内部温度场重建方法研究[J]. 机械工程学报, 2017, 53(12): 44-51. DOI: 10.3901/JME.2017.12.044.</w:t>
      </w:r>
      <w:bookmarkEnd w:id="171"/>
    </w:p>
    <w:p w14:paraId="45DCFA27">
      <w:pPr>
        <w:pStyle w:val="31"/>
        <w:numPr>
          <w:ilvl w:val="0"/>
          <w:numId w:val="6"/>
        </w:numPr>
      </w:pPr>
      <w:bookmarkStart w:id="172" w:name="_Ref235908073"/>
      <w:r>
        <w:rPr>
          <w:rFonts w:hint="eastAsia"/>
        </w:rPr>
        <w:t>魏东, 石友安, 胡斌, 等. 电磁超声法测量结构内部温度场的试验研究[J]. 机械工程学报, 2019, 55(6): 93-99. DOI: 10.3901/JME.2019.06.093.</w:t>
      </w:r>
      <w:bookmarkEnd w:id="172"/>
    </w:p>
    <w:p w14:paraId="3A7BC7BD">
      <w:pPr>
        <w:pStyle w:val="31"/>
        <w:numPr>
          <w:ilvl w:val="0"/>
          <w:numId w:val="6"/>
        </w:numPr>
      </w:pPr>
      <w:bookmarkStart w:id="173" w:name="_Ref235908155"/>
      <w:r>
        <w:rPr>
          <w:rFonts w:hint="eastAsia"/>
        </w:rPr>
        <w:t>张锐, 石友安, 魏东, 等. 超声固体测温中波速与温度的相关性试验[J]. 无损检测, 2021, 43(7): 1-4, 12. DOI: 10.11973/wsjc202107001.</w:t>
      </w:r>
      <w:bookmarkEnd w:id="173"/>
    </w:p>
    <w:p w14:paraId="5A10AE2E">
      <w:pPr>
        <w:pStyle w:val="31"/>
        <w:numPr>
          <w:ilvl w:val="0"/>
          <w:numId w:val="6"/>
        </w:numPr>
      </w:pPr>
      <w:r>
        <w:rPr>
          <w:rFonts w:hint="eastAsia"/>
        </w:rPr>
        <w:t>石文泽, 童艳山, 卢超, 等. 高温铸锻件内部温度场电磁超声重构方法研究[J]. 仪器仪表学报, 2021, 42(8): 218-229.</w:t>
      </w:r>
    </w:p>
    <w:p w14:paraId="3D8B834B">
      <w:pPr>
        <w:pStyle w:val="31"/>
        <w:numPr>
          <w:ilvl w:val="0"/>
          <w:numId w:val="6"/>
        </w:numPr>
      </w:pPr>
      <w:r>
        <w:rPr>
          <w:rFonts w:hint="eastAsia"/>
        </w:rPr>
        <w:t>史思琪, 李飞龙, 金士杰, 等. C/SiC复合材料空气耦合超声检测数值模拟[J]. 复合材料学报, 2021, 38(11): 3737-3746. DOI: 10.13801/j.cnki.fhclxb.20210115.003.</w:t>
      </w:r>
    </w:p>
    <w:p w14:paraId="16362B43">
      <w:pPr>
        <w:pStyle w:val="31"/>
        <w:numPr>
          <w:ilvl w:val="0"/>
          <w:numId w:val="6"/>
        </w:numPr>
      </w:pPr>
      <w:r>
        <w:rPr>
          <w:rFonts w:hint="eastAsia"/>
        </w:rPr>
        <w:t>余波, 甘子玉, 张森林, 等. 基于物理信息神经网络预测2D/3D非稳态温度场及热源[J]. 工程力学, 2025, 42(10): 12-24. DOI: 10.6052/j.issn.1000-4750.2023.04.0282.</w:t>
      </w:r>
    </w:p>
    <w:p w14:paraId="3898444B">
      <w:pPr>
        <w:pStyle w:val="31"/>
        <w:numPr>
          <w:ilvl w:val="0"/>
          <w:numId w:val="6"/>
        </w:numPr>
      </w:pPr>
      <w:bookmarkStart w:id="174" w:name="_Ref235908660"/>
      <w:r>
        <w:t>MOSER F, JACOBS L J, QU J. Modeling elastic wave propagation in waveguides with the finite element method[J]. NDT &amp; E International, 1999, 32(4): 225-234. DOI: 10.1016/S0963-8695(98)00045-0.</w:t>
      </w:r>
      <w:bookmarkEnd w:id="174"/>
    </w:p>
    <w:p w14:paraId="184A2737">
      <w:pPr>
        <w:pStyle w:val="31"/>
        <w:numPr>
          <w:ilvl w:val="0"/>
          <w:numId w:val="6"/>
        </w:numPr>
      </w:pPr>
      <w:bookmarkStart w:id="175" w:name="_Ref235908869"/>
      <w:r>
        <w:t>PINDERA M J, KHATAM H, DRAGO A S, et al. Micromechanics of spatially uniform heterogeneous media: A critical review and emerging approaches[J]. Composites Part B: Engineering, 2009, 40(5): 349-378. DOI: 10.1016/j.compositesb.2009.03.007.</w:t>
      </w:r>
      <w:bookmarkEnd w:id="175"/>
    </w:p>
    <w:p w14:paraId="79695051">
      <w:pPr>
        <w:pStyle w:val="31"/>
        <w:numPr>
          <w:ilvl w:val="0"/>
          <w:numId w:val="6"/>
        </w:numPr>
      </w:pPr>
      <w:bookmarkStart w:id="176" w:name="_Ref235908890"/>
      <w:r>
        <w:t>NASLAIN R. Design, preparation and properties of non-oxide CMCs for application in engines and nuclear reactors: An overview[J]. Composites Science and Technology, 2004, 64(2): 155-170. DOI: 10.1016/S0266-3538(03)00230-6.</w:t>
      </w:r>
      <w:bookmarkEnd w:id="176"/>
    </w:p>
    <w:p w14:paraId="71470419">
      <w:pPr>
        <w:pStyle w:val="31"/>
        <w:numPr>
          <w:ilvl w:val="0"/>
          <w:numId w:val="6"/>
        </w:numPr>
      </w:pPr>
      <w:bookmarkStart w:id="177" w:name="_Ref235908897"/>
      <w:r>
        <w:t>TAKAHASHI M, IHARA I. Ultrasonic monitoring of internal temperature distribution in a heated material[J]. Japanese Journal of Applied Physics, 2008, 47(5): 3894-3898. DOI: 10.1143/JJAP.47.3894.</w:t>
      </w:r>
      <w:bookmarkEnd w:id="177"/>
    </w:p>
    <w:p w14:paraId="429A1EC1">
      <w:pPr>
        <w:pStyle w:val="31"/>
        <w:numPr>
          <w:ilvl w:val="0"/>
          <w:numId w:val="6"/>
        </w:numPr>
      </w:pPr>
      <w:bookmarkStart w:id="178" w:name="_Ref235908906"/>
      <w:r>
        <w:t>JIA Y, CHERNYSHEV V, SKLIAR M. Ultrasound measurements of segmental temperature distribution in solids: Method and its high-temperature validation[J]. Ultrasonics, 2016, 66: 91-102. DOI: 10.1016/j.ultras.2015.11.006.</w:t>
      </w:r>
      <w:bookmarkEnd w:id="178"/>
    </w:p>
    <w:p w14:paraId="2022B411">
      <w:pPr>
        <w:pStyle w:val="31"/>
        <w:numPr>
          <w:ilvl w:val="0"/>
          <w:numId w:val="6"/>
        </w:numPr>
      </w:pPr>
      <w:r>
        <w:t>WEI D, SHI Y A, SHOU B N, et al. Reconstruction of internal temperature distributions in heat materials by ultrasonic measurements[J]. Applied Thermal Engineering, 2017, 112: 38-44. DOI: 10.1016/j.applthermaleng.2016.09.169.</w:t>
      </w:r>
    </w:p>
    <w:p w14:paraId="5C6BC9F7">
      <w:pPr>
        <w:pStyle w:val="31"/>
        <w:numPr>
          <w:ilvl w:val="0"/>
          <w:numId w:val="6"/>
        </w:numPr>
      </w:pPr>
      <w:r>
        <w:t>CUI Y, XIANG J, WEI D, et al. A new ultrasonic method for synchronous measurement of internal temperature distributions and thickness in high-temperature structures[J]. Case Studies in Thermal Engineering, 2022, 39: 102417. DOI: 10.1016/j.csite.2022.102417.</w:t>
      </w:r>
    </w:p>
    <w:p w14:paraId="7DC35054">
      <w:pPr>
        <w:pStyle w:val="31"/>
        <w:numPr>
          <w:ilvl w:val="0"/>
          <w:numId w:val="6"/>
        </w:numPr>
      </w:pPr>
      <w:bookmarkStart w:id="179" w:name="_Ref235908988"/>
      <w:r>
        <w:t>FLETCHER R, REEVES C M. Function minimization by conjugate gradients[J]. The Computer Journal, 1964, 7(2): 149-154. DOI: 10.1093/comjnl/7.2.149.</w:t>
      </w:r>
      <w:bookmarkEnd w:id="179"/>
    </w:p>
    <w:p w14:paraId="601BF2D9">
      <w:pPr>
        <w:pStyle w:val="31"/>
        <w:numPr>
          <w:ilvl w:val="0"/>
          <w:numId w:val="6"/>
        </w:numPr>
      </w:pPr>
      <w:bookmarkStart w:id="180" w:name="_Ref235908995"/>
      <w:r>
        <w:t>KENNEDY J, EBERHART R. Particle swarm optimization[C]//Proceedings of ICNN’95—International Conference on Neural Networks. Perth: IEEE, 1995, 4: 1942-1948. DOI: 10.1109/ICNN.1995.488968.</w:t>
      </w:r>
      <w:bookmarkEnd w:id="180"/>
    </w:p>
    <w:p w14:paraId="5E6706AD">
      <w:pPr>
        <w:pStyle w:val="31"/>
        <w:numPr>
          <w:ilvl w:val="0"/>
          <w:numId w:val="6"/>
        </w:numPr>
      </w:pPr>
      <w:bookmarkStart w:id="181" w:name="_Ref235909005"/>
      <w:r>
        <w:t>JONES D R, SCHONLAU M, WELCH W J. Efficient global optimization of expensive black-box functions[J]. Journal of Global Optimization, 1998, 13(4): 455-492. DOI: 10.1023/A:1008306431147.</w:t>
      </w:r>
      <w:bookmarkEnd w:id="181"/>
    </w:p>
    <w:p w14:paraId="66B2BEE7">
      <w:pPr>
        <w:pStyle w:val="31"/>
        <w:numPr>
          <w:ilvl w:val="0"/>
          <w:numId w:val="6"/>
        </w:numPr>
      </w:pPr>
      <w:r>
        <w:t>HOCHREITER S, SCHMIDHUBER J. Long short-term memory[J]. Neural Computation, 1997, 9(8): 1735-1780. DOI: 10.1162/neco.1997.9.8.1735.</w:t>
      </w:r>
    </w:p>
    <w:p w14:paraId="64D708CE">
      <w:pPr>
        <w:pStyle w:val="31"/>
        <w:numPr>
          <w:ilvl w:val="0"/>
          <w:numId w:val="6"/>
        </w:numPr>
      </w:pPr>
      <w:r>
        <w:t xml:space="preserve"> RAISSI M, PERDIKARIS P, KARNIADAKIS G E. Physics-informed neural networks: A deep learning framework for solving forward and inverse problems involving nonlinear partial differential equations[J]. Journal of Computational Physics, 2019, 378: 686-707. DOI: 10.1016/j.jcp.2018.10.045.</w:t>
      </w:r>
    </w:p>
    <w:p w14:paraId="3EE7A2C2">
      <w:pPr>
        <w:pStyle w:val="31"/>
        <w:numPr>
          <w:ilvl w:val="0"/>
          <w:numId w:val="6"/>
        </w:numPr>
      </w:pPr>
      <w:r>
        <w:t>ZHAO X, GONG Z, ZHANG Y, et al. Physics-informed convolutional neural networks for temperature field prediction of heat source layout without labeled data[J]. Engineering Applications of Artificial Intelligence, 2023, 117: 105516. DOI: 10.1016/j.engappai.2022.105516</w:t>
      </w:r>
    </w:p>
    <w:p w14:paraId="0ED02A1C">
      <w:pPr>
        <w:pStyle w:val="31"/>
        <w:numPr>
          <w:ilvl w:val="0"/>
          <w:numId w:val="6"/>
        </w:numPr>
      </w:pPr>
      <w:bookmarkStart w:id="182" w:name="_Ref235907806"/>
      <w:r>
        <w:t>LEDBETTER H M, DATTA S K. Effective wave speeds in an SiC-particle-reinforced Al composite[J]. The Journal of the Acoustical Society of America, 1986, 79(2): 239-248. DOI: 10.1121/1.393565.</w:t>
      </w:r>
      <w:bookmarkEnd w:id="182"/>
    </w:p>
    <w:p w14:paraId="5AD5BE98">
      <w:pPr>
        <w:pStyle w:val="31"/>
        <w:numPr>
          <w:ilvl w:val="0"/>
          <w:numId w:val="6"/>
        </w:numPr>
      </w:pPr>
      <w:bookmarkStart w:id="183" w:name="_Ref235907809"/>
      <w:r>
        <w:t>BERRYMAN J G. Long-wavelength propagation in composite elastic media I: Spherical inclusions[J]. The Journal of the Acoustical Society of America, 1980, 68(6): 1809-1819. DOI: 10.1121/1.385171.</w:t>
      </w:r>
      <w:bookmarkEnd w:id="183"/>
    </w:p>
    <w:p w14:paraId="39E84E73">
      <w:pPr>
        <w:pStyle w:val="3"/>
      </w:pPr>
    </w:p>
    <w:p w14:paraId="13BE91A4">
      <w:pPr>
        <w:sectPr>
          <w:pgSz w:w="11906" w:h="16838"/>
          <w:pgMar w:top="1440" w:right="1701" w:bottom="1440" w:left="1701" w:header="851" w:footer="992" w:gutter="0"/>
          <w:cols w:space="425" w:num="1"/>
          <w:docGrid w:type="lines" w:linePitch="312" w:charSpace="0"/>
        </w:sectPr>
      </w:pPr>
    </w:p>
    <w:p w14:paraId="10E5F601">
      <w:pPr>
        <w:pStyle w:val="2"/>
        <w:numPr>
          <w:ilvl w:val="0"/>
          <w:numId w:val="0"/>
        </w:numPr>
      </w:pPr>
      <w:bookmarkStart w:id="184" w:name="_Toc235910506"/>
      <w:r>
        <w:t>附表</w:t>
      </w:r>
      <w:bookmarkEnd w:id="184"/>
    </w:p>
    <w:p w14:paraId="611B4B65">
      <w:pPr>
        <w:rPr>
          <w:rFonts w:hint="eastAsia" w:ascii="微软雅黑" w:hAnsi="微软雅黑" w:eastAsia="微软雅黑" w:cs="微软雅黑"/>
        </w:rPr>
      </w:pPr>
      <w:r>
        <w:rPr>
          <w:rFonts w:hint="eastAsia" w:ascii="微软雅黑" w:hAnsi="微软雅黑" w:eastAsia="微软雅黑" w:cs="微软雅黑"/>
        </w:rPr>
        <w:t xml:space="preserve">附表1 </w:t>
      </w:r>
    </w:p>
    <w:p w14:paraId="6F284305">
      <w:pPr>
        <w:spacing w:line="240" w:lineRule="auto"/>
        <w:contextualSpacing w:val="0"/>
        <w:jc w:val="center"/>
        <w:rPr>
          <w:rFonts w:hint="eastAsia" w:ascii="方正小标宋简体" w:hAnsi="方正小标宋简体" w:eastAsia="方正小标宋简体" w:cs="方正小标宋简体"/>
          <w:b/>
          <w:bCs/>
          <w:sz w:val="21"/>
          <w14:ligatures w14:val="none"/>
        </w:rPr>
      </w:pPr>
      <w:r>
        <w:rPr>
          <w:rFonts w:ascii="方正小标宋简体" w:hAnsi="方正小标宋简体" w:eastAsia="方正小标宋简体" w:cs="方正小标宋简体"/>
          <w:sz w:val="30"/>
          <w14:ligatures w14:val="none"/>
        </w:rPr>
        <w:t>超声波全波形温度场重构理论及方法研究项目设备清单</w:t>
      </w:r>
    </w:p>
    <w:tbl>
      <w:tblPr>
        <w:tblStyle w:val="56"/>
        <w:tblW w:w="5000" w:type="pct"/>
        <w:tblInd w:w="0" w:type="dxa"/>
        <w:tblLayout w:type="autofit"/>
        <w:tblCellMar>
          <w:top w:w="56" w:type="dxa"/>
          <w:left w:w="109" w:type="dxa"/>
          <w:bottom w:w="0" w:type="dxa"/>
          <w:right w:w="111" w:type="dxa"/>
        </w:tblCellMar>
      </w:tblPr>
      <w:tblGrid>
        <w:gridCol w:w="830"/>
        <w:gridCol w:w="1501"/>
        <w:gridCol w:w="1043"/>
        <w:gridCol w:w="1163"/>
        <w:gridCol w:w="1428"/>
        <w:gridCol w:w="1163"/>
        <w:gridCol w:w="1290"/>
        <w:gridCol w:w="803"/>
        <w:gridCol w:w="1660"/>
        <w:gridCol w:w="1866"/>
      </w:tblGrid>
      <w:tr w14:paraId="18E2271B">
        <w:tblPrEx>
          <w:tblCellMar>
            <w:top w:w="56" w:type="dxa"/>
            <w:left w:w="109" w:type="dxa"/>
            <w:bottom w:w="0" w:type="dxa"/>
            <w:right w:w="111" w:type="dxa"/>
          </w:tblCellMar>
        </w:tblPrEx>
        <w:trPr>
          <w:tblHeader/>
        </w:trPr>
        <w:tc>
          <w:tcPr>
            <w:tcW w:w="326" w:type="pct"/>
            <w:vMerge w:val="restar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6A01524">
            <w:pPr>
              <w:pStyle w:val="33"/>
              <w:rPr>
                <w:rFonts w:cs="Times New Roman"/>
                <w:sz w:val="21"/>
              </w:rPr>
            </w:pPr>
            <w:r>
              <w:rPr>
                <w:rFonts w:hint="eastAsia" w:cs="Times New Roman"/>
                <w:szCs w:val="32"/>
              </w:rPr>
              <w:br w:type="page"/>
            </w:r>
            <w:r>
              <w:rPr>
                <w:rFonts w:cs="Times New Roman"/>
              </w:rPr>
              <w:t>序号</w:t>
            </w:r>
          </w:p>
        </w:tc>
        <w:tc>
          <w:tcPr>
            <w:tcW w:w="589" w:type="pct"/>
            <w:vMerge w:val="restar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6580FDE">
            <w:pPr>
              <w:pStyle w:val="33"/>
              <w:rPr>
                <w:rFonts w:cs="Times New Roman"/>
                <w:sz w:val="21"/>
              </w:rPr>
            </w:pPr>
            <w:r>
              <w:rPr>
                <w:rFonts w:cs="Times New Roman"/>
              </w:rPr>
              <w:t>名称</w:t>
            </w:r>
          </w:p>
        </w:tc>
        <w:tc>
          <w:tcPr>
            <w:tcW w:w="865" w:type="pct"/>
            <w:gridSpan w:val="2"/>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2B65B95A">
            <w:pPr>
              <w:pStyle w:val="33"/>
              <w:rPr>
                <w:rFonts w:cs="Times New Roman"/>
                <w:sz w:val="21"/>
              </w:rPr>
            </w:pPr>
            <w:r>
              <w:rPr>
                <w:rFonts w:cs="Times New Roman"/>
              </w:rPr>
              <w:t>规格/型号</w:t>
            </w:r>
          </w:p>
        </w:tc>
        <w:tc>
          <w:tcPr>
            <w:tcW w:w="1016" w:type="pct"/>
            <w:gridSpan w:val="2"/>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884755A">
            <w:pPr>
              <w:pStyle w:val="33"/>
              <w:rPr>
                <w:rFonts w:cs="Times New Roman"/>
                <w:sz w:val="21"/>
              </w:rPr>
            </w:pPr>
            <w:r>
              <w:rPr>
                <w:rFonts w:cs="Times New Roman"/>
              </w:rPr>
              <w:t>生产厂家</w:t>
            </w:r>
          </w:p>
        </w:tc>
        <w:tc>
          <w:tcPr>
            <w:tcW w:w="821" w:type="pct"/>
            <w:gridSpan w:val="2"/>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0C96FEBA">
            <w:pPr>
              <w:pStyle w:val="33"/>
              <w:rPr>
                <w:rFonts w:cs="Times New Roman"/>
                <w:sz w:val="21"/>
              </w:rPr>
            </w:pPr>
            <w:r>
              <w:rPr>
                <w:rFonts w:cs="Times New Roman"/>
              </w:rPr>
              <w:t>数量/单位</w:t>
            </w:r>
          </w:p>
        </w:tc>
        <w:tc>
          <w:tcPr>
            <w:tcW w:w="651" w:type="pct"/>
            <w:vMerge w:val="restar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17B6D0F5">
            <w:pPr>
              <w:pStyle w:val="33"/>
              <w:rPr>
                <w:rFonts w:cs="Times New Roman"/>
                <w:sz w:val="21"/>
              </w:rPr>
            </w:pPr>
            <w:r>
              <w:rPr>
                <w:rFonts w:cs="Times New Roman"/>
              </w:rPr>
              <w:t>交付时间</w:t>
            </w:r>
          </w:p>
        </w:tc>
        <w:tc>
          <w:tcPr>
            <w:tcW w:w="732" w:type="pct"/>
            <w:vMerge w:val="restar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B7B00FF">
            <w:pPr>
              <w:pStyle w:val="33"/>
              <w:rPr>
                <w:rFonts w:cs="Times New Roman"/>
                <w:sz w:val="21"/>
              </w:rPr>
            </w:pPr>
            <w:r>
              <w:rPr>
                <w:rFonts w:cs="Times New Roman"/>
              </w:rPr>
              <w:t>是否与合同一致</w:t>
            </w:r>
          </w:p>
        </w:tc>
      </w:tr>
      <w:tr w14:paraId="4D152355">
        <w:tblPrEx>
          <w:tblCellMar>
            <w:top w:w="56" w:type="dxa"/>
            <w:left w:w="109" w:type="dxa"/>
            <w:bottom w:w="0" w:type="dxa"/>
            <w:right w:w="111" w:type="dxa"/>
          </w:tblCellMar>
        </w:tblPrEx>
        <w:trPr>
          <w:tblHeader/>
        </w:trPr>
        <w:tc>
          <w:tcPr>
            <w:tcW w:w="326" w:type="pct"/>
            <w:vMerge w:val="continue"/>
            <w:tcBorders>
              <w:top w:val="nil"/>
              <w:left w:val="single" w:color="000000" w:sz="4" w:space="0"/>
              <w:bottom w:val="single" w:color="000000" w:sz="4" w:space="0"/>
              <w:right w:val="single" w:color="000000" w:sz="4" w:space="0"/>
            </w:tcBorders>
          </w:tcPr>
          <w:p w14:paraId="370302F0">
            <w:pPr>
              <w:pStyle w:val="33"/>
              <w:rPr>
                <w:rFonts w:cs="Times New Roman"/>
                <w:sz w:val="21"/>
              </w:rPr>
            </w:pPr>
          </w:p>
        </w:tc>
        <w:tc>
          <w:tcPr>
            <w:tcW w:w="589" w:type="pct"/>
            <w:vMerge w:val="continue"/>
            <w:tcBorders>
              <w:top w:val="nil"/>
              <w:left w:val="single" w:color="000000" w:sz="4" w:space="0"/>
              <w:bottom w:val="single" w:color="000000" w:sz="4" w:space="0"/>
              <w:right w:val="single" w:color="000000" w:sz="4" w:space="0"/>
            </w:tcBorders>
          </w:tcPr>
          <w:p w14:paraId="099479A6">
            <w:pPr>
              <w:pStyle w:val="33"/>
              <w:rPr>
                <w:rFonts w:cs="Times New Roman"/>
                <w:sz w:val="21"/>
              </w:rPr>
            </w:pPr>
          </w:p>
        </w:tc>
        <w:tc>
          <w:tcPr>
            <w:tcW w:w="409"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200B7B38">
            <w:pPr>
              <w:pStyle w:val="33"/>
              <w:rPr>
                <w:rFonts w:cs="Times New Roman"/>
                <w:sz w:val="21"/>
              </w:rPr>
            </w:pPr>
            <w:r>
              <w:rPr>
                <w:rFonts w:cs="Times New Roman"/>
              </w:rPr>
              <w:t>投标文件（任务书）</w:t>
            </w:r>
          </w:p>
        </w:tc>
        <w:tc>
          <w:tcPr>
            <w:tcW w:w="456"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382E9BC">
            <w:pPr>
              <w:pStyle w:val="33"/>
              <w:rPr>
                <w:rFonts w:cs="Times New Roman"/>
                <w:sz w:val="21"/>
              </w:rPr>
            </w:pPr>
            <w:r>
              <w:rPr>
                <w:rFonts w:cs="Times New Roman"/>
              </w:rPr>
              <w:t>实际交付</w:t>
            </w:r>
          </w:p>
        </w:tc>
        <w:tc>
          <w:tcPr>
            <w:tcW w:w="560"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004DBBB3">
            <w:pPr>
              <w:pStyle w:val="33"/>
              <w:rPr>
                <w:rFonts w:cs="Times New Roman"/>
                <w:sz w:val="21"/>
              </w:rPr>
            </w:pPr>
            <w:r>
              <w:rPr>
                <w:rFonts w:cs="Times New Roman"/>
              </w:rPr>
              <w:t>投标文件（任务书）</w:t>
            </w:r>
          </w:p>
        </w:tc>
        <w:tc>
          <w:tcPr>
            <w:tcW w:w="456"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412672CE">
            <w:pPr>
              <w:pStyle w:val="33"/>
              <w:rPr>
                <w:rFonts w:cs="Times New Roman"/>
                <w:sz w:val="21"/>
              </w:rPr>
            </w:pPr>
            <w:r>
              <w:rPr>
                <w:rFonts w:cs="Times New Roman"/>
              </w:rPr>
              <w:t>实际交付</w:t>
            </w:r>
          </w:p>
        </w:tc>
        <w:tc>
          <w:tcPr>
            <w:tcW w:w="506"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B0F2C30">
            <w:pPr>
              <w:pStyle w:val="33"/>
              <w:rPr>
                <w:rFonts w:cs="Times New Roman"/>
                <w:sz w:val="21"/>
              </w:rPr>
            </w:pPr>
            <w:r>
              <w:rPr>
                <w:rFonts w:cs="Times New Roman"/>
              </w:rPr>
              <w:t>投标文件</w:t>
            </w:r>
          </w:p>
          <w:p w14:paraId="101F367C">
            <w:pPr>
              <w:pStyle w:val="33"/>
              <w:rPr>
                <w:rFonts w:cs="Times New Roman"/>
                <w:sz w:val="21"/>
              </w:rPr>
            </w:pPr>
            <w:r>
              <w:rPr>
                <w:rFonts w:cs="Times New Roman"/>
              </w:rPr>
              <w:t>（任务书）</w:t>
            </w:r>
          </w:p>
        </w:tc>
        <w:tc>
          <w:tcPr>
            <w:tcW w:w="315"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1879EF11">
            <w:pPr>
              <w:pStyle w:val="33"/>
              <w:rPr>
                <w:rFonts w:cs="Times New Roman"/>
                <w:sz w:val="21"/>
              </w:rPr>
            </w:pPr>
            <w:r>
              <w:rPr>
                <w:rFonts w:cs="Times New Roman"/>
              </w:rPr>
              <w:t>实际交付</w:t>
            </w:r>
          </w:p>
        </w:tc>
        <w:tc>
          <w:tcPr>
            <w:tcW w:w="651" w:type="pct"/>
            <w:vMerge w:val="continue"/>
            <w:tcBorders>
              <w:top w:val="nil"/>
              <w:left w:val="single" w:color="000000" w:sz="4" w:space="0"/>
              <w:bottom w:val="single" w:color="000000" w:sz="4" w:space="0"/>
              <w:right w:val="single" w:color="000000" w:sz="4" w:space="0"/>
            </w:tcBorders>
          </w:tcPr>
          <w:p w14:paraId="18D5259C">
            <w:pPr>
              <w:pStyle w:val="33"/>
              <w:rPr>
                <w:rFonts w:cs="Times New Roman"/>
                <w:sz w:val="21"/>
              </w:rPr>
            </w:pPr>
          </w:p>
        </w:tc>
        <w:tc>
          <w:tcPr>
            <w:tcW w:w="732" w:type="pct"/>
            <w:vMerge w:val="continue"/>
            <w:tcBorders>
              <w:top w:val="nil"/>
              <w:left w:val="single" w:color="000000" w:sz="4" w:space="0"/>
              <w:bottom w:val="single" w:color="000000" w:sz="4" w:space="0"/>
              <w:right w:val="single" w:color="000000" w:sz="4" w:space="0"/>
            </w:tcBorders>
          </w:tcPr>
          <w:p w14:paraId="4410A19F">
            <w:pPr>
              <w:pStyle w:val="33"/>
              <w:rPr>
                <w:rFonts w:cs="Times New Roman"/>
                <w:sz w:val="21"/>
              </w:rPr>
            </w:pPr>
          </w:p>
        </w:tc>
      </w:tr>
      <w:tr w14:paraId="744E26E8">
        <w:tblPrEx>
          <w:tblCellMar>
            <w:top w:w="56" w:type="dxa"/>
            <w:left w:w="109" w:type="dxa"/>
            <w:bottom w:w="0" w:type="dxa"/>
            <w:right w:w="111" w:type="dxa"/>
          </w:tblCellMar>
        </w:tblPrEx>
        <w:tc>
          <w:tcPr>
            <w:tcW w:w="326"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3EF9542A">
            <w:pPr>
              <w:pStyle w:val="33"/>
              <w:rPr>
                <w:rFonts w:cs="Times New Roman"/>
              </w:rPr>
            </w:pPr>
            <w:r>
              <w:rPr>
                <w:rFonts w:cs="Times New Roman"/>
              </w:rPr>
              <w:t>1</w:t>
            </w:r>
          </w:p>
        </w:tc>
        <w:tc>
          <w:tcPr>
            <w:tcW w:w="589"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E1E9264">
            <w:pPr>
              <w:pStyle w:val="33"/>
              <w:rPr>
                <w:rFonts w:cs="Times New Roman"/>
              </w:rPr>
            </w:pPr>
            <w:r>
              <w:rPr>
                <w:rFonts w:cs="Times New Roman"/>
              </w:rPr>
              <w:t>无（本项目为技术开发服务，不涉及设备实物交付）</w:t>
            </w:r>
          </w:p>
        </w:tc>
        <w:tc>
          <w:tcPr>
            <w:tcW w:w="409"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5E2FCF0">
            <w:pPr>
              <w:pStyle w:val="33"/>
              <w:rPr>
                <w:rFonts w:cs="Times New Roman"/>
              </w:rPr>
            </w:pPr>
            <w:r>
              <w:rPr>
                <w:rFonts w:cs="Times New Roman"/>
              </w:rPr>
              <w:t>不适用</w:t>
            </w:r>
          </w:p>
        </w:tc>
        <w:tc>
          <w:tcPr>
            <w:tcW w:w="456"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200E71B6">
            <w:pPr>
              <w:pStyle w:val="33"/>
              <w:rPr>
                <w:rFonts w:cs="Times New Roman"/>
              </w:rPr>
            </w:pPr>
            <w:r>
              <w:rPr>
                <w:rFonts w:cs="Times New Roman"/>
              </w:rPr>
              <w:t>不适用</w:t>
            </w:r>
          </w:p>
        </w:tc>
        <w:tc>
          <w:tcPr>
            <w:tcW w:w="560"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652D0398">
            <w:pPr>
              <w:pStyle w:val="33"/>
              <w:rPr>
                <w:rFonts w:cs="Times New Roman"/>
              </w:rPr>
            </w:pPr>
            <w:r>
              <w:rPr>
                <w:rFonts w:cs="Times New Roman"/>
              </w:rPr>
              <w:t>不适用</w:t>
            </w:r>
          </w:p>
        </w:tc>
        <w:tc>
          <w:tcPr>
            <w:tcW w:w="456"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0AEFCC11">
            <w:pPr>
              <w:pStyle w:val="33"/>
              <w:rPr>
                <w:rFonts w:cs="Times New Roman"/>
              </w:rPr>
            </w:pPr>
            <w:r>
              <w:rPr>
                <w:rFonts w:cs="Times New Roman"/>
              </w:rPr>
              <w:t>不适用</w:t>
            </w:r>
          </w:p>
        </w:tc>
        <w:tc>
          <w:tcPr>
            <w:tcW w:w="506"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2C746698">
            <w:pPr>
              <w:pStyle w:val="33"/>
              <w:rPr>
                <w:rFonts w:cs="Times New Roman"/>
              </w:rPr>
            </w:pPr>
            <w:r>
              <w:rPr>
                <w:rFonts w:cs="Times New Roman"/>
              </w:rPr>
              <w:t>0项</w:t>
            </w:r>
          </w:p>
        </w:tc>
        <w:tc>
          <w:tcPr>
            <w:tcW w:w="315"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08909476">
            <w:pPr>
              <w:pStyle w:val="33"/>
              <w:rPr>
                <w:rFonts w:cs="Times New Roman"/>
              </w:rPr>
            </w:pPr>
            <w:r>
              <w:rPr>
                <w:rFonts w:cs="Times New Roman"/>
              </w:rPr>
              <w:t>0项</w:t>
            </w:r>
          </w:p>
        </w:tc>
        <w:tc>
          <w:tcPr>
            <w:tcW w:w="651"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2D9C3208">
            <w:pPr>
              <w:pStyle w:val="33"/>
              <w:rPr>
                <w:rFonts w:cs="Times New Roman"/>
              </w:rPr>
            </w:pPr>
            <w:r>
              <w:rPr>
                <w:rFonts w:cs="Times New Roman"/>
              </w:rPr>
              <w:t>不适用</w:t>
            </w:r>
          </w:p>
        </w:tc>
        <w:tc>
          <w:tcPr>
            <w:tcW w:w="732"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C383B77">
            <w:pPr>
              <w:pStyle w:val="33"/>
              <w:rPr>
                <w:rFonts w:cs="Times New Roman"/>
              </w:rPr>
            </w:pPr>
            <w:r>
              <w:rPr>
                <w:rFonts w:cs="Times New Roman"/>
              </w:rPr>
              <w:t>是</w:t>
            </w:r>
          </w:p>
        </w:tc>
      </w:tr>
    </w:tbl>
    <w:p w14:paraId="75379AF3">
      <w:pPr>
        <w:spacing w:line="240" w:lineRule="auto"/>
        <w:contextualSpacing w:val="0"/>
        <w:jc w:val="left"/>
        <w:rPr>
          <w:rFonts w:hint="eastAsia" w:ascii="宋体" w:hAnsi="宋体" w:cs="宋体"/>
          <w:sz w:val="22"/>
          <w14:ligatures w14:val="none"/>
        </w:rPr>
      </w:pPr>
      <w:r>
        <w:rPr>
          <w:rFonts w:ascii="宋体" w:hAnsi="宋体" w:cs="宋体"/>
          <w:sz w:val="17"/>
          <w14:ligatures w14:val="none"/>
        </w:rPr>
        <w:t>注：本项目为技术开发服务项目，合同及投标文件未约定设备实物交付。</w:t>
      </w:r>
    </w:p>
    <w:p w14:paraId="7140421A">
      <w:pPr>
        <w:spacing w:line="264" w:lineRule="auto"/>
        <w:ind w:left="323" w:firstLine="440"/>
        <w:contextualSpacing w:val="0"/>
        <w:rPr>
          <w:rFonts w:hint="eastAsia" w:ascii="宋体" w:hAnsi="宋体" w:cs="宋体"/>
          <w:sz w:val="22"/>
          <w14:ligatures w14:val="none"/>
        </w:rPr>
      </w:pPr>
    </w:p>
    <w:p w14:paraId="4934D9F4">
      <w:pPr>
        <w:spacing w:line="240" w:lineRule="auto"/>
        <w:contextualSpacing w:val="0"/>
        <w:jc w:val="left"/>
        <w:rPr>
          <w:rFonts w:hint="eastAsia" w:ascii="宋体" w:hAnsi="宋体" w:cs="宋体"/>
          <w:sz w:val="22"/>
          <w14:ligatures w14:val="none"/>
        </w:rPr>
      </w:pPr>
      <w:r>
        <w:rPr>
          <w:rFonts w:ascii="宋体" w:hAnsi="宋体" w:cs="宋体"/>
          <w:sz w:val="19"/>
          <w14:ligatures w14:val="none"/>
        </w:rPr>
        <w:t>甲方验收人员：　　　　　　　　　　　　　　乙方验收人员：</w:t>
      </w:r>
    </w:p>
    <w:p w14:paraId="0B9A3EE2">
      <w:pPr>
        <w:pageBreakBefore/>
        <w:spacing w:before="600" w:line="240" w:lineRule="auto"/>
        <w:contextualSpacing w:val="0"/>
        <w:jc w:val="left"/>
        <w:rPr>
          <w:rFonts w:hint="eastAsia" w:ascii="黑体" w:hAnsi="方正小标宋简体" w:cs="方正小标宋简体"/>
          <w:b/>
          <w:bCs/>
          <w:sz w:val="21"/>
          <w14:ligatures w14:val="none"/>
        </w:rPr>
      </w:pPr>
      <w:r>
        <w:rPr>
          <w:rFonts w:ascii="黑体" w:hAnsi="黑体" w:eastAsia="黑体" w:cs="黑体"/>
          <w:b/>
          <w14:ligatures w14:val="none"/>
        </w:rPr>
        <w:t>附表2</w:t>
      </w:r>
    </w:p>
    <w:p w14:paraId="376B2464">
      <w:pPr>
        <w:spacing w:line="240" w:lineRule="auto"/>
        <w:contextualSpacing w:val="0"/>
        <w:jc w:val="center"/>
        <w:rPr>
          <w:rFonts w:hint="eastAsia" w:ascii="方正小标宋简体" w:hAnsi="方正小标宋简体" w:eastAsia="方正小标宋简体" w:cs="方正小标宋简体"/>
          <w:b/>
          <w:bCs/>
          <w:sz w:val="21"/>
          <w14:ligatures w14:val="none"/>
        </w:rPr>
      </w:pPr>
      <w:r>
        <w:rPr>
          <w:rFonts w:ascii="方正小标宋简体" w:hAnsi="方正小标宋简体" w:eastAsia="方正小标宋简体" w:cs="方正小标宋简体"/>
          <w:sz w:val="30"/>
          <w14:ligatures w14:val="none"/>
        </w:rPr>
        <w:t>超声波全波形温度场重构理论及方法研究项目备品备件清单</w:t>
      </w:r>
    </w:p>
    <w:tbl>
      <w:tblPr>
        <w:tblStyle w:val="5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19" w:type="dxa"/>
          <w:bottom w:w="0" w:type="dxa"/>
          <w:right w:w="119" w:type="dxa"/>
        </w:tblCellMar>
      </w:tblPr>
      <w:tblGrid>
        <w:gridCol w:w="1275"/>
        <w:gridCol w:w="1553"/>
        <w:gridCol w:w="2226"/>
        <w:gridCol w:w="1214"/>
        <w:gridCol w:w="2249"/>
        <w:gridCol w:w="1191"/>
        <w:gridCol w:w="3039"/>
      </w:tblGrid>
      <w:tr w14:paraId="77116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9" w:type="dxa"/>
            <w:bottom w:w="0" w:type="dxa"/>
            <w:right w:w="119" w:type="dxa"/>
          </w:tblCellMar>
        </w:tblPrEx>
        <w:trPr>
          <w:tblHeader/>
        </w:trPr>
        <w:tc>
          <w:tcPr>
            <w:tcW w:w="500" w:type="pct"/>
            <w:tcMar>
              <w:top w:w="55" w:type="dxa"/>
              <w:left w:w="65" w:type="dxa"/>
              <w:bottom w:w="55" w:type="dxa"/>
              <w:right w:w="65" w:type="dxa"/>
            </w:tcMar>
            <w:vAlign w:val="center"/>
          </w:tcPr>
          <w:p w14:paraId="245FE453">
            <w:pPr>
              <w:pStyle w:val="33"/>
              <w:rPr>
                <w:rFonts w:hint="eastAsia" w:ascii="宋体" w:hAnsi="宋体" w:cs="宋体"/>
                <w:sz w:val="21"/>
              </w:rPr>
            </w:pPr>
            <w:r>
              <w:rPr>
                <w:rFonts w:hint="eastAsia" w:cs="Times New Roman"/>
              </w:rPr>
              <w:t>序号</w:t>
            </w:r>
          </w:p>
        </w:tc>
        <w:tc>
          <w:tcPr>
            <w:tcW w:w="609" w:type="pct"/>
            <w:tcMar>
              <w:top w:w="55" w:type="dxa"/>
              <w:left w:w="65" w:type="dxa"/>
              <w:bottom w:w="55" w:type="dxa"/>
              <w:right w:w="65" w:type="dxa"/>
            </w:tcMar>
            <w:vAlign w:val="center"/>
          </w:tcPr>
          <w:p w14:paraId="0DC70F62">
            <w:pPr>
              <w:pStyle w:val="33"/>
              <w:rPr>
                <w:rFonts w:hint="eastAsia" w:ascii="宋体" w:hAnsi="宋体" w:cs="宋体"/>
                <w:sz w:val="21"/>
              </w:rPr>
            </w:pPr>
            <w:r>
              <w:rPr>
                <w:rFonts w:hint="eastAsia" w:cs="Times New Roman"/>
              </w:rPr>
              <w:t>备件名称</w:t>
            </w:r>
          </w:p>
        </w:tc>
        <w:tc>
          <w:tcPr>
            <w:tcW w:w="873" w:type="pct"/>
            <w:tcMar>
              <w:top w:w="55" w:type="dxa"/>
              <w:left w:w="65" w:type="dxa"/>
              <w:bottom w:w="55" w:type="dxa"/>
              <w:right w:w="65" w:type="dxa"/>
            </w:tcMar>
            <w:vAlign w:val="center"/>
          </w:tcPr>
          <w:p w14:paraId="28A5E42A">
            <w:pPr>
              <w:pStyle w:val="33"/>
              <w:rPr>
                <w:rFonts w:hint="eastAsia" w:ascii="宋体" w:hAnsi="宋体" w:cs="宋体"/>
                <w:sz w:val="21"/>
              </w:rPr>
            </w:pPr>
            <w:r>
              <w:rPr>
                <w:rFonts w:hint="eastAsia" w:cs="Times New Roman"/>
              </w:rPr>
              <w:t>投标品牌/规格型号</w:t>
            </w:r>
          </w:p>
        </w:tc>
        <w:tc>
          <w:tcPr>
            <w:tcW w:w="476" w:type="pct"/>
            <w:tcMar>
              <w:top w:w="55" w:type="dxa"/>
              <w:left w:w="65" w:type="dxa"/>
              <w:bottom w:w="55" w:type="dxa"/>
              <w:right w:w="65" w:type="dxa"/>
            </w:tcMar>
            <w:vAlign w:val="center"/>
          </w:tcPr>
          <w:p w14:paraId="7F2EF69F">
            <w:pPr>
              <w:pStyle w:val="33"/>
              <w:rPr>
                <w:rFonts w:hint="eastAsia" w:ascii="宋体" w:hAnsi="宋体" w:cs="宋体"/>
                <w:sz w:val="21"/>
              </w:rPr>
            </w:pPr>
            <w:r>
              <w:rPr>
                <w:rFonts w:hint="eastAsia" w:cs="Times New Roman"/>
              </w:rPr>
              <w:t>数量</w:t>
            </w:r>
          </w:p>
        </w:tc>
        <w:tc>
          <w:tcPr>
            <w:tcW w:w="882" w:type="pct"/>
            <w:tcMar>
              <w:top w:w="55" w:type="dxa"/>
              <w:left w:w="65" w:type="dxa"/>
              <w:bottom w:w="55" w:type="dxa"/>
              <w:right w:w="65" w:type="dxa"/>
            </w:tcMar>
            <w:vAlign w:val="center"/>
          </w:tcPr>
          <w:p w14:paraId="47B82A06">
            <w:pPr>
              <w:pStyle w:val="33"/>
              <w:rPr>
                <w:rFonts w:hint="eastAsia" w:ascii="宋体" w:hAnsi="宋体" w:cs="宋体"/>
                <w:sz w:val="21"/>
              </w:rPr>
            </w:pPr>
            <w:r>
              <w:rPr>
                <w:rFonts w:hint="eastAsia" w:cs="Times New Roman"/>
              </w:rPr>
              <w:t>实际选用品牌/ 规格型号</w:t>
            </w:r>
          </w:p>
        </w:tc>
        <w:tc>
          <w:tcPr>
            <w:tcW w:w="467" w:type="pct"/>
            <w:tcMar>
              <w:top w:w="55" w:type="dxa"/>
              <w:left w:w="65" w:type="dxa"/>
              <w:bottom w:w="55" w:type="dxa"/>
              <w:right w:w="65" w:type="dxa"/>
            </w:tcMar>
            <w:vAlign w:val="center"/>
          </w:tcPr>
          <w:p w14:paraId="7F30F02F">
            <w:pPr>
              <w:pStyle w:val="33"/>
              <w:rPr>
                <w:rFonts w:hint="eastAsia" w:ascii="宋体" w:hAnsi="宋体" w:cs="宋体"/>
                <w:sz w:val="21"/>
              </w:rPr>
            </w:pPr>
            <w:r>
              <w:rPr>
                <w:rFonts w:hint="eastAsia" w:cs="Times New Roman"/>
              </w:rPr>
              <w:t>数量</w:t>
            </w:r>
          </w:p>
        </w:tc>
        <w:tc>
          <w:tcPr>
            <w:tcW w:w="1192" w:type="pct"/>
            <w:tcMar>
              <w:top w:w="55" w:type="dxa"/>
              <w:left w:w="65" w:type="dxa"/>
              <w:bottom w:w="55" w:type="dxa"/>
              <w:right w:w="65" w:type="dxa"/>
            </w:tcMar>
            <w:vAlign w:val="center"/>
          </w:tcPr>
          <w:p w14:paraId="137B2A45">
            <w:pPr>
              <w:pStyle w:val="33"/>
              <w:rPr>
                <w:rFonts w:hint="eastAsia" w:ascii="宋体" w:hAnsi="宋体" w:cs="宋体"/>
                <w:sz w:val="21"/>
              </w:rPr>
            </w:pPr>
            <w:r>
              <w:rPr>
                <w:rFonts w:hint="eastAsia" w:cs="Times New Roman"/>
              </w:rPr>
              <w:t>是否与合同（投标文件）一致</w:t>
            </w:r>
          </w:p>
        </w:tc>
      </w:tr>
      <w:tr w14:paraId="260B8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9" w:type="dxa"/>
            <w:bottom w:w="0" w:type="dxa"/>
            <w:right w:w="119" w:type="dxa"/>
          </w:tblCellMar>
        </w:tblPrEx>
        <w:tc>
          <w:tcPr>
            <w:tcW w:w="500" w:type="pct"/>
            <w:tcMar>
              <w:top w:w="55" w:type="dxa"/>
              <w:left w:w="65" w:type="dxa"/>
              <w:bottom w:w="55" w:type="dxa"/>
              <w:right w:w="65" w:type="dxa"/>
            </w:tcMar>
            <w:vAlign w:val="center"/>
          </w:tcPr>
          <w:p w14:paraId="70E29D70">
            <w:pPr>
              <w:pStyle w:val="33"/>
              <w:rPr>
                <w:rFonts w:cs="Times New Roman"/>
                <w:sz w:val="21"/>
              </w:rPr>
            </w:pPr>
            <w:r>
              <w:rPr>
                <w:rFonts w:ascii="宋体" w:hAnsi="宋体" w:cs="宋体"/>
              </w:rPr>
              <w:t>1</w:t>
            </w:r>
          </w:p>
        </w:tc>
        <w:tc>
          <w:tcPr>
            <w:tcW w:w="609" w:type="pct"/>
            <w:tcMar>
              <w:top w:w="55" w:type="dxa"/>
              <w:left w:w="65" w:type="dxa"/>
              <w:bottom w:w="55" w:type="dxa"/>
              <w:right w:w="65" w:type="dxa"/>
            </w:tcMar>
            <w:vAlign w:val="center"/>
          </w:tcPr>
          <w:p w14:paraId="40BEBE1C">
            <w:pPr>
              <w:pStyle w:val="33"/>
              <w:rPr>
                <w:rFonts w:cs="Times New Roman"/>
                <w:sz w:val="21"/>
              </w:rPr>
            </w:pPr>
            <w:r>
              <w:rPr>
                <w:rFonts w:ascii="宋体" w:hAnsi="宋体" w:cs="宋体"/>
              </w:rPr>
              <w:t>无（不涉及备品备件交付）</w:t>
            </w:r>
          </w:p>
        </w:tc>
        <w:tc>
          <w:tcPr>
            <w:tcW w:w="873" w:type="pct"/>
            <w:tcMar>
              <w:top w:w="55" w:type="dxa"/>
              <w:left w:w="65" w:type="dxa"/>
              <w:bottom w:w="55" w:type="dxa"/>
              <w:right w:w="65" w:type="dxa"/>
            </w:tcMar>
            <w:vAlign w:val="center"/>
          </w:tcPr>
          <w:p w14:paraId="70900BB7">
            <w:pPr>
              <w:pStyle w:val="33"/>
              <w:rPr>
                <w:rFonts w:cs="Times New Roman"/>
                <w:sz w:val="21"/>
              </w:rPr>
            </w:pPr>
            <w:r>
              <w:rPr>
                <w:rFonts w:ascii="宋体" w:hAnsi="宋体" w:cs="宋体"/>
              </w:rPr>
              <w:t>不适用</w:t>
            </w:r>
          </w:p>
        </w:tc>
        <w:tc>
          <w:tcPr>
            <w:tcW w:w="476" w:type="pct"/>
            <w:tcMar>
              <w:top w:w="55" w:type="dxa"/>
              <w:left w:w="65" w:type="dxa"/>
              <w:bottom w:w="55" w:type="dxa"/>
              <w:right w:w="65" w:type="dxa"/>
            </w:tcMar>
            <w:vAlign w:val="center"/>
          </w:tcPr>
          <w:p w14:paraId="611E59A0">
            <w:pPr>
              <w:pStyle w:val="33"/>
              <w:rPr>
                <w:rFonts w:cs="Times New Roman"/>
                <w:sz w:val="21"/>
              </w:rPr>
            </w:pPr>
            <w:r>
              <w:rPr>
                <w:rFonts w:ascii="宋体" w:hAnsi="宋体" w:cs="宋体"/>
              </w:rPr>
              <w:t>0项</w:t>
            </w:r>
          </w:p>
        </w:tc>
        <w:tc>
          <w:tcPr>
            <w:tcW w:w="882" w:type="pct"/>
            <w:tcMar>
              <w:top w:w="55" w:type="dxa"/>
              <w:left w:w="65" w:type="dxa"/>
              <w:bottom w:w="55" w:type="dxa"/>
              <w:right w:w="65" w:type="dxa"/>
            </w:tcMar>
            <w:vAlign w:val="center"/>
          </w:tcPr>
          <w:p w14:paraId="64612990">
            <w:pPr>
              <w:pStyle w:val="33"/>
              <w:rPr>
                <w:rFonts w:cs="Times New Roman"/>
                <w:sz w:val="21"/>
              </w:rPr>
            </w:pPr>
            <w:r>
              <w:rPr>
                <w:rFonts w:ascii="宋体" w:hAnsi="宋体" w:cs="宋体"/>
              </w:rPr>
              <w:t>不适用</w:t>
            </w:r>
          </w:p>
        </w:tc>
        <w:tc>
          <w:tcPr>
            <w:tcW w:w="467" w:type="pct"/>
            <w:tcMar>
              <w:top w:w="55" w:type="dxa"/>
              <w:left w:w="65" w:type="dxa"/>
              <w:bottom w:w="55" w:type="dxa"/>
              <w:right w:w="65" w:type="dxa"/>
            </w:tcMar>
            <w:vAlign w:val="center"/>
          </w:tcPr>
          <w:p w14:paraId="7E845C5D">
            <w:pPr>
              <w:pStyle w:val="33"/>
              <w:rPr>
                <w:rFonts w:cs="Times New Roman"/>
                <w:sz w:val="21"/>
              </w:rPr>
            </w:pPr>
            <w:r>
              <w:rPr>
                <w:rFonts w:ascii="宋体" w:hAnsi="宋体" w:cs="宋体"/>
              </w:rPr>
              <w:t>0项</w:t>
            </w:r>
          </w:p>
        </w:tc>
        <w:tc>
          <w:tcPr>
            <w:tcW w:w="1192" w:type="pct"/>
            <w:tcMar>
              <w:top w:w="55" w:type="dxa"/>
              <w:left w:w="65" w:type="dxa"/>
              <w:bottom w:w="55" w:type="dxa"/>
              <w:right w:w="65" w:type="dxa"/>
            </w:tcMar>
            <w:vAlign w:val="center"/>
          </w:tcPr>
          <w:p w14:paraId="36D860EF">
            <w:pPr>
              <w:pStyle w:val="33"/>
              <w:rPr>
                <w:rFonts w:cs="Times New Roman"/>
                <w:sz w:val="21"/>
              </w:rPr>
            </w:pPr>
            <w:r>
              <w:rPr>
                <w:rFonts w:ascii="宋体" w:hAnsi="宋体" w:cs="宋体"/>
              </w:rPr>
              <w:t>是</w:t>
            </w:r>
          </w:p>
        </w:tc>
      </w:tr>
    </w:tbl>
    <w:p w14:paraId="228BBC2D">
      <w:pPr>
        <w:spacing w:line="240" w:lineRule="auto"/>
        <w:contextualSpacing w:val="0"/>
        <w:jc w:val="left"/>
        <w:rPr>
          <w:rFonts w:hint="eastAsia" w:ascii="宋体" w:hAnsi="宋体" w:cs="宋体"/>
          <w:sz w:val="22"/>
          <w14:ligatures w14:val="none"/>
        </w:rPr>
      </w:pPr>
      <w:r>
        <w:rPr>
          <w:rFonts w:ascii="宋体" w:hAnsi="宋体" w:cs="宋体"/>
          <w:sz w:val="17"/>
          <w14:ligatures w14:val="none"/>
        </w:rPr>
        <w:t>注：本项目不涉及备品备件交付。</w:t>
      </w:r>
    </w:p>
    <w:p w14:paraId="65BEC6D0">
      <w:pPr>
        <w:spacing w:line="264" w:lineRule="auto"/>
        <w:ind w:left="323" w:firstLine="440"/>
        <w:contextualSpacing w:val="0"/>
        <w:rPr>
          <w:rFonts w:hint="eastAsia" w:ascii="宋体" w:hAnsi="宋体" w:cs="宋体"/>
          <w:sz w:val="22"/>
          <w14:ligatures w14:val="none"/>
        </w:rPr>
      </w:pPr>
    </w:p>
    <w:p w14:paraId="62DE09CE">
      <w:pPr>
        <w:spacing w:line="240" w:lineRule="auto"/>
        <w:contextualSpacing w:val="0"/>
        <w:jc w:val="left"/>
        <w:rPr>
          <w:rFonts w:hint="eastAsia" w:ascii="宋体" w:hAnsi="宋体" w:cs="宋体"/>
          <w:sz w:val="22"/>
          <w14:ligatures w14:val="none"/>
        </w:rPr>
      </w:pPr>
      <w:r>
        <w:rPr>
          <w:rFonts w:ascii="宋体" w:hAnsi="宋体" w:cs="宋体"/>
          <w:sz w:val="19"/>
          <w14:ligatures w14:val="none"/>
        </w:rPr>
        <w:t>甲方验收人员：　　　　　　　　　　　　　　乙方验收人员：</w:t>
      </w:r>
    </w:p>
    <w:p w14:paraId="7B2B016B">
      <w:pPr>
        <w:pageBreakBefore/>
        <w:spacing w:before="600" w:line="240" w:lineRule="auto"/>
        <w:contextualSpacing w:val="0"/>
        <w:jc w:val="left"/>
        <w:rPr>
          <w:rFonts w:hint="eastAsia" w:ascii="黑体" w:hAnsi="方正小标宋简体" w:cs="方正小标宋简体"/>
          <w:b/>
          <w:bCs/>
          <w:sz w:val="21"/>
          <w14:ligatures w14:val="none"/>
        </w:rPr>
      </w:pPr>
      <w:r>
        <w:rPr>
          <w:rFonts w:ascii="黑体" w:hAnsi="黑体" w:eastAsia="黑体" w:cs="黑体"/>
          <w:b/>
          <w14:ligatures w14:val="none"/>
        </w:rPr>
        <w:t>附表3</w:t>
      </w:r>
    </w:p>
    <w:p w14:paraId="3BE2610E">
      <w:pPr>
        <w:spacing w:line="240" w:lineRule="auto"/>
        <w:contextualSpacing w:val="0"/>
        <w:jc w:val="center"/>
        <w:rPr>
          <w:rFonts w:hint="eastAsia" w:ascii="方正小标宋简体" w:hAnsi="方正小标宋简体" w:eastAsia="方正小标宋简体" w:cs="方正小标宋简体"/>
          <w:b/>
          <w:bCs/>
          <w:sz w:val="21"/>
          <w14:ligatures w14:val="none"/>
        </w:rPr>
      </w:pPr>
      <w:r>
        <w:rPr>
          <w:rFonts w:ascii="方正小标宋简体" w:hAnsi="方正小标宋简体" w:eastAsia="方正小标宋简体" w:cs="方正小标宋简体"/>
          <w:sz w:val="30"/>
          <w14:ligatures w14:val="none"/>
        </w:rPr>
        <w:t>超声波全波形温度场重构理论及方法研究项目元器件品牌清单</w:t>
      </w:r>
    </w:p>
    <w:tbl>
      <w:tblPr>
        <w:tblStyle w:val="5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19" w:type="dxa"/>
          <w:bottom w:w="0" w:type="dxa"/>
          <w:right w:w="119" w:type="dxa"/>
        </w:tblCellMar>
      </w:tblPr>
      <w:tblGrid>
        <w:gridCol w:w="1276"/>
        <w:gridCol w:w="1553"/>
        <w:gridCol w:w="2226"/>
        <w:gridCol w:w="1216"/>
        <w:gridCol w:w="2249"/>
        <w:gridCol w:w="1188"/>
        <w:gridCol w:w="3039"/>
      </w:tblGrid>
      <w:tr w14:paraId="1B45C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9" w:type="dxa"/>
            <w:bottom w:w="0" w:type="dxa"/>
            <w:right w:w="119" w:type="dxa"/>
          </w:tblCellMar>
        </w:tblPrEx>
        <w:trPr>
          <w:tblHeader/>
        </w:trPr>
        <w:tc>
          <w:tcPr>
            <w:tcW w:w="501" w:type="pct"/>
            <w:tcMar>
              <w:top w:w="55" w:type="dxa"/>
              <w:left w:w="65" w:type="dxa"/>
              <w:bottom w:w="55" w:type="dxa"/>
              <w:right w:w="65" w:type="dxa"/>
            </w:tcMar>
            <w:vAlign w:val="center"/>
          </w:tcPr>
          <w:p w14:paraId="76B2213C">
            <w:pPr>
              <w:pStyle w:val="33"/>
              <w:rPr>
                <w:rFonts w:cs="Times New Roman"/>
                <w:sz w:val="21"/>
              </w:rPr>
            </w:pPr>
            <w:r>
              <w:rPr>
                <w:rFonts w:cs="Times New Roman"/>
              </w:rPr>
              <w:t>序号</w:t>
            </w:r>
          </w:p>
        </w:tc>
        <w:tc>
          <w:tcPr>
            <w:tcW w:w="609" w:type="pct"/>
            <w:tcMar>
              <w:top w:w="55" w:type="dxa"/>
              <w:left w:w="65" w:type="dxa"/>
              <w:bottom w:w="55" w:type="dxa"/>
              <w:right w:w="65" w:type="dxa"/>
            </w:tcMar>
            <w:vAlign w:val="center"/>
          </w:tcPr>
          <w:p w14:paraId="2AB2021E">
            <w:pPr>
              <w:pStyle w:val="33"/>
              <w:rPr>
                <w:rFonts w:cs="Times New Roman"/>
                <w:sz w:val="21"/>
              </w:rPr>
            </w:pPr>
            <w:r>
              <w:rPr>
                <w:rFonts w:cs="Times New Roman"/>
              </w:rPr>
              <w:t>名称</w:t>
            </w:r>
          </w:p>
        </w:tc>
        <w:tc>
          <w:tcPr>
            <w:tcW w:w="873" w:type="pct"/>
            <w:tcMar>
              <w:top w:w="55" w:type="dxa"/>
              <w:left w:w="65" w:type="dxa"/>
              <w:bottom w:w="55" w:type="dxa"/>
              <w:right w:w="65" w:type="dxa"/>
            </w:tcMar>
            <w:vAlign w:val="center"/>
          </w:tcPr>
          <w:p w14:paraId="0A08148A">
            <w:pPr>
              <w:pStyle w:val="33"/>
              <w:rPr>
                <w:rFonts w:cs="Times New Roman"/>
                <w:sz w:val="21"/>
              </w:rPr>
            </w:pPr>
            <w:r>
              <w:rPr>
                <w:rFonts w:cs="Times New Roman"/>
              </w:rPr>
              <w:t>投标品牌/规格型号</w:t>
            </w:r>
          </w:p>
        </w:tc>
        <w:tc>
          <w:tcPr>
            <w:tcW w:w="477" w:type="pct"/>
            <w:tcMar>
              <w:top w:w="55" w:type="dxa"/>
              <w:left w:w="65" w:type="dxa"/>
              <w:bottom w:w="55" w:type="dxa"/>
              <w:right w:w="65" w:type="dxa"/>
            </w:tcMar>
            <w:vAlign w:val="center"/>
          </w:tcPr>
          <w:p w14:paraId="7308AB3A">
            <w:pPr>
              <w:pStyle w:val="33"/>
              <w:rPr>
                <w:rFonts w:cs="Times New Roman"/>
                <w:sz w:val="21"/>
              </w:rPr>
            </w:pPr>
            <w:r>
              <w:rPr>
                <w:rFonts w:cs="Times New Roman"/>
              </w:rPr>
              <w:t>数量</w:t>
            </w:r>
          </w:p>
        </w:tc>
        <w:tc>
          <w:tcPr>
            <w:tcW w:w="882" w:type="pct"/>
            <w:tcMar>
              <w:top w:w="55" w:type="dxa"/>
              <w:left w:w="65" w:type="dxa"/>
              <w:bottom w:w="55" w:type="dxa"/>
              <w:right w:w="65" w:type="dxa"/>
            </w:tcMar>
            <w:vAlign w:val="center"/>
          </w:tcPr>
          <w:p w14:paraId="2E9DB9A5">
            <w:pPr>
              <w:pStyle w:val="33"/>
              <w:rPr>
                <w:rFonts w:eastAsia="Times New Roman" w:cs="Times New Roman"/>
                <w:sz w:val="21"/>
              </w:rPr>
            </w:pPr>
            <w:r>
              <w:rPr>
                <w:rFonts w:cs="Times New Roman"/>
              </w:rPr>
              <w:t xml:space="preserve">实际选用品牌/ </w:t>
            </w:r>
          </w:p>
          <w:p w14:paraId="73E7C63B">
            <w:pPr>
              <w:pStyle w:val="33"/>
              <w:rPr>
                <w:rFonts w:cs="Times New Roman"/>
                <w:sz w:val="21"/>
              </w:rPr>
            </w:pPr>
            <w:r>
              <w:rPr>
                <w:rFonts w:cs="Times New Roman"/>
              </w:rPr>
              <w:t>规格型号</w:t>
            </w:r>
          </w:p>
        </w:tc>
        <w:tc>
          <w:tcPr>
            <w:tcW w:w="466" w:type="pct"/>
            <w:tcMar>
              <w:top w:w="55" w:type="dxa"/>
              <w:left w:w="65" w:type="dxa"/>
              <w:bottom w:w="55" w:type="dxa"/>
              <w:right w:w="65" w:type="dxa"/>
            </w:tcMar>
            <w:vAlign w:val="center"/>
          </w:tcPr>
          <w:p w14:paraId="1DACB6BA">
            <w:pPr>
              <w:pStyle w:val="33"/>
              <w:rPr>
                <w:rFonts w:cs="Times New Roman"/>
                <w:sz w:val="21"/>
              </w:rPr>
            </w:pPr>
            <w:r>
              <w:rPr>
                <w:rFonts w:cs="Times New Roman"/>
              </w:rPr>
              <w:t>数量</w:t>
            </w:r>
          </w:p>
        </w:tc>
        <w:tc>
          <w:tcPr>
            <w:tcW w:w="1192" w:type="pct"/>
            <w:tcMar>
              <w:top w:w="55" w:type="dxa"/>
              <w:left w:w="65" w:type="dxa"/>
              <w:bottom w:w="55" w:type="dxa"/>
              <w:right w:w="65" w:type="dxa"/>
            </w:tcMar>
            <w:vAlign w:val="center"/>
          </w:tcPr>
          <w:p w14:paraId="05EAC9A0">
            <w:pPr>
              <w:pStyle w:val="33"/>
              <w:rPr>
                <w:rFonts w:cs="Times New Roman"/>
                <w:sz w:val="21"/>
              </w:rPr>
            </w:pPr>
            <w:r>
              <w:rPr>
                <w:rFonts w:hint="eastAsia" w:cs="Times New Roman"/>
              </w:rPr>
              <w:t>备注</w:t>
            </w:r>
          </w:p>
        </w:tc>
      </w:tr>
      <w:tr w14:paraId="6CF7E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9" w:type="dxa"/>
            <w:bottom w:w="0" w:type="dxa"/>
            <w:right w:w="119" w:type="dxa"/>
          </w:tblCellMar>
        </w:tblPrEx>
        <w:tc>
          <w:tcPr>
            <w:tcW w:w="501" w:type="pct"/>
            <w:tcMar>
              <w:top w:w="55" w:type="dxa"/>
              <w:left w:w="65" w:type="dxa"/>
              <w:bottom w:w="55" w:type="dxa"/>
              <w:right w:w="65" w:type="dxa"/>
            </w:tcMar>
            <w:vAlign w:val="center"/>
          </w:tcPr>
          <w:p w14:paraId="5DFB176F">
            <w:pPr>
              <w:pStyle w:val="33"/>
              <w:rPr>
                <w:rFonts w:cs="Times New Roman"/>
                <w:sz w:val="21"/>
              </w:rPr>
            </w:pPr>
            <w:r>
              <w:rPr>
                <w:rFonts w:ascii="宋体" w:hAnsi="宋体" w:cs="宋体"/>
              </w:rPr>
              <w:t>1</w:t>
            </w:r>
          </w:p>
        </w:tc>
        <w:tc>
          <w:tcPr>
            <w:tcW w:w="609" w:type="pct"/>
            <w:tcMar>
              <w:top w:w="55" w:type="dxa"/>
              <w:left w:w="65" w:type="dxa"/>
              <w:bottom w:w="55" w:type="dxa"/>
              <w:right w:w="65" w:type="dxa"/>
            </w:tcMar>
            <w:vAlign w:val="center"/>
          </w:tcPr>
          <w:p w14:paraId="04BED359">
            <w:pPr>
              <w:pStyle w:val="33"/>
              <w:rPr>
                <w:rFonts w:cs="Times New Roman"/>
                <w:sz w:val="21"/>
              </w:rPr>
            </w:pPr>
            <w:r>
              <w:rPr>
                <w:rFonts w:ascii="宋体" w:hAnsi="宋体" w:cs="宋体"/>
              </w:rPr>
              <w:t>无（不涉及元器件交付）</w:t>
            </w:r>
          </w:p>
        </w:tc>
        <w:tc>
          <w:tcPr>
            <w:tcW w:w="873" w:type="pct"/>
            <w:tcMar>
              <w:top w:w="55" w:type="dxa"/>
              <w:left w:w="65" w:type="dxa"/>
              <w:bottom w:w="55" w:type="dxa"/>
              <w:right w:w="65" w:type="dxa"/>
            </w:tcMar>
            <w:vAlign w:val="center"/>
          </w:tcPr>
          <w:p w14:paraId="27BE9E87">
            <w:pPr>
              <w:pStyle w:val="33"/>
              <w:rPr>
                <w:rFonts w:cs="Times New Roman"/>
                <w:sz w:val="21"/>
              </w:rPr>
            </w:pPr>
            <w:r>
              <w:rPr>
                <w:rFonts w:ascii="宋体" w:hAnsi="宋体" w:cs="宋体"/>
              </w:rPr>
              <w:t>不适用</w:t>
            </w:r>
          </w:p>
        </w:tc>
        <w:tc>
          <w:tcPr>
            <w:tcW w:w="477" w:type="pct"/>
            <w:tcMar>
              <w:top w:w="55" w:type="dxa"/>
              <w:left w:w="65" w:type="dxa"/>
              <w:bottom w:w="55" w:type="dxa"/>
              <w:right w:w="65" w:type="dxa"/>
            </w:tcMar>
            <w:vAlign w:val="center"/>
          </w:tcPr>
          <w:p w14:paraId="56D4666D">
            <w:pPr>
              <w:pStyle w:val="33"/>
              <w:rPr>
                <w:rFonts w:cs="Times New Roman"/>
                <w:sz w:val="21"/>
              </w:rPr>
            </w:pPr>
            <w:r>
              <w:rPr>
                <w:rFonts w:ascii="宋体" w:hAnsi="宋体" w:cs="宋体"/>
              </w:rPr>
              <w:t>0项</w:t>
            </w:r>
          </w:p>
        </w:tc>
        <w:tc>
          <w:tcPr>
            <w:tcW w:w="882" w:type="pct"/>
            <w:tcMar>
              <w:top w:w="55" w:type="dxa"/>
              <w:left w:w="65" w:type="dxa"/>
              <w:bottom w:w="55" w:type="dxa"/>
              <w:right w:w="65" w:type="dxa"/>
            </w:tcMar>
            <w:vAlign w:val="center"/>
          </w:tcPr>
          <w:p w14:paraId="2D6A4515">
            <w:pPr>
              <w:pStyle w:val="33"/>
              <w:rPr>
                <w:rFonts w:cs="Times New Roman"/>
                <w:sz w:val="21"/>
              </w:rPr>
            </w:pPr>
            <w:r>
              <w:rPr>
                <w:rFonts w:ascii="宋体" w:hAnsi="宋体" w:cs="宋体"/>
              </w:rPr>
              <w:t>不适用</w:t>
            </w:r>
          </w:p>
        </w:tc>
        <w:tc>
          <w:tcPr>
            <w:tcW w:w="466" w:type="pct"/>
            <w:tcMar>
              <w:top w:w="55" w:type="dxa"/>
              <w:left w:w="65" w:type="dxa"/>
              <w:bottom w:w="55" w:type="dxa"/>
              <w:right w:w="65" w:type="dxa"/>
            </w:tcMar>
            <w:vAlign w:val="center"/>
          </w:tcPr>
          <w:p w14:paraId="60E8F62B">
            <w:pPr>
              <w:pStyle w:val="33"/>
              <w:rPr>
                <w:rFonts w:cs="Times New Roman"/>
                <w:sz w:val="21"/>
              </w:rPr>
            </w:pPr>
            <w:r>
              <w:rPr>
                <w:rFonts w:ascii="宋体" w:hAnsi="宋体" w:cs="宋体"/>
              </w:rPr>
              <w:t>0项</w:t>
            </w:r>
          </w:p>
        </w:tc>
        <w:tc>
          <w:tcPr>
            <w:tcW w:w="1192" w:type="pct"/>
            <w:tcMar>
              <w:top w:w="55" w:type="dxa"/>
              <w:left w:w="65" w:type="dxa"/>
              <w:bottom w:w="55" w:type="dxa"/>
              <w:right w:w="65" w:type="dxa"/>
            </w:tcMar>
            <w:vAlign w:val="center"/>
          </w:tcPr>
          <w:p w14:paraId="6438AAA8">
            <w:pPr>
              <w:pStyle w:val="33"/>
              <w:rPr>
                <w:rFonts w:cs="Times New Roman"/>
                <w:sz w:val="21"/>
              </w:rPr>
            </w:pPr>
            <w:r>
              <w:rPr>
                <w:rFonts w:ascii="宋体" w:hAnsi="宋体" w:cs="宋体"/>
              </w:rPr>
              <w:t>实验测试设备由甲方提供，不属于乙方交付范围</w:t>
            </w:r>
          </w:p>
        </w:tc>
      </w:tr>
    </w:tbl>
    <w:p w14:paraId="7CDE56C5">
      <w:pPr>
        <w:spacing w:line="240" w:lineRule="auto"/>
        <w:contextualSpacing w:val="0"/>
        <w:jc w:val="left"/>
        <w:rPr>
          <w:rFonts w:hint="eastAsia" w:ascii="宋体" w:hAnsi="宋体" w:cs="宋体"/>
          <w:sz w:val="22"/>
          <w14:ligatures w14:val="none"/>
        </w:rPr>
      </w:pPr>
      <w:r>
        <w:rPr>
          <w:rFonts w:ascii="宋体" w:hAnsi="宋体" w:cs="宋体"/>
          <w:sz w:val="17"/>
          <w14:ligatures w14:val="none"/>
        </w:rPr>
        <w:t>注：本项目不涉及元器件交付；实验测试设备由甲方提供。</w:t>
      </w:r>
    </w:p>
    <w:p w14:paraId="78B3BE39">
      <w:pPr>
        <w:spacing w:line="264" w:lineRule="auto"/>
        <w:ind w:left="323" w:firstLine="440"/>
        <w:contextualSpacing w:val="0"/>
        <w:rPr>
          <w:rFonts w:hint="eastAsia" w:ascii="宋体" w:hAnsi="宋体" w:cs="宋体"/>
          <w:sz w:val="22"/>
          <w14:ligatures w14:val="none"/>
        </w:rPr>
      </w:pPr>
    </w:p>
    <w:p w14:paraId="229577E3">
      <w:pPr>
        <w:spacing w:line="240" w:lineRule="auto"/>
        <w:contextualSpacing w:val="0"/>
        <w:jc w:val="left"/>
        <w:rPr>
          <w:rFonts w:hint="eastAsia" w:ascii="宋体" w:hAnsi="宋体" w:cs="宋体"/>
          <w:sz w:val="22"/>
          <w14:ligatures w14:val="none"/>
        </w:rPr>
      </w:pPr>
      <w:r>
        <w:rPr>
          <w:rFonts w:ascii="宋体" w:hAnsi="宋体" w:cs="宋体"/>
          <w:sz w:val="19"/>
          <w14:ligatures w14:val="none"/>
        </w:rPr>
        <w:t>甲方验收人员：　　　　　　　　　　　　　　乙方验收人员：</w:t>
      </w:r>
    </w:p>
    <w:p w14:paraId="5B24F796">
      <w:pPr>
        <w:pageBreakBefore/>
        <w:spacing w:before="600" w:line="240" w:lineRule="auto"/>
        <w:contextualSpacing w:val="0"/>
        <w:jc w:val="left"/>
        <w:rPr>
          <w:rFonts w:hint="eastAsia" w:ascii="黑体" w:hAnsi="方正小标宋简体" w:cs="方正小标宋简体"/>
          <w:b/>
          <w:bCs/>
          <w:sz w:val="21"/>
          <w14:ligatures w14:val="none"/>
        </w:rPr>
      </w:pPr>
      <w:r>
        <w:rPr>
          <w:rFonts w:ascii="黑体" w:hAnsi="黑体" w:eastAsia="黑体" w:cs="黑体"/>
          <w:b/>
          <w14:ligatures w14:val="none"/>
        </w:rPr>
        <w:t>附表4</w:t>
      </w:r>
    </w:p>
    <w:p w14:paraId="343B1135">
      <w:pPr>
        <w:spacing w:line="240" w:lineRule="auto"/>
        <w:contextualSpacing w:val="0"/>
        <w:jc w:val="center"/>
        <w:rPr>
          <w:rFonts w:hint="eastAsia" w:ascii="方正小标宋简体" w:hAnsi="方正小标宋简体" w:eastAsia="方正小标宋简体" w:cs="方正小标宋简体"/>
          <w:b/>
          <w:bCs/>
          <w:sz w:val="21"/>
          <w14:ligatures w14:val="none"/>
        </w:rPr>
      </w:pPr>
      <w:r>
        <w:rPr>
          <w:rFonts w:ascii="方正小标宋简体" w:hAnsi="方正小标宋简体" w:eastAsia="方正小标宋简体" w:cs="方正小标宋简体"/>
          <w:sz w:val="30"/>
          <w14:ligatures w14:val="none"/>
        </w:rPr>
        <w:t>超声波全波形温度场重构理论及方法研究项目合同资料清单</w:t>
      </w:r>
    </w:p>
    <w:tbl>
      <w:tblPr>
        <w:tblStyle w:val="56"/>
        <w:tblW w:w="13177" w:type="dxa"/>
        <w:tblInd w:w="-109" w:type="dxa"/>
        <w:tblLayout w:type="fixed"/>
        <w:tblCellMar>
          <w:top w:w="0" w:type="dxa"/>
          <w:left w:w="265" w:type="dxa"/>
          <w:bottom w:w="0" w:type="dxa"/>
          <w:right w:w="115" w:type="dxa"/>
        </w:tblCellMar>
      </w:tblPr>
      <w:tblGrid>
        <w:gridCol w:w="895"/>
        <w:gridCol w:w="1336"/>
        <w:gridCol w:w="2835"/>
        <w:gridCol w:w="2126"/>
        <w:gridCol w:w="1701"/>
        <w:gridCol w:w="4284"/>
      </w:tblGrid>
      <w:tr w14:paraId="788B8D74">
        <w:tblPrEx>
          <w:tblCellMar>
            <w:top w:w="0" w:type="dxa"/>
            <w:left w:w="265" w:type="dxa"/>
            <w:bottom w:w="0" w:type="dxa"/>
            <w:right w:w="115" w:type="dxa"/>
          </w:tblCellMar>
        </w:tblPrEx>
        <w:trPr>
          <w:tblHeader/>
        </w:trPr>
        <w:tc>
          <w:tcPr>
            <w:tcW w:w="895"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90FDE51">
            <w:pPr>
              <w:pStyle w:val="33"/>
              <w:rPr>
                <w:rFonts w:cs="Times New Roman"/>
              </w:rPr>
            </w:pPr>
            <w:r>
              <w:rPr>
                <w:rFonts w:cs="Times New Roman"/>
              </w:rPr>
              <w:t>序号</w:t>
            </w:r>
          </w:p>
        </w:tc>
        <w:tc>
          <w:tcPr>
            <w:tcW w:w="1336"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0D0AEE1">
            <w:pPr>
              <w:pStyle w:val="33"/>
              <w:rPr>
                <w:rFonts w:cs="Times New Roman"/>
              </w:rPr>
            </w:pPr>
            <w:r>
              <w:rPr>
                <w:rFonts w:cs="Times New Roman"/>
              </w:rPr>
              <w:t>资料类别</w:t>
            </w:r>
          </w:p>
        </w:tc>
        <w:tc>
          <w:tcPr>
            <w:tcW w:w="2835"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0D1C554">
            <w:pPr>
              <w:pStyle w:val="33"/>
              <w:rPr>
                <w:rFonts w:cs="Times New Roman"/>
              </w:rPr>
            </w:pPr>
            <w:r>
              <w:rPr>
                <w:rFonts w:cs="Times New Roman"/>
              </w:rPr>
              <w:t>资料名称</w:t>
            </w:r>
          </w:p>
        </w:tc>
        <w:tc>
          <w:tcPr>
            <w:tcW w:w="2126"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3A8C0E51">
            <w:pPr>
              <w:pStyle w:val="33"/>
              <w:rPr>
                <w:rFonts w:cs="Times New Roman"/>
              </w:rPr>
            </w:pPr>
            <w:r>
              <w:rPr>
                <w:rFonts w:cs="Times New Roman"/>
              </w:rPr>
              <w:t>数量（份）</w:t>
            </w:r>
          </w:p>
        </w:tc>
        <w:tc>
          <w:tcPr>
            <w:tcW w:w="1701"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2A0E1B5C">
            <w:pPr>
              <w:pStyle w:val="33"/>
              <w:rPr>
                <w:rFonts w:cs="Times New Roman"/>
              </w:rPr>
            </w:pPr>
            <w:r>
              <w:rPr>
                <w:rFonts w:cs="Times New Roman"/>
              </w:rPr>
              <w:t>盒号</w:t>
            </w:r>
          </w:p>
        </w:tc>
        <w:tc>
          <w:tcPr>
            <w:tcW w:w="4284"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A3C5B68">
            <w:pPr>
              <w:pStyle w:val="33"/>
              <w:rPr>
                <w:rFonts w:cs="Times New Roman"/>
              </w:rPr>
            </w:pPr>
            <w:r>
              <w:rPr>
                <w:rFonts w:cs="Times New Roman"/>
              </w:rPr>
              <w:t>备注</w:t>
            </w:r>
          </w:p>
        </w:tc>
      </w:tr>
      <w:tr w14:paraId="4FD5CD2D">
        <w:tblPrEx>
          <w:tblCellMar>
            <w:top w:w="0" w:type="dxa"/>
            <w:left w:w="265" w:type="dxa"/>
            <w:bottom w:w="0" w:type="dxa"/>
            <w:right w:w="115" w:type="dxa"/>
          </w:tblCellMar>
        </w:tblPrEx>
        <w:tc>
          <w:tcPr>
            <w:tcW w:w="895"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1CBE91E8">
            <w:pPr>
              <w:pStyle w:val="33"/>
              <w:rPr>
                <w:rFonts w:cs="Times New Roman"/>
              </w:rPr>
            </w:pPr>
            <w:r>
              <w:rPr>
                <w:rFonts w:cs="Times New Roman"/>
              </w:rPr>
              <w:t>1</w:t>
            </w:r>
          </w:p>
        </w:tc>
        <w:tc>
          <w:tcPr>
            <w:tcW w:w="1336"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5F02102">
            <w:pPr>
              <w:pStyle w:val="33"/>
              <w:rPr>
                <w:rFonts w:cs="Times New Roman"/>
              </w:rPr>
            </w:pPr>
            <w:r>
              <w:rPr>
                <w:rFonts w:cs="Times New Roman"/>
              </w:rPr>
              <w:t>管理资料</w:t>
            </w:r>
          </w:p>
        </w:tc>
        <w:tc>
          <w:tcPr>
            <w:tcW w:w="2835"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82F3E9D">
            <w:pPr>
              <w:pStyle w:val="33"/>
              <w:rPr>
                <w:rFonts w:cs="Times New Roman"/>
              </w:rPr>
            </w:pPr>
            <w:r>
              <w:rPr>
                <w:rFonts w:cs="Times New Roman"/>
              </w:rPr>
              <w:t>签订的合同；技术任务书（含招投标文件）</w:t>
            </w:r>
          </w:p>
        </w:tc>
        <w:tc>
          <w:tcPr>
            <w:tcW w:w="2126"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4781F4A9">
            <w:pPr>
              <w:pStyle w:val="33"/>
              <w:rPr>
                <w:rFonts w:cs="Times New Roman"/>
              </w:rPr>
            </w:pPr>
            <w:r>
              <w:rPr>
                <w:rFonts w:cs="Times New Roman"/>
              </w:rPr>
              <w:t>各1份/套</w:t>
            </w:r>
          </w:p>
        </w:tc>
        <w:tc>
          <w:tcPr>
            <w:tcW w:w="1701"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F93D953">
            <w:pPr>
              <w:pStyle w:val="33"/>
              <w:rPr>
                <w:rFonts w:cs="Times New Roman"/>
              </w:rPr>
            </w:pPr>
            <w:r>
              <w:rPr>
                <w:rFonts w:cs="Times New Roman"/>
              </w:rPr>
              <w:t>未装盒</w:t>
            </w:r>
          </w:p>
        </w:tc>
        <w:tc>
          <w:tcPr>
            <w:tcW w:w="4284"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46052E80">
            <w:pPr>
              <w:pStyle w:val="33"/>
              <w:rPr>
                <w:rFonts w:cs="Times New Roman"/>
              </w:rPr>
            </w:pPr>
            <w:r>
              <w:rPr>
                <w:rFonts w:cs="Times New Roman"/>
              </w:rPr>
              <w:t>纸质版1套（盖章），电子版1套</w:t>
            </w:r>
          </w:p>
        </w:tc>
      </w:tr>
      <w:tr w14:paraId="04D56252">
        <w:tblPrEx>
          <w:tblCellMar>
            <w:top w:w="0" w:type="dxa"/>
            <w:left w:w="265" w:type="dxa"/>
            <w:bottom w:w="0" w:type="dxa"/>
            <w:right w:w="115" w:type="dxa"/>
          </w:tblCellMar>
        </w:tblPrEx>
        <w:tc>
          <w:tcPr>
            <w:tcW w:w="895"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82D07AB">
            <w:pPr>
              <w:pStyle w:val="33"/>
              <w:rPr>
                <w:rFonts w:cs="Times New Roman"/>
              </w:rPr>
            </w:pPr>
            <w:r>
              <w:rPr>
                <w:rFonts w:cs="Times New Roman"/>
              </w:rPr>
              <w:t>2</w:t>
            </w:r>
          </w:p>
        </w:tc>
        <w:tc>
          <w:tcPr>
            <w:tcW w:w="1336"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28C2088">
            <w:pPr>
              <w:pStyle w:val="33"/>
              <w:rPr>
                <w:rFonts w:cs="Times New Roman"/>
              </w:rPr>
            </w:pPr>
            <w:r>
              <w:rPr>
                <w:rFonts w:cs="Times New Roman"/>
              </w:rPr>
              <w:t>设计资料</w:t>
            </w:r>
          </w:p>
        </w:tc>
        <w:tc>
          <w:tcPr>
            <w:tcW w:w="2835"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64C8F372">
            <w:pPr>
              <w:pStyle w:val="33"/>
              <w:rPr>
                <w:rFonts w:cs="Times New Roman"/>
              </w:rPr>
            </w:pPr>
            <w:r>
              <w:rPr>
                <w:rFonts w:cs="Times New Roman"/>
              </w:rPr>
              <w:t>实施方案及评审通过意见</w:t>
            </w:r>
          </w:p>
        </w:tc>
        <w:tc>
          <w:tcPr>
            <w:tcW w:w="2126"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0C3047CA">
            <w:pPr>
              <w:pStyle w:val="33"/>
              <w:rPr>
                <w:rFonts w:cs="Times New Roman"/>
              </w:rPr>
            </w:pPr>
            <w:r>
              <w:rPr>
                <w:rFonts w:cs="Times New Roman"/>
              </w:rPr>
              <w:t>1套</w:t>
            </w:r>
          </w:p>
        </w:tc>
        <w:tc>
          <w:tcPr>
            <w:tcW w:w="1701"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333ECF06">
            <w:pPr>
              <w:pStyle w:val="33"/>
              <w:rPr>
                <w:rFonts w:cs="Times New Roman"/>
              </w:rPr>
            </w:pPr>
            <w:r>
              <w:rPr>
                <w:rFonts w:cs="Times New Roman"/>
              </w:rPr>
              <w:t>未装盒</w:t>
            </w:r>
          </w:p>
        </w:tc>
        <w:tc>
          <w:tcPr>
            <w:tcW w:w="4284"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0B98ED54">
            <w:pPr>
              <w:pStyle w:val="33"/>
              <w:rPr>
                <w:rFonts w:cs="Times New Roman"/>
              </w:rPr>
            </w:pPr>
            <w:r>
              <w:rPr>
                <w:rFonts w:cs="Times New Roman"/>
              </w:rPr>
              <w:t>实施方案评审日期：2025年10月24日</w:t>
            </w:r>
          </w:p>
        </w:tc>
      </w:tr>
      <w:tr w14:paraId="227099F0">
        <w:tblPrEx>
          <w:tblCellMar>
            <w:top w:w="0" w:type="dxa"/>
            <w:left w:w="265" w:type="dxa"/>
            <w:bottom w:w="0" w:type="dxa"/>
            <w:right w:w="115" w:type="dxa"/>
          </w:tblCellMar>
        </w:tblPrEx>
        <w:tc>
          <w:tcPr>
            <w:tcW w:w="895"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09299D1D">
            <w:pPr>
              <w:pStyle w:val="33"/>
              <w:rPr>
                <w:rFonts w:cs="Times New Roman"/>
              </w:rPr>
            </w:pPr>
            <w:r>
              <w:rPr>
                <w:rFonts w:cs="Times New Roman"/>
              </w:rPr>
              <w:t>3</w:t>
            </w:r>
          </w:p>
        </w:tc>
        <w:tc>
          <w:tcPr>
            <w:tcW w:w="1336"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1C7D134A">
            <w:pPr>
              <w:pStyle w:val="33"/>
              <w:rPr>
                <w:rFonts w:cs="Times New Roman"/>
              </w:rPr>
            </w:pPr>
            <w:r>
              <w:rPr>
                <w:rFonts w:cs="Times New Roman"/>
              </w:rPr>
              <w:t>研制资料</w:t>
            </w:r>
          </w:p>
        </w:tc>
        <w:tc>
          <w:tcPr>
            <w:tcW w:w="2835"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0559C8BD">
            <w:pPr>
              <w:pStyle w:val="33"/>
              <w:rPr>
                <w:rFonts w:cs="Times New Roman"/>
              </w:rPr>
            </w:pPr>
            <w:r>
              <w:rPr>
                <w:rFonts w:cs="Times New Roman"/>
              </w:rPr>
              <w:t>三个模块完整程序代码及技术文档；技术报告</w:t>
            </w:r>
          </w:p>
        </w:tc>
        <w:tc>
          <w:tcPr>
            <w:tcW w:w="2126"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6076BFBE">
            <w:pPr>
              <w:pStyle w:val="33"/>
              <w:rPr>
                <w:rFonts w:cs="Times New Roman"/>
              </w:rPr>
            </w:pPr>
            <w:r>
              <w:rPr>
                <w:rFonts w:cs="Times New Roman"/>
              </w:rPr>
              <w:t>代码3套；技术报告1套</w:t>
            </w:r>
          </w:p>
        </w:tc>
        <w:tc>
          <w:tcPr>
            <w:tcW w:w="1701"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46A6C7FF">
            <w:pPr>
              <w:pStyle w:val="33"/>
              <w:rPr>
                <w:rFonts w:cs="Times New Roman"/>
              </w:rPr>
            </w:pPr>
            <w:r>
              <w:rPr>
                <w:rFonts w:cs="Times New Roman"/>
              </w:rPr>
              <w:t>未装盒</w:t>
            </w:r>
          </w:p>
        </w:tc>
        <w:tc>
          <w:tcPr>
            <w:tcW w:w="4284"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075351AA">
            <w:pPr>
              <w:pStyle w:val="33"/>
              <w:rPr>
                <w:rFonts w:cs="Times New Roman"/>
              </w:rPr>
            </w:pPr>
            <w:r>
              <w:rPr>
                <w:rFonts w:cs="Times New Roman"/>
              </w:rPr>
              <w:t>代码注释不少于各模块总行数的30%</w:t>
            </w:r>
          </w:p>
        </w:tc>
      </w:tr>
      <w:tr w14:paraId="7A8C6460">
        <w:tblPrEx>
          <w:tblCellMar>
            <w:top w:w="0" w:type="dxa"/>
            <w:left w:w="265" w:type="dxa"/>
            <w:bottom w:w="0" w:type="dxa"/>
            <w:right w:w="115" w:type="dxa"/>
          </w:tblCellMar>
        </w:tblPrEx>
        <w:tc>
          <w:tcPr>
            <w:tcW w:w="895"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4CE41FC">
            <w:pPr>
              <w:pStyle w:val="33"/>
              <w:rPr>
                <w:rFonts w:cs="Times New Roman"/>
              </w:rPr>
            </w:pPr>
            <w:r>
              <w:rPr>
                <w:rFonts w:cs="Times New Roman"/>
              </w:rPr>
              <w:t>4</w:t>
            </w:r>
          </w:p>
        </w:tc>
        <w:tc>
          <w:tcPr>
            <w:tcW w:w="1336"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07C64A6D">
            <w:pPr>
              <w:pStyle w:val="33"/>
              <w:rPr>
                <w:rFonts w:cs="Times New Roman"/>
              </w:rPr>
            </w:pPr>
            <w:r>
              <w:rPr>
                <w:rFonts w:cs="Times New Roman"/>
              </w:rPr>
              <w:t>安装调试</w:t>
            </w:r>
          </w:p>
        </w:tc>
        <w:tc>
          <w:tcPr>
            <w:tcW w:w="2835"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D21DDF6">
            <w:pPr>
              <w:pStyle w:val="33"/>
              <w:rPr>
                <w:rFonts w:cs="Times New Roman"/>
              </w:rPr>
            </w:pPr>
            <w:r>
              <w:rPr>
                <w:rFonts w:cs="Times New Roman"/>
              </w:rPr>
              <w:t>操作手册、帮助文档；程序测试记录表</w:t>
            </w:r>
          </w:p>
        </w:tc>
        <w:tc>
          <w:tcPr>
            <w:tcW w:w="2126"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74D0034">
            <w:pPr>
              <w:pStyle w:val="33"/>
              <w:rPr>
                <w:rFonts w:cs="Times New Roman"/>
              </w:rPr>
            </w:pPr>
            <w:r>
              <w:rPr>
                <w:rFonts w:cs="Times New Roman"/>
              </w:rPr>
              <w:t>各1套</w:t>
            </w:r>
          </w:p>
        </w:tc>
        <w:tc>
          <w:tcPr>
            <w:tcW w:w="1701"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600DC2ED">
            <w:pPr>
              <w:pStyle w:val="33"/>
              <w:rPr>
                <w:rFonts w:cs="Times New Roman"/>
              </w:rPr>
            </w:pPr>
            <w:r>
              <w:rPr>
                <w:rFonts w:cs="Times New Roman"/>
              </w:rPr>
              <w:t>未装盒</w:t>
            </w:r>
          </w:p>
        </w:tc>
        <w:tc>
          <w:tcPr>
            <w:tcW w:w="4284"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0AFBD7A4">
            <w:pPr>
              <w:pStyle w:val="33"/>
              <w:rPr>
                <w:rFonts w:cs="Times New Roman"/>
              </w:rPr>
            </w:pPr>
            <w:r>
              <w:rPr>
                <w:rFonts w:cs="Times New Roman"/>
              </w:rPr>
              <w:t>含安装运行、操作说明、常见错误及解决方案</w:t>
            </w:r>
          </w:p>
        </w:tc>
      </w:tr>
      <w:tr w14:paraId="67EFE5A6">
        <w:tblPrEx>
          <w:tblCellMar>
            <w:top w:w="0" w:type="dxa"/>
            <w:left w:w="265" w:type="dxa"/>
            <w:bottom w:w="0" w:type="dxa"/>
            <w:right w:w="115" w:type="dxa"/>
          </w:tblCellMar>
        </w:tblPrEx>
        <w:tc>
          <w:tcPr>
            <w:tcW w:w="895"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6F3A0BF">
            <w:pPr>
              <w:pStyle w:val="33"/>
              <w:rPr>
                <w:rFonts w:cs="Times New Roman"/>
              </w:rPr>
            </w:pPr>
            <w:r>
              <w:rPr>
                <w:rFonts w:cs="Times New Roman"/>
              </w:rPr>
              <w:t>5</w:t>
            </w:r>
          </w:p>
        </w:tc>
        <w:tc>
          <w:tcPr>
            <w:tcW w:w="1336"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B6AB28C">
            <w:pPr>
              <w:pStyle w:val="33"/>
              <w:rPr>
                <w:rFonts w:cs="Times New Roman"/>
              </w:rPr>
            </w:pPr>
            <w:r>
              <w:rPr>
                <w:rFonts w:cs="Times New Roman"/>
              </w:rPr>
              <w:t>测试验收</w:t>
            </w:r>
          </w:p>
        </w:tc>
        <w:tc>
          <w:tcPr>
            <w:tcW w:w="2835"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4750AC1B">
            <w:pPr>
              <w:pStyle w:val="33"/>
              <w:rPr>
                <w:rFonts w:cs="Times New Roman"/>
              </w:rPr>
            </w:pPr>
            <w:r>
              <w:rPr>
                <w:rFonts w:cs="Times New Roman"/>
              </w:rPr>
              <w:t>测试大纲及评审意见；测试报告及评审意见</w:t>
            </w:r>
          </w:p>
        </w:tc>
        <w:tc>
          <w:tcPr>
            <w:tcW w:w="2126"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CE75C66">
            <w:pPr>
              <w:pStyle w:val="33"/>
              <w:rPr>
                <w:rFonts w:cs="Times New Roman"/>
              </w:rPr>
            </w:pPr>
            <w:r>
              <w:rPr>
                <w:rFonts w:cs="Times New Roman"/>
              </w:rPr>
              <w:t>各1套</w:t>
            </w:r>
          </w:p>
        </w:tc>
        <w:tc>
          <w:tcPr>
            <w:tcW w:w="1701"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2D0B807">
            <w:pPr>
              <w:pStyle w:val="33"/>
              <w:rPr>
                <w:rFonts w:cs="Times New Roman"/>
              </w:rPr>
            </w:pPr>
            <w:r>
              <w:rPr>
                <w:rFonts w:cs="Times New Roman"/>
              </w:rPr>
              <w:t>未装盒</w:t>
            </w:r>
          </w:p>
        </w:tc>
        <w:tc>
          <w:tcPr>
            <w:tcW w:w="4284"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2C30D1DD">
            <w:pPr>
              <w:pStyle w:val="33"/>
              <w:rPr>
                <w:rFonts w:cs="Times New Roman"/>
              </w:rPr>
            </w:pPr>
            <w:r>
              <w:rPr>
                <w:rFonts w:cs="Times New Roman"/>
              </w:rPr>
              <w:t>测试大纲、测试报告评审日期分别为2026年6月5日、2026年7月18日</w:t>
            </w:r>
          </w:p>
        </w:tc>
      </w:tr>
      <w:tr w14:paraId="25C0937F">
        <w:tblPrEx>
          <w:tblCellMar>
            <w:top w:w="0" w:type="dxa"/>
            <w:left w:w="265" w:type="dxa"/>
            <w:bottom w:w="0" w:type="dxa"/>
            <w:right w:w="115" w:type="dxa"/>
          </w:tblCellMar>
        </w:tblPrEx>
        <w:tc>
          <w:tcPr>
            <w:tcW w:w="895"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949ED63">
            <w:pPr>
              <w:pStyle w:val="33"/>
              <w:rPr>
                <w:rFonts w:cs="Times New Roman"/>
              </w:rPr>
            </w:pPr>
            <w:r>
              <w:rPr>
                <w:rFonts w:hint="eastAsia" w:cs="Times New Roman"/>
              </w:rPr>
              <w:t>6</w:t>
            </w:r>
          </w:p>
        </w:tc>
        <w:tc>
          <w:tcPr>
            <w:tcW w:w="1336"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2424F83C">
            <w:pPr>
              <w:pStyle w:val="33"/>
              <w:rPr>
                <w:rFonts w:cs="Times New Roman"/>
              </w:rPr>
            </w:pPr>
            <w:r>
              <w:rPr>
                <w:rFonts w:cs="Times New Roman"/>
              </w:rPr>
              <w:t>数据资料</w:t>
            </w:r>
          </w:p>
        </w:tc>
        <w:tc>
          <w:tcPr>
            <w:tcW w:w="2835"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3953E6A5">
            <w:pPr>
              <w:pStyle w:val="33"/>
              <w:rPr>
                <w:rFonts w:cs="Times New Roman"/>
              </w:rPr>
            </w:pPr>
            <w:r>
              <w:rPr>
                <w:rFonts w:cs="Times New Roman"/>
              </w:rPr>
              <w:t>程序测试数据（含误差分析）；实验测试数据（含误差分析）；温度—声学参数数据库</w:t>
            </w:r>
          </w:p>
        </w:tc>
        <w:tc>
          <w:tcPr>
            <w:tcW w:w="2126"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62C42167">
            <w:pPr>
              <w:pStyle w:val="33"/>
              <w:rPr>
                <w:rFonts w:cs="Times New Roman"/>
              </w:rPr>
            </w:pPr>
            <w:r>
              <w:rPr>
                <w:rFonts w:cs="Times New Roman"/>
              </w:rPr>
              <w:t>测试数据2套；数据库1套</w:t>
            </w:r>
          </w:p>
        </w:tc>
        <w:tc>
          <w:tcPr>
            <w:tcW w:w="1701"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194267FA">
            <w:pPr>
              <w:pStyle w:val="33"/>
              <w:rPr>
                <w:rFonts w:cs="Times New Roman"/>
              </w:rPr>
            </w:pPr>
            <w:r>
              <w:rPr>
                <w:rFonts w:cs="Times New Roman"/>
              </w:rPr>
              <w:t>未装盒</w:t>
            </w:r>
          </w:p>
        </w:tc>
        <w:tc>
          <w:tcPr>
            <w:tcW w:w="4284" w:type="dxa"/>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239BA974">
            <w:pPr>
              <w:pStyle w:val="33"/>
              <w:rPr>
                <w:rFonts w:cs="Times New Roman"/>
              </w:rPr>
            </w:pPr>
            <w:r>
              <w:rPr>
                <w:rFonts w:cs="Times New Roman"/>
              </w:rPr>
              <w:t>数据库含仿真与实验数据</w:t>
            </w:r>
          </w:p>
        </w:tc>
      </w:tr>
    </w:tbl>
    <w:p w14:paraId="67E72622">
      <w:pPr>
        <w:spacing w:line="240" w:lineRule="auto"/>
        <w:contextualSpacing w:val="0"/>
        <w:jc w:val="left"/>
        <w:rPr>
          <w:rFonts w:cs="Times New Roman"/>
          <w:sz w:val="21"/>
          <w14:ligatures w14:val="none"/>
        </w:rPr>
      </w:pPr>
      <w:r>
        <w:rPr>
          <w:rFonts w:ascii="宋体" w:hAnsi="宋体" w:cs="宋体"/>
          <w:sz w:val="17"/>
          <w14:ligatures w14:val="none"/>
        </w:rPr>
        <w:t>注：资料数量按合同、任务书及技术报告交付清单填写；盒号因现有资料未明确，统一标注“未装盒”。</w:t>
      </w:r>
    </w:p>
    <w:p w14:paraId="29AECCA1">
      <w:pPr>
        <w:pageBreakBefore/>
        <w:spacing w:before="600" w:line="240" w:lineRule="auto"/>
        <w:contextualSpacing w:val="0"/>
        <w:jc w:val="left"/>
        <w:rPr>
          <w:rFonts w:hint="eastAsia" w:ascii="黑体" w:hAnsi="方正小标宋简体" w:cs="方正小标宋简体"/>
          <w:b/>
          <w:bCs/>
          <w:sz w:val="21"/>
          <w14:ligatures w14:val="none"/>
        </w:rPr>
      </w:pPr>
      <w:r>
        <w:rPr>
          <w:rFonts w:ascii="黑体" w:hAnsi="黑体" w:eastAsia="黑体" w:cs="黑体"/>
          <w:b/>
          <w14:ligatures w14:val="none"/>
        </w:rPr>
        <w:t>附表5</w:t>
      </w:r>
    </w:p>
    <w:p w14:paraId="31ED1401">
      <w:pPr>
        <w:spacing w:line="240" w:lineRule="auto"/>
        <w:contextualSpacing w:val="0"/>
        <w:jc w:val="center"/>
        <w:rPr>
          <w:rFonts w:hint="eastAsia" w:ascii="方正小标宋简体" w:hAnsi="方正小标宋简体" w:eastAsia="方正小标宋简体" w:cs="方正小标宋简体"/>
          <w:b/>
          <w:bCs/>
          <w:sz w:val="21"/>
          <w14:ligatures w14:val="none"/>
        </w:rPr>
      </w:pPr>
      <w:r>
        <w:rPr>
          <w:rFonts w:ascii="方正小标宋简体" w:hAnsi="方正小标宋简体" w:eastAsia="方正小标宋简体" w:cs="方正小标宋简体"/>
          <w:sz w:val="30"/>
          <w14:ligatures w14:val="none"/>
        </w:rPr>
        <w:t>超声波全波形温度场重构理论及方法研究项目合同资料验收记录表</w:t>
      </w:r>
    </w:p>
    <w:tbl>
      <w:tblPr>
        <w:tblStyle w:val="56"/>
        <w:tblW w:w="5000" w:type="pct"/>
        <w:tblInd w:w="0" w:type="dxa"/>
        <w:tblLayout w:type="autofit"/>
        <w:tblCellMar>
          <w:top w:w="0" w:type="dxa"/>
          <w:left w:w="151" w:type="dxa"/>
          <w:bottom w:w="0" w:type="dxa"/>
          <w:right w:w="154" w:type="dxa"/>
        </w:tblCellMar>
      </w:tblPr>
      <w:tblGrid>
        <w:gridCol w:w="630"/>
        <w:gridCol w:w="1104"/>
        <w:gridCol w:w="2585"/>
        <w:gridCol w:w="2850"/>
        <w:gridCol w:w="1555"/>
        <w:gridCol w:w="1683"/>
        <w:gridCol w:w="2340"/>
      </w:tblGrid>
      <w:tr w14:paraId="0D2F8034">
        <w:tblPrEx>
          <w:tblCellMar>
            <w:top w:w="0" w:type="dxa"/>
            <w:left w:w="151" w:type="dxa"/>
            <w:bottom w:w="0" w:type="dxa"/>
            <w:right w:w="154" w:type="dxa"/>
          </w:tblCellMar>
        </w:tblPrEx>
        <w:trPr>
          <w:tblHeader/>
        </w:trPr>
        <w:tc>
          <w:tcPr>
            <w:tcW w:w="247" w:type="pct"/>
            <w:tcBorders>
              <w:top w:val="single" w:color="000000" w:sz="4" w:space="0"/>
              <w:left w:val="single" w:color="000000" w:sz="4" w:space="0"/>
              <w:bottom w:val="single" w:color="000000" w:sz="4" w:space="0"/>
              <w:right w:val="single" w:color="auto" w:sz="4" w:space="0"/>
            </w:tcBorders>
            <w:tcMar>
              <w:top w:w="55" w:type="dxa"/>
              <w:left w:w="65" w:type="dxa"/>
              <w:bottom w:w="55" w:type="dxa"/>
              <w:right w:w="65" w:type="dxa"/>
            </w:tcMar>
            <w:vAlign w:val="center"/>
          </w:tcPr>
          <w:p w14:paraId="6F254A32">
            <w:pPr>
              <w:pStyle w:val="33"/>
              <w:rPr>
                <w:rFonts w:cs="Times New Roman"/>
              </w:rPr>
            </w:pPr>
            <w:r>
              <w:rPr>
                <w:rFonts w:cs="Times New Roman"/>
              </w:rPr>
              <w:t>序号</w:t>
            </w:r>
          </w:p>
        </w:tc>
        <w:tc>
          <w:tcPr>
            <w:tcW w:w="1447" w:type="pct"/>
            <w:gridSpan w:val="2"/>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049C4638">
            <w:pPr>
              <w:pStyle w:val="33"/>
              <w:rPr>
                <w:rFonts w:cs="Times New Roman"/>
              </w:rPr>
            </w:pPr>
            <w:r>
              <w:rPr>
                <w:rFonts w:cs="Times New Roman"/>
              </w:rPr>
              <w:t>资料内容</w:t>
            </w:r>
          </w:p>
        </w:tc>
        <w:tc>
          <w:tcPr>
            <w:tcW w:w="1118"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7A3E951A">
            <w:pPr>
              <w:pStyle w:val="33"/>
              <w:rPr>
                <w:rFonts w:cs="Times New Roman"/>
              </w:rPr>
            </w:pPr>
            <w:r>
              <w:rPr>
                <w:rFonts w:cs="Times New Roman"/>
              </w:rPr>
              <w:t>验收方法</w:t>
            </w:r>
          </w:p>
        </w:tc>
        <w:tc>
          <w:tcPr>
            <w:tcW w:w="610"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4DEB0094">
            <w:pPr>
              <w:pStyle w:val="33"/>
              <w:rPr>
                <w:rFonts w:cs="Times New Roman"/>
              </w:rPr>
            </w:pPr>
            <w:r>
              <w:rPr>
                <w:rFonts w:cs="Times New Roman"/>
              </w:rPr>
              <w:t>数量（份）</w:t>
            </w:r>
          </w:p>
        </w:tc>
        <w:tc>
          <w:tcPr>
            <w:tcW w:w="660"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4B820A9A">
            <w:pPr>
              <w:pStyle w:val="33"/>
              <w:rPr>
                <w:rFonts w:cs="Times New Roman"/>
              </w:rPr>
            </w:pPr>
            <w:r>
              <w:rPr>
                <w:rFonts w:cs="Times New Roman"/>
              </w:rPr>
              <w:t>结论</w:t>
            </w:r>
          </w:p>
        </w:tc>
        <w:tc>
          <w:tcPr>
            <w:tcW w:w="918"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56DD91CE">
            <w:pPr>
              <w:pStyle w:val="33"/>
              <w:rPr>
                <w:rFonts w:cs="Times New Roman"/>
              </w:rPr>
            </w:pPr>
            <w:r>
              <w:rPr>
                <w:rFonts w:cs="Times New Roman"/>
              </w:rPr>
              <w:t>备注</w:t>
            </w:r>
          </w:p>
        </w:tc>
      </w:tr>
      <w:tr w14:paraId="7BA4B58F">
        <w:tblPrEx>
          <w:tblCellMar>
            <w:top w:w="0" w:type="dxa"/>
            <w:left w:w="151" w:type="dxa"/>
            <w:bottom w:w="0" w:type="dxa"/>
            <w:right w:w="154" w:type="dxa"/>
          </w:tblCellMar>
        </w:tblPrEx>
        <w:tc>
          <w:tcPr>
            <w:tcW w:w="247" w:type="pct"/>
            <w:tcBorders>
              <w:top w:val="single" w:color="000000" w:sz="4" w:space="0"/>
              <w:left w:val="single" w:color="000000" w:sz="4" w:space="0"/>
              <w:bottom w:val="single" w:color="000000" w:sz="4" w:space="0"/>
              <w:right w:val="single" w:color="auto" w:sz="4" w:space="0"/>
            </w:tcBorders>
            <w:tcMar>
              <w:top w:w="55" w:type="dxa"/>
              <w:left w:w="65" w:type="dxa"/>
              <w:bottom w:w="55" w:type="dxa"/>
              <w:right w:w="65" w:type="dxa"/>
            </w:tcMar>
            <w:vAlign w:val="center"/>
          </w:tcPr>
          <w:p w14:paraId="725601BC">
            <w:pPr>
              <w:pStyle w:val="33"/>
              <w:rPr>
                <w:rFonts w:cs="Times New Roman"/>
              </w:rPr>
            </w:pPr>
            <w:r>
              <w:rPr>
                <w:rFonts w:cs="Times New Roman"/>
              </w:rPr>
              <w:t>1</w:t>
            </w:r>
          </w:p>
        </w:tc>
        <w:tc>
          <w:tcPr>
            <w:tcW w:w="433"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688D8800">
            <w:pPr>
              <w:pStyle w:val="33"/>
              <w:rPr>
                <w:rFonts w:cs="Times New Roman"/>
              </w:rPr>
            </w:pPr>
            <w:r>
              <w:rPr>
                <w:rFonts w:cs="Times New Roman"/>
              </w:rPr>
              <w:t>管理资料</w:t>
            </w:r>
          </w:p>
        </w:tc>
        <w:tc>
          <w:tcPr>
            <w:tcW w:w="1014"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18A747D6">
            <w:pPr>
              <w:pStyle w:val="33"/>
              <w:rPr>
                <w:rFonts w:cs="Times New Roman"/>
              </w:rPr>
            </w:pPr>
            <w:r>
              <w:rPr>
                <w:rFonts w:cs="Times New Roman"/>
              </w:rPr>
              <w:t>合同、技术任务书及招投标文件</w:t>
            </w:r>
          </w:p>
        </w:tc>
        <w:tc>
          <w:tcPr>
            <w:tcW w:w="1118"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647B9C6E">
            <w:pPr>
              <w:pStyle w:val="33"/>
              <w:rPr>
                <w:rFonts w:cs="Times New Roman"/>
              </w:rPr>
            </w:pPr>
            <w:r>
              <w:rPr>
                <w:rFonts w:cs="Times New Roman"/>
              </w:rPr>
              <w:t>清点文件，核查签章、版本及纸电一致性</w:t>
            </w:r>
          </w:p>
        </w:tc>
        <w:tc>
          <w:tcPr>
            <w:tcW w:w="610"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752D10EF">
            <w:pPr>
              <w:pStyle w:val="33"/>
              <w:rPr>
                <w:rFonts w:cs="Times New Roman"/>
              </w:rPr>
            </w:pPr>
            <w:r>
              <w:rPr>
                <w:rFonts w:cs="Times New Roman"/>
              </w:rPr>
              <w:t>各1份/套</w:t>
            </w:r>
          </w:p>
        </w:tc>
        <w:tc>
          <w:tcPr>
            <w:tcW w:w="660"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5CEF8D05">
            <w:pPr>
              <w:pStyle w:val="33"/>
              <w:rPr>
                <w:rFonts w:cs="Times New Roman"/>
              </w:rPr>
            </w:pPr>
            <w:r>
              <w:rPr>
                <w:rFonts w:cs="Times New Roman"/>
              </w:rPr>
              <w:t>符合</w:t>
            </w:r>
          </w:p>
        </w:tc>
        <w:tc>
          <w:tcPr>
            <w:tcW w:w="918"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6D01DDBE">
            <w:pPr>
              <w:pStyle w:val="33"/>
              <w:rPr>
                <w:rFonts w:cs="Times New Roman"/>
              </w:rPr>
            </w:pPr>
            <w:r>
              <w:rPr>
                <w:rFonts w:cs="Times New Roman"/>
              </w:rPr>
              <w:t>合同签订日期：2025年9月28日</w:t>
            </w:r>
          </w:p>
        </w:tc>
      </w:tr>
      <w:tr w14:paraId="0B932462">
        <w:tblPrEx>
          <w:tblCellMar>
            <w:top w:w="0" w:type="dxa"/>
            <w:left w:w="151" w:type="dxa"/>
            <w:bottom w:w="0" w:type="dxa"/>
            <w:right w:w="154" w:type="dxa"/>
          </w:tblCellMar>
        </w:tblPrEx>
        <w:tc>
          <w:tcPr>
            <w:tcW w:w="247" w:type="pct"/>
            <w:tcBorders>
              <w:top w:val="single" w:color="000000" w:sz="4" w:space="0"/>
              <w:left w:val="single" w:color="000000" w:sz="4" w:space="0"/>
              <w:bottom w:val="single" w:color="000000" w:sz="4" w:space="0"/>
              <w:right w:val="single" w:color="auto" w:sz="4" w:space="0"/>
            </w:tcBorders>
            <w:tcMar>
              <w:top w:w="55" w:type="dxa"/>
              <w:left w:w="65" w:type="dxa"/>
              <w:bottom w:w="55" w:type="dxa"/>
              <w:right w:w="65" w:type="dxa"/>
            </w:tcMar>
            <w:vAlign w:val="center"/>
          </w:tcPr>
          <w:p w14:paraId="78D632BF">
            <w:pPr>
              <w:pStyle w:val="33"/>
              <w:rPr>
                <w:rFonts w:cs="Times New Roman"/>
              </w:rPr>
            </w:pPr>
            <w:r>
              <w:rPr>
                <w:rFonts w:cs="Times New Roman"/>
              </w:rPr>
              <w:t>2</w:t>
            </w:r>
          </w:p>
        </w:tc>
        <w:tc>
          <w:tcPr>
            <w:tcW w:w="433"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4C65B6B5">
            <w:pPr>
              <w:pStyle w:val="33"/>
              <w:rPr>
                <w:rFonts w:cs="Times New Roman"/>
              </w:rPr>
            </w:pPr>
            <w:r>
              <w:rPr>
                <w:rFonts w:cs="Times New Roman"/>
              </w:rPr>
              <w:t>设计资料</w:t>
            </w:r>
          </w:p>
        </w:tc>
        <w:tc>
          <w:tcPr>
            <w:tcW w:w="1014"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751F1830">
            <w:pPr>
              <w:pStyle w:val="33"/>
              <w:rPr>
                <w:rFonts w:cs="Times New Roman"/>
              </w:rPr>
            </w:pPr>
            <w:r>
              <w:rPr>
                <w:rFonts w:cs="Times New Roman"/>
              </w:rPr>
              <w:t>实施方案及评审通过意见</w:t>
            </w:r>
          </w:p>
        </w:tc>
        <w:tc>
          <w:tcPr>
            <w:tcW w:w="1118"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44EFF2DB">
            <w:pPr>
              <w:pStyle w:val="33"/>
              <w:rPr>
                <w:rFonts w:cs="Times New Roman"/>
              </w:rPr>
            </w:pPr>
            <w:r>
              <w:rPr>
                <w:rFonts w:cs="Times New Roman"/>
              </w:rPr>
              <w:t>查阅实施方案与评审意见，核对评审日期</w:t>
            </w:r>
          </w:p>
        </w:tc>
        <w:tc>
          <w:tcPr>
            <w:tcW w:w="610"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44449A7E">
            <w:pPr>
              <w:pStyle w:val="33"/>
              <w:rPr>
                <w:rFonts w:cs="Times New Roman"/>
              </w:rPr>
            </w:pPr>
            <w:r>
              <w:rPr>
                <w:rFonts w:cs="Times New Roman"/>
              </w:rPr>
              <w:t>1套</w:t>
            </w:r>
          </w:p>
        </w:tc>
        <w:tc>
          <w:tcPr>
            <w:tcW w:w="660"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16E7B2EF">
            <w:pPr>
              <w:pStyle w:val="33"/>
              <w:rPr>
                <w:rFonts w:cs="Times New Roman"/>
              </w:rPr>
            </w:pPr>
            <w:r>
              <w:rPr>
                <w:rFonts w:cs="Times New Roman"/>
              </w:rPr>
              <w:t>符合</w:t>
            </w:r>
          </w:p>
        </w:tc>
        <w:tc>
          <w:tcPr>
            <w:tcW w:w="918"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51C84886">
            <w:pPr>
              <w:pStyle w:val="33"/>
              <w:rPr>
                <w:rFonts w:cs="Times New Roman"/>
              </w:rPr>
            </w:pPr>
            <w:r>
              <w:rPr>
                <w:rFonts w:cs="Times New Roman"/>
              </w:rPr>
              <w:t>2025年10月24日完成评审</w:t>
            </w:r>
          </w:p>
        </w:tc>
      </w:tr>
      <w:tr w14:paraId="5AF0F67B">
        <w:tblPrEx>
          <w:tblCellMar>
            <w:top w:w="0" w:type="dxa"/>
            <w:left w:w="151" w:type="dxa"/>
            <w:bottom w:w="0" w:type="dxa"/>
            <w:right w:w="154" w:type="dxa"/>
          </w:tblCellMar>
        </w:tblPrEx>
        <w:tc>
          <w:tcPr>
            <w:tcW w:w="247" w:type="pct"/>
            <w:tcBorders>
              <w:top w:val="single" w:color="000000" w:sz="4" w:space="0"/>
              <w:left w:val="single" w:color="000000" w:sz="4" w:space="0"/>
              <w:bottom w:val="single" w:color="000000" w:sz="4" w:space="0"/>
              <w:right w:val="single" w:color="auto" w:sz="4" w:space="0"/>
            </w:tcBorders>
            <w:tcMar>
              <w:top w:w="55" w:type="dxa"/>
              <w:left w:w="65" w:type="dxa"/>
              <w:bottom w:w="55" w:type="dxa"/>
              <w:right w:w="65" w:type="dxa"/>
            </w:tcMar>
            <w:vAlign w:val="center"/>
          </w:tcPr>
          <w:p w14:paraId="26E78611">
            <w:pPr>
              <w:pStyle w:val="33"/>
              <w:rPr>
                <w:rFonts w:cs="Times New Roman"/>
              </w:rPr>
            </w:pPr>
            <w:r>
              <w:rPr>
                <w:rFonts w:cs="Times New Roman"/>
              </w:rPr>
              <w:t>3</w:t>
            </w:r>
          </w:p>
        </w:tc>
        <w:tc>
          <w:tcPr>
            <w:tcW w:w="433"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1B0EF213">
            <w:pPr>
              <w:pStyle w:val="33"/>
              <w:rPr>
                <w:rFonts w:cs="Times New Roman"/>
              </w:rPr>
            </w:pPr>
            <w:r>
              <w:rPr>
                <w:rFonts w:cs="Times New Roman"/>
              </w:rPr>
              <w:t>研制资料</w:t>
            </w:r>
          </w:p>
        </w:tc>
        <w:tc>
          <w:tcPr>
            <w:tcW w:w="1014"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276989B6">
            <w:pPr>
              <w:pStyle w:val="33"/>
              <w:rPr>
                <w:rFonts w:cs="Times New Roman"/>
              </w:rPr>
            </w:pPr>
            <w:r>
              <w:rPr>
                <w:rFonts w:cs="Times New Roman"/>
              </w:rPr>
              <w:t>三个模块程序代码及技术文档、技术报告</w:t>
            </w:r>
          </w:p>
        </w:tc>
        <w:tc>
          <w:tcPr>
            <w:tcW w:w="1118"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16D4D78C">
            <w:pPr>
              <w:pStyle w:val="33"/>
              <w:rPr>
                <w:rFonts w:cs="Times New Roman"/>
              </w:rPr>
            </w:pPr>
            <w:r>
              <w:rPr>
                <w:rFonts w:cs="Times New Roman"/>
              </w:rPr>
              <w:t>清点并抽查代码、文档可读性及注释比例</w:t>
            </w:r>
          </w:p>
        </w:tc>
        <w:tc>
          <w:tcPr>
            <w:tcW w:w="610"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7E5DD3D2">
            <w:pPr>
              <w:pStyle w:val="33"/>
              <w:rPr>
                <w:rFonts w:cs="Times New Roman"/>
              </w:rPr>
            </w:pPr>
            <w:r>
              <w:rPr>
                <w:rFonts w:cs="Times New Roman"/>
              </w:rPr>
              <w:t>代码3套；报告1套</w:t>
            </w:r>
          </w:p>
        </w:tc>
        <w:tc>
          <w:tcPr>
            <w:tcW w:w="660"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709427CE">
            <w:pPr>
              <w:pStyle w:val="33"/>
              <w:rPr>
                <w:rFonts w:cs="Times New Roman"/>
              </w:rPr>
            </w:pPr>
            <w:r>
              <w:rPr>
                <w:rFonts w:cs="Times New Roman"/>
              </w:rPr>
              <w:t>符合</w:t>
            </w:r>
          </w:p>
        </w:tc>
        <w:tc>
          <w:tcPr>
            <w:tcW w:w="918"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7EC8083D">
            <w:pPr>
              <w:pStyle w:val="33"/>
              <w:rPr>
                <w:rFonts w:cs="Times New Roman"/>
              </w:rPr>
            </w:pPr>
            <w:r>
              <w:rPr>
                <w:rFonts w:cs="Times New Roman"/>
              </w:rPr>
              <w:t>技术报告确认交付物均已到位</w:t>
            </w:r>
          </w:p>
        </w:tc>
      </w:tr>
      <w:tr w14:paraId="19216A3E">
        <w:tblPrEx>
          <w:tblCellMar>
            <w:top w:w="0" w:type="dxa"/>
            <w:left w:w="151" w:type="dxa"/>
            <w:bottom w:w="0" w:type="dxa"/>
            <w:right w:w="154" w:type="dxa"/>
          </w:tblCellMar>
        </w:tblPrEx>
        <w:tc>
          <w:tcPr>
            <w:tcW w:w="247" w:type="pct"/>
            <w:tcBorders>
              <w:top w:val="single" w:color="000000" w:sz="4" w:space="0"/>
              <w:left w:val="single" w:color="000000" w:sz="4" w:space="0"/>
              <w:bottom w:val="single" w:color="000000" w:sz="4" w:space="0"/>
              <w:right w:val="single" w:color="auto" w:sz="4" w:space="0"/>
            </w:tcBorders>
            <w:tcMar>
              <w:top w:w="55" w:type="dxa"/>
              <w:left w:w="65" w:type="dxa"/>
              <w:bottom w:w="55" w:type="dxa"/>
              <w:right w:w="65" w:type="dxa"/>
            </w:tcMar>
            <w:vAlign w:val="center"/>
          </w:tcPr>
          <w:p w14:paraId="692CC34B">
            <w:pPr>
              <w:pStyle w:val="33"/>
              <w:rPr>
                <w:rFonts w:cs="Times New Roman"/>
              </w:rPr>
            </w:pPr>
            <w:r>
              <w:rPr>
                <w:rFonts w:cs="Times New Roman"/>
              </w:rPr>
              <w:t>4</w:t>
            </w:r>
          </w:p>
        </w:tc>
        <w:tc>
          <w:tcPr>
            <w:tcW w:w="433"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754D02B0">
            <w:pPr>
              <w:pStyle w:val="33"/>
              <w:rPr>
                <w:rFonts w:cs="Times New Roman"/>
              </w:rPr>
            </w:pPr>
            <w:r>
              <w:rPr>
                <w:rFonts w:cs="Times New Roman"/>
              </w:rPr>
              <w:t>安装调试</w:t>
            </w:r>
          </w:p>
        </w:tc>
        <w:tc>
          <w:tcPr>
            <w:tcW w:w="1014"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266D101A">
            <w:pPr>
              <w:pStyle w:val="33"/>
              <w:rPr>
                <w:rFonts w:cs="Times New Roman"/>
              </w:rPr>
            </w:pPr>
            <w:r>
              <w:rPr>
                <w:rFonts w:cs="Times New Roman"/>
              </w:rPr>
              <w:t>操作手册、帮助文档、程序测试记录表</w:t>
            </w:r>
          </w:p>
        </w:tc>
        <w:tc>
          <w:tcPr>
            <w:tcW w:w="1118"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410F7A28">
            <w:pPr>
              <w:pStyle w:val="33"/>
              <w:rPr>
                <w:rFonts w:cs="Times New Roman"/>
              </w:rPr>
            </w:pPr>
            <w:r>
              <w:rPr>
                <w:rFonts w:cs="Times New Roman"/>
              </w:rPr>
              <w:t>查阅文件并按记录抽查安装、运行和故障处理说明</w:t>
            </w:r>
          </w:p>
        </w:tc>
        <w:tc>
          <w:tcPr>
            <w:tcW w:w="610"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09CE19AA">
            <w:pPr>
              <w:pStyle w:val="33"/>
              <w:rPr>
                <w:rFonts w:cs="Times New Roman"/>
              </w:rPr>
            </w:pPr>
            <w:r>
              <w:rPr>
                <w:rFonts w:cs="Times New Roman"/>
              </w:rPr>
              <w:t>各1套</w:t>
            </w:r>
          </w:p>
        </w:tc>
        <w:tc>
          <w:tcPr>
            <w:tcW w:w="660"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42BB4D06">
            <w:pPr>
              <w:pStyle w:val="33"/>
              <w:rPr>
                <w:rFonts w:cs="Times New Roman"/>
              </w:rPr>
            </w:pPr>
            <w:r>
              <w:rPr>
                <w:rFonts w:cs="Times New Roman"/>
              </w:rPr>
              <w:t>符合</w:t>
            </w:r>
          </w:p>
        </w:tc>
        <w:tc>
          <w:tcPr>
            <w:tcW w:w="918"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2686B6D9">
            <w:pPr>
              <w:pStyle w:val="33"/>
              <w:rPr>
                <w:rFonts w:cs="Times New Roman"/>
              </w:rPr>
            </w:pPr>
            <w:r>
              <w:rPr>
                <w:rFonts w:cs="Times New Roman"/>
              </w:rPr>
              <w:t>与交付物清单一致</w:t>
            </w:r>
          </w:p>
        </w:tc>
      </w:tr>
      <w:tr w14:paraId="3FD27A55">
        <w:tblPrEx>
          <w:tblCellMar>
            <w:top w:w="0" w:type="dxa"/>
            <w:left w:w="151" w:type="dxa"/>
            <w:bottom w:w="0" w:type="dxa"/>
            <w:right w:w="154" w:type="dxa"/>
          </w:tblCellMar>
        </w:tblPrEx>
        <w:tc>
          <w:tcPr>
            <w:tcW w:w="247" w:type="pct"/>
            <w:tcBorders>
              <w:top w:val="single" w:color="000000" w:sz="4" w:space="0"/>
              <w:left w:val="single" w:color="000000" w:sz="4" w:space="0"/>
              <w:bottom w:val="single" w:color="000000" w:sz="4" w:space="0"/>
              <w:right w:val="single" w:color="auto" w:sz="4" w:space="0"/>
            </w:tcBorders>
            <w:tcMar>
              <w:top w:w="55" w:type="dxa"/>
              <w:left w:w="65" w:type="dxa"/>
              <w:bottom w:w="55" w:type="dxa"/>
              <w:right w:w="65" w:type="dxa"/>
            </w:tcMar>
            <w:vAlign w:val="center"/>
          </w:tcPr>
          <w:p w14:paraId="31F583F9">
            <w:pPr>
              <w:pStyle w:val="33"/>
              <w:rPr>
                <w:rFonts w:cs="Times New Roman"/>
              </w:rPr>
            </w:pPr>
            <w:r>
              <w:rPr>
                <w:rFonts w:cs="Times New Roman"/>
              </w:rPr>
              <w:t>5</w:t>
            </w:r>
          </w:p>
        </w:tc>
        <w:tc>
          <w:tcPr>
            <w:tcW w:w="433"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32D4AAD2">
            <w:pPr>
              <w:pStyle w:val="33"/>
              <w:rPr>
                <w:rFonts w:cs="Times New Roman"/>
              </w:rPr>
            </w:pPr>
            <w:r>
              <w:rPr>
                <w:rFonts w:cs="Times New Roman"/>
              </w:rPr>
              <w:t>测试验收</w:t>
            </w:r>
          </w:p>
        </w:tc>
        <w:tc>
          <w:tcPr>
            <w:tcW w:w="1014"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23A9F915">
            <w:pPr>
              <w:pStyle w:val="33"/>
              <w:rPr>
                <w:rFonts w:cs="Times New Roman"/>
              </w:rPr>
            </w:pPr>
            <w:r>
              <w:rPr>
                <w:rFonts w:cs="Times New Roman"/>
              </w:rPr>
              <w:t>测试大纲及评审意见、测试报告及评审意见</w:t>
            </w:r>
          </w:p>
        </w:tc>
        <w:tc>
          <w:tcPr>
            <w:tcW w:w="1118"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4AC55659">
            <w:pPr>
              <w:pStyle w:val="33"/>
              <w:rPr>
                <w:rFonts w:cs="Times New Roman"/>
              </w:rPr>
            </w:pPr>
            <w:r>
              <w:rPr>
                <w:rFonts w:cs="Times New Roman"/>
              </w:rPr>
              <w:t>查阅评审意见、测试条件、过程、数据、结果和结论</w:t>
            </w:r>
          </w:p>
        </w:tc>
        <w:tc>
          <w:tcPr>
            <w:tcW w:w="610"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0F8E6542">
            <w:pPr>
              <w:pStyle w:val="33"/>
              <w:rPr>
                <w:rFonts w:cs="Times New Roman"/>
              </w:rPr>
            </w:pPr>
            <w:r>
              <w:rPr>
                <w:rFonts w:cs="Times New Roman"/>
              </w:rPr>
              <w:t>各1套</w:t>
            </w:r>
          </w:p>
        </w:tc>
        <w:tc>
          <w:tcPr>
            <w:tcW w:w="660"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64CF4F0B">
            <w:pPr>
              <w:pStyle w:val="33"/>
              <w:rPr>
                <w:rFonts w:cs="Times New Roman"/>
              </w:rPr>
            </w:pPr>
            <w:r>
              <w:rPr>
                <w:rFonts w:cs="Times New Roman"/>
              </w:rPr>
              <w:t>符合</w:t>
            </w:r>
          </w:p>
        </w:tc>
        <w:tc>
          <w:tcPr>
            <w:tcW w:w="918"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00185070">
            <w:pPr>
              <w:pStyle w:val="33"/>
              <w:rPr>
                <w:rFonts w:cs="Times New Roman"/>
              </w:rPr>
            </w:pPr>
            <w:r>
              <w:rPr>
                <w:rFonts w:cs="Times New Roman"/>
              </w:rPr>
              <w:t>分别于2026年6月5日、7月18日完成评审</w:t>
            </w:r>
          </w:p>
        </w:tc>
      </w:tr>
      <w:tr w14:paraId="21264F81">
        <w:tblPrEx>
          <w:tblCellMar>
            <w:top w:w="0" w:type="dxa"/>
            <w:left w:w="151" w:type="dxa"/>
            <w:bottom w:w="0" w:type="dxa"/>
            <w:right w:w="154" w:type="dxa"/>
          </w:tblCellMar>
        </w:tblPrEx>
        <w:tc>
          <w:tcPr>
            <w:tcW w:w="247" w:type="pct"/>
            <w:tcBorders>
              <w:top w:val="single" w:color="000000" w:sz="4" w:space="0"/>
              <w:left w:val="single" w:color="000000" w:sz="4" w:space="0"/>
              <w:bottom w:val="single" w:color="000000" w:sz="4" w:space="0"/>
              <w:right w:val="single" w:color="auto" w:sz="4" w:space="0"/>
            </w:tcBorders>
            <w:tcMar>
              <w:top w:w="55" w:type="dxa"/>
              <w:left w:w="65" w:type="dxa"/>
              <w:bottom w:w="55" w:type="dxa"/>
              <w:right w:w="65" w:type="dxa"/>
            </w:tcMar>
            <w:vAlign w:val="center"/>
          </w:tcPr>
          <w:p w14:paraId="08ABD7B7">
            <w:pPr>
              <w:pStyle w:val="33"/>
              <w:rPr>
                <w:rFonts w:cs="Times New Roman"/>
              </w:rPr>
            </w:pPr>
            <w:r>
              <w:rPr>
                <w:rFonts w:hint="eastAsia" w:cs="Times New Roman"/>
              </w:rPr>
              <w:t>6</w:t>
            </w:r>
          </w:p>
        </w:tc>
        <w:tc>
          <w:tcPr>
            <w:tcW w:w="433"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437F3782">
            <w:pPr>
              <w:pStyle w:val="33"/>
              <w:rPr>
                <w:rFonts w:cs="Times New Roman"/>
              </w:rPr>
            </w:pPr>
            <w:r>
              <w:rPr>
                <w:rFonts w:cs="Times New Roman"/>
              </w:rPr>
              <w:t>数据资料</w:t>
            </w:r>
          </w:p>
        </w:tc>
        <w:tc>
          <w:tcPr>
            <w:tcW w:w="1014"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028160A1">
            <w:pPr>
              <w:pStyle w:val="33"/>
              <w:rPr>
                <w:rFonts w:cs="Times New Roman"/>
              </w:rPr>
            </w:pPr>
            <w:r>
              <w:rPr>
                <w:rFonts w:cs="Times New Roman"/>
              </w:rPr>
              <w:t>程序测试数据、实验测试数据、温度—声学参数数据库</w:t>
            </w:r>
          </w:p>
        </w:tc>
        <w:tc>
          <w:tcPr>
            <w:tcW w:w="1118"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3864B144">
            <w:pPr>
              <w:pStyle w:val="33"/>
              <w:rPr>
                <w:rFonts w:cs="Times New Roman"/>
              </w:rPr>
            </w:pPr>
            <w:r>
              <w:rPr>
                <w:rFonts w:cs="Times New Roman"/>
              </w:rPr>
              <w:t>核对目录、样本数量、温度范围、误差分析和可追溯字段</w:t>
            </w:r>
          </w:p>
        </w:tc>
        <w:tc>
          <w:tcPr>
            <w:tcW w:w="610"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09F16110">
            <w:pPr>
              <w:pStyle w:val="33"/>
              <w:rPr>
                <w:rFonts w:cs="Times New Roman"/>
              </w:rPr>
            </w:pPr>
            <w:r>
              <w:rPr>
                <w:rFonts w:cs="Times New Roman"/>
              </w:rPr>
              <w:t>测试数据2套；数据库1套</w:t>
            </w:r>
          </w:p>
        </w:tc>
        <w:tc>
          <w:tcPr>
            <w:tcW w:w="660"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0C2567C0">
            <w:pPr>
              <w:pStyle w:val="33"/>
              <w:rPr>
                <w:rFonts w:cs="Times New Roman"/>
              </w:rPr>
            </w:pPr>
            <w:r>
              <w:rPr>
                <w:rFonts w:cs="Times New Roman"/>
              </w:rPr>
              <w:t>符合</w:t>
            </w:r>
          </w:p>
        </w:tc>
        <w:tc>
          <w:tcPr>
            <w:tcW w:w="918" w:type="pct"/>
            <w:tcBorders>
              <w:top w:val="single" w:color="auto" w:sz="4" w:space="0"/>
              <w:left w:val="single" w:color="auto" w:sz="4" w:space="0"/>
              <w:bottom w:val="single" w:color="auto" w:sz="4" w:space="0"/>
              <w:right w:val="single" w:color="auto" w:sz="4" w:space="0"/>
            </w:tcBorders>
            <w:tcMar>
              <w:top w:w="55" w:type="dxa"/>
              <w:left w:w="65" w:type="dxa"/>
              <w:bottom w:w="55" w:type="dxa"/>
              <w:right w:w="65" w:type="dxa"/>
            </w:tcMar>
            <w:vAlign w:val="center"/>
          </w:tcPr>
          <w:p w14:paraId="1209E86D">
            <w:pPr>
              <w:pStyle w:val="33"/>
              <w:rPr>
                <w:rFonts w:cs="Times New Roman"/>
              </w:rPr>
            </w:pPr>
            <w:r>
              <w:rPr>
                <w:rFonts w:cs="Times New Roman"/>
              </w:rPr>
              <w:t>仿真</w:t>
            </w:r>
            <w:r>
              <w:rPr>
                <w:rFonts w:hint="eastAsia" w:cs="Times New Roman"/>
              </w:rPr>
              <w:t>14</w:t>
            </w:r>
            <w:r>
              <w:rPr>
                <w:rFonts w:cs="Times New Roman"/>
              </w:rPr>
              <w:t>00组；实验采集不少于20组</w:t>
            </w:r>
          </w:p>
        </w:tc>
      </w:tr>
    </w:tbl>
    <w:p w14:paraId="55C4BA4A">
      <w:pPr>
        <w:spacing w:line="240" w:lineRule="auto"/>
        <w:contextualSpacing w:val="0"/>
        <w:jc w:val="left"/>
        <w:rPr>
          <w:rFonts w:cs="Times New Roman"/>
          <w:sz w:val="21"/>
          <w14:ligatures w14:val="none"/>
        </w:rPr>
      </w:pPr>
      <w:r>
        <w:rPr>
          <w:rFonts w:ascii="宋体" w:hAnsi="宋体" w:cs="宋体"/>
          <w:sz w:val="17"/>
          <w14:ligatures w14:val="none"/>
        </w:rPr>
        <w:t>注：验收结论依据技术报告和测试报告填写，最终以甲乙双方现场清点及签字确认结果为准。</w:t>
      </w:r>
    </w:p>
    <w:p w14:paraId="772B8C16">
      <w:pPr>
        <w:spacing w:line="240" w:lineRule="auto"/>
        <w:contextualSpacing w:val="0"/>
        <w:jc w:val="left"/>
        <w:rPr>
          <w:rFonts w:hint="eastAsia" w:ascii="宋体" w:hAnsi="宋体" w:cs="宋体"/>
          <w:sz w:val="22"/>
          <w14:ligatures w14:val="none"/>
        </w:rPr>
      </w:pPr>
      <w:r>
        <w:rPr>
          <w:rFonts w:ascii="宋体" w:hAnsi="宋体" w:cs="宋体"/>
          <w:sz w:val="19"/>
          <w14:ligatures w14:val="none"/>
        </w:rPr>
        <w:t>甲方验收人员：　　　　　　　　　　　　　　乙方验收人员：</w:t>
      </w:r>
    </w:p>
    <w:p w14:paraId="5CAA14B6">
      <w:pPr>
        <w:pageBreakBefore/>
        <w:spacing w:before="600" w:line="240" w:lineRule="auto"/>
        <w:contextualSpacing w:val="0"/>
        <w:jc w:val="left"/>
        <w:rPr>
          <w:rFonts w:hint="eastAsia" w:ascii="黑体" w:hAnsi="方正小标宋简体" w:cs="方正小标宋简体"/>
          <w:b/>
          <w:bCs/>
          <w:sz w:val="21"/>
          <w14:ligatures w14:val="none"/>
        </w:rPr>
      </w:pPr>
      <w:r>
        <w:rPr>
          <w:rFonts w:ascii="黑体" w:hAnsi="黑体" w:eastAsia="黑体" w:cs="黑体"/>
          <w:b/>
          <w14:ligatures w14:val="none"/>
        </w:rPr>
        <w:t>附表6</w:t>
      </w:r>
    </w:p>
    <w:p w14:paraId="03E9798A">
      <w:pPr>
        <w:spacing w:line="240" w:lineRule="auto"/>
        <w:contextualSpacing w:val="0"/>
        <w:jc w:val="center"/>
        <w:rPr>
          <w:rFonts w:hint="eastAsia" w:ascii="方正小标宋简体" w:hAnsi="方正小标宋简体" w:eastAsia="方正小标宋简体" w:cs="方正小标宋简体"/>
          <w:b/>
          <w:bCs/>
          <w:sz w:val="21"/>
          <w14:ligatures w14:val="none"/>
        </w:rPr>
      </w:pPr>
      <w:r>
        <w:rPr>
          <w:rFonts w:ascii="方正小标宋简体" w:hAnsi="方正小标宋简体" w:eastAsia="方正小标宋简体" w:cs="方正小标宋简体"/>
          <w:sz w:val="30"/>
          <w14:ligatures w14:val="none"/>
        </w:rPr>
        <w:t>超声波全波形温度场重构理论及方法研究项目技术指标验收记录表</w:t>
      </w:r>
    </w:p>
    <w:tbl>
      <w:tblPr>
        <w:tblStyle w:val="56"/>
        <w:tblW w:w="5000" w:type="pct"/>
        <w:tblInd w:w="0" w:type="dxa"/>
        <w:tblLayout w:type="autofit"/>
        <w:tblCellMar>
          <w:top w:w="0" w:type="dxa"/>
          <w:left w:w="108" w:type="dxa"/>
          <w:bottom w:w="0" w:type="dxa"/>
          <w:right w:w="164" w:type="dxa"/>
        </w:tblCellMar>
      </w:tblPr>
      <w:tblGrid>
        <w:gridCol w:w="678"/>
        <w:gridCol w:w="915"/>
        <w:gridCol w:w="3358"/>
        <w:gridCol w:w="2325"/>
        <w:gridCol w:w="3615"/>
        <w:gridCol w:w="459"/>
        <w:gridCol w:w="1397"/>
      </w:tblGrid>
      <w:tr w14:paraId="23DBBF27">
        <w:tblPrEx>
          <w:tblCellMar>
            <w:top w:w="0" w:type="dxa"/>
            <w:left w:w="108" w:type="dxa"/>
            <w:bottom w:w="0" w:type="dxa"/>
            <w:right w:w="164" w:type="dxa"/>
          </w:tblCellMar>
        </w:tblPrEx>
        <w:trPr>
          <w:tblHeader/>
        </w:trPr>
        <w:tc>
          <w:tcPr>
            <w:tcW w:w="266"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2EE85A6E">
            <w:pPr>
              <w:pStyle w:val="33"/>
              <w:rPr>
                <w:rFonts w:cs="Times New Roman"/>
              </w:rPr>
            </w:pPr>
            <w:r>
              <w:rPr>
                <w:rFonts w:cs="Times New Roman"/>
              </w:rPr>
              <w:t>序号</w:t>
            </w:r>
          </w:p>
        </w:tc>
        <w:tc>
          <w:tcPr>
            <w:tcW w:w="359"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22E209C0">
            <w:pPr>
              <w:pStyle w:val="33"/>
              <w:rPr>
                <w:rFonts w:cs="Times New Roman"/>
              </w:rPr>
            </w:pPr>
            <w:r>
              <w:rPr>
                <w:rFonts w:cs="Times New Roman"/>
              </w:rPr>
              <w:t>验收内容</w:t>
            </w:r>
          </w:p>
        </w:tc>
        <w:tc>
          <w:tcPr>
            <w:tcW w:w="1317"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49CD1C8">
            <w:pPr>
              <w:pStyle w:val="33"/>
              <w:rPr>
                <w:rFonts w:cs="Times New Roman"/>
              </w:rPr>
            </w:pPr>
            <w:r>
              <w:rPr>
                <w:rFonts w:cs="Times New Roman"/>
              </w:rPr>
              <w:t>合同验收要求</w:t>
            </w:r>
          </w:p>
        </w:tc>
        <w:tc>
          <w:tcPr>
            <w:tcW w:w="912"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1F28C6FE">
            <w:pPr>
              <w:pStyle w:val="33"/>
              <w:rPr>
                <w:rFonts w:cs="Times New Roman"/>
              </w:rPr>
            </w:pPr>
            <w:r>
              <w:rPr>
                <w:rFonts w:cs="Times New Roman"/>
              </w:rPr>
              <w:t>验收方法</w:t>
            </w:r>
          </w:p>
        </w:tc>
        <w:tc>
          <w:tcPr>
            <w:tcW w:w="1418"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A66AFDF">
            <w:pPr>
              <w:pStyle w:val="33"/>
              <w:rPr>
                <w:rFonts w:cs="Times New Roman"/>
              </w:rPr>
            </w:pPr>
            <w:r>
              <w:rPr>
                <w:rFonts w:cs="Times New Roman"/>
              </w:rPr>
              <w:t>实现指标情况</w:t>
            </w:r>
          </w:p>
        </w:tc>
        <w:tc>
          <w:tcPr>
            <w:tcW w:w="180"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07607A8">
            <w:pPr>
              <w:pStyle w:val="33"/>
              <w:rPr>
                <w:rFonts w:cs="Times New Roman"/>
              </w:rPr>
            </w:pPr>
            <w:r>
              <w:rPr>
                <w:rFonts w:cs="Times New Roman"/>
              </w:rPr>
              <w:t>验收结论</w:t>
            </w:r>
          </w:p>
        </w:tc>
        <w:tc>
          <w:tcPr>
            <w:tcW w:w="548"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B10856E">
            <w:pPr>
              <w:pStyle w:val="33"/>
              <w:rPr>
                <w:rFonts w:cs="Times New Roman"/>
              </w:rPr>
            </w:pPr>
            <w:r>
              <w:rPr>
                <w:rFonts w:cs="Times New Roman"/>
              </w:rPr>
              <w:t>备注</w:t>
            </w:r>
          </w:p>
        </w:tc>
      </w:tr>
      <w:tr w14:paraId="0E205FA6">
        <w:tblPrEx>
          <w:tblCellMar>
            <w:top w:w="0" w:type="dxa"/>
            <w:left w:w="108" w:type="dxa"/>
            <w:bottom w:w="0" w:type="dxa"/>
            <w:right w:w="164" w:type="dxa"/>
          </w:tblCellMar>
        </w:tblPrEx>
        <w:tc>
          <w:tcPr>
            <w:tcW w:w="266"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40410E1D">
            <w:pPr>
              <w:pStyle w:val="33"/>
              <w:rPr>
                <w:rFonts w:cs="Times New Roman"/>
              </w:rPr>
            </w:pPr>
            <w:r>
              <w:rPr>
                <w:rFonts w:cs="Times New Roman"/>
              </w:rPr>
              <w:t>1</w:t>
            </w:r>
          </w:p>
        </w:tc>
        <w:tc>
          <w:tcPr>
            <w:tcW w:w="359"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1AC74B4D">
            <w:pPr>
              <w:pStyle w:val="33"/>
              <w:rPr>
                <w:rFonts w:cs="Times New Roman"/>
              </w:rPr>
            </w:pPr>
            <w:r>
              <w:rPr>
                <w:rFonts w:cs="Times New Roman"/>
              </w:rPr>
              <w:t>交付载体及资料完整性</w:t>
            </w:r>
          </w:p>
        </w:tc>
        <w:tc>
          <w:tcPr>
            <w:tcW w:w="1317"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6AA07780">
            <w:pPr>
              <w:pStyle w:val="33"/>
              <w:rPr>
                <w:rFonts w:cs="Times New Roman"/>
              </w:rPr>
            </w:pPr>
            <w:r>
              <w:rPr>
                <w:rFonts w:cs="Times New Roman"/>
              </w:rPr>
              <w:t>完成程序代码、数据资料和文档资料交付；文档资料纸质版1套（盖章）、电子版1套。</w:t>
            </w:r>
          </w:p>
        </w:tc>
        <w:tc>
          <w:tcPr>
            <w:tcW w:w="912"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291561FD">
            <w:pPr>
              <w:pStyle w:val="33"/>
              <w:rPr>
                <w:rFonts w:cs="Times New Roman"/>
              </w:rPr>
            </w:pPr>
            <w:r>
              <w:rPr>
                <w:rFonts w:cs="Times New Roman"/>
              </w:rPr>
              <w:t>清点交付物，抽查签章、版本、文件可打开性及纸电一致性。</w:t>
            </w:r>
          </w:p>
        </w:tc>
        <w:tc>
          <w:tcPr>
            <w:tcW w:w="1418"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345CDD62">
            <w:pPr>
              <w:pStyle w:val="33"/>
              <w:rPr>
                <w:rFonts w:cs="Times New Roman"/>
              </w:rPr>
            </w:pPr>
            <w:r>
              <w:rPr>
                <w:rFonts w:cs="Times New Roman"/>
              </w:rPr>
              <w:t>技术报告列明程序代码3套、数据资料2套及实施方案、测试大纲、测试报告、技术报告、操作手册/帮助文档、程序测试记录表等资料均已完成并交付。</w:t>
            </w:r>
          </w:p>
        </w:tc>
        <w:tc>
          <w:tcPr>
            <w:tcW w:w="180"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69A5D476">
            <w:pPr>
              <w:pStyle w:val="33"/>
              <w:rPr>
                <w:rFonts w:cs="Times New Roman"/>
              </w:rPr>
            </w:pPr>
            <w:r>
              <w:rPr>
                <w:rFonts w:cs="Times New Roman"/>
              </w:rPr>
              <w:t>符合</w:t>
            </w:r>
          </w:p>
        </w:tc>
        <w:tc>
          <w:tcPr>
            <w:tcW w:w="548"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19D4A73C">
            <w:pPr>
              <w:pStyle w:val="33"/>
              <w:rPr>
                <w:rFonts w:cs="Times New Roman"/>
              </w:rPr>
            </w:pPr>
            <w:r>
              <w:rPr>
                <w:rFonts w:cs="Times New Roman"/>
              </w:rPr>
              <w:t>最终以双方现场清点签字为准</w:t>
            </w:r>
          </w:p>
        </w:tc>
      </w:tr>
      <w:tr w14:paraId="74F00117">
        <w:tblPrEx>
          <w:tblCellMar>
            <w:top w:w="0" w:type="dxa"/>
            <w:left w:w="108" w:type="dxa"/>
            <w:bottom w:w="0" w:type="dxa"/>
            <w:right w:w="164" w:type="dxa"/>
          </w:tblCellMar>
        </w:tblPrEx>
        <w:tc>
          <w:tcPr>
            <w:tcW w:w="266"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0B021549">
            <w:pPr>
              <w:pStyle w:val="33"/>
              <w:rPr>
                <w:rFonts w:cs="Times New Roman"/>
              </w:rPr>
            </w:pPr>
            <w:r>
              <w:rPr>
                <w:rFonts w:cs="Times New Roman"/>
              </w:rPr>
              <w:t>2</w:t>
            </w:r>
          </w:p>
        </w:tc>
        <w:tc>
          <w:tcPr>
            <w:tcW w:w="359"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69F74AEA">
            <w:pPr>
              <w:pStyle w:val="33"/>
              <w:rPr>
                <w:rFonts w:cs="Times New Roman"/>
              </w:rPr>
            </w:pPr>
            <w:r>
              <w:rPr>
                <w:rFonts w:cs="Times New Roman"/>
              </w:rPr>
              <w:t>模块一：热声固耦合分析</w:t>
            </w:r>
          </w:p>
        </w:tc>
        <w:tc>
          <w:tcPr>
            <w:tcW w:w="1317"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4F01D217">
            <w:pPr>
              <w:pStyle w:val="33"/>
              <w:rPr>
                <w:rFonts w:cs="Times New Roman"/>
              </w:rPr>
            </w:pPr>
            <w:r>
              <w:rPr>
                <w:rFonts w:cs="Times New Roman"/>
              </w:rPr>
              <w:t>覆盖三类材料、室温至1500K、一维/二维及稳态/瞬态；可计算温度场、固体场和波动场，提取时域、频域及时频参数；与通用软件或实验比较，预测相对误差≤10%；支持Windows，核心代码采用Fortran。</w:t>
            </w:r>
          </w:p>
        </w:tc>
        <w:tc>
          <w:tcPr>
            <w:tcW w:w="912"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13E5A974">
            <w:pPr>
              <w:pStyle w:val="33"/>
              <w:rPr>
                <w:rFonts w:cs="Times New Roman"/>
              </w:rPr>
            </w:pPr>
            <w:r>
              <w:rPr>
                <w:rFonts w:cs="Times New Roman"/>
              </w:rPr>
              <w:t>运行标准算例，与COMSOL结果比较场量、时程和声学特征，计算相对误差并核查输出曲线、云图、系统和代码。</w:t>
            </w:r>
          </w:p>
        </w:tc>
        <w:tc>
          <w:tcPr>
            <w:tcW w:w="1418"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6CA28C99">
            <w:pPr>
              <w:pStyle w:val="33"/>
              <w:rPr>
                <w:rFonts w:cs="Times New Roman"/>
              </w:rPr>
            </w:pPr>
            <w:r>
              <w:rPr>
                <w:rFonts w:cs="Times New Roman"/>
              </w:rPr>
              <w:t>完成多层材料、金属基复合材料、硅基复合材料的一维/二维、稳态/瞬态测试及声学参数提取。三类二维场景汇总最大相对误差分别为2.0652%、1.9105%、3.629%，均≤10%；Windows运行及Fortran代码核查通过。</w:t>
            </w:r>
          </w:p>
        </w:tc>
        <w:tc>
          <w:tcPr>
            <w:tcW w:w="180"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32F8B209">
            <w:pPr>
              <w:pStyle w:val="33"/>
              <w:rPr>
                <w:rFonts w:cs="Times New Roman"/>
              </w:rPr>
            </w:pPr>
            <w:r>
              <w:rPr>
                <w:rFonts w:cs="Times New Roman"/>
              </w:rPr>
              <w:t>符合</w:t>
            </w:r>
          </w:p>
        </w:tc>
        <w:tc>
          <w:tcPr>
            <w:tcW w:w="548"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09D2BED7">
            <w:pPr>
              <w:pStyle w:val="33"/>
              <w:rPr>
                <w:rFonts w:cs="Times New Roman"/>
              </w:rPr>
            </w:pPr>
            <w:r>
              <w:rPr>
                <w:rFonts w:cs="Times New Roman"/>
              </w:rPr>
              <w:t>测试报告4.1节及附件1—3</w:t>
            </w:r>
          </w:p>
        </w:tc>
      </w:tr>
      <w:tr w14:paraId="22C9DB4F">
        <w:tblPrEx>
          <w:tblCellMar>
            <w:top w:w="0" w:type="dxa"/>
            <w:left w:w="108" w:type="dxa"/>
            <w:bottom w:w="0" w:type="dxa"/>
            <w:right w:w="164" w:type="dxa"/>
          </w:tblCellMar>
        </w:tblPrEx>
        <w:tc>
          <w:tcPr>
            <w:tcW w:w="266"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3666B808">
            <w:pPr>
              <w:pStyle w:val="33"/>
              <w:rPr>
                <w:rFonts w:cs="Times New Roman"/>
              </w:rPr>
            </w:pPr>
            <w:r>
              <w:rPr>
                <w:rFonts w:cs="Times New Roman"/>
              </w:rPr>
              <w:t>3</w:t>
            </w:r>
          </w:p>
        </w:tc>
        <w:tc>
          <w:tcPr>
            <w:tcW w:w="359"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1DAEDB4F">
            <w:pPr>
              <w:pStyle w:val="33"/>
              <w:rPr>
                <w:rFonts w:cs="Times New Roman"/>
              </w:rPr>
            </w:pPr>
            <w:r>
              <w:rPr>
                <w:rFonts w:cs="Times New Roman"/>
              </w:rPr>
              <w:t>模块二：声学多参数融合反演</w:t>
            </w:r>
          </w:p>
        </w:tc>
        <w:tc>
          <w:tcPr>
            <w:tcW w:w="1317"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820155A">
            <w:pPr>
              <w:pStyle w:val="33"/>
              <w:rPr>
                <w:rFonts w:cs="Times New Roman"/>
              </w:rPr>
            </w:pPr>
            <w:r>
              <w:rPr>
                <w:rFonts w:cs="Times New Roman"/>
              </w:rPr>
              <w:t>实现三类材料单/多参数一维、二维稳态和瞬态反演；至少一种新优化方法；支持温度—厚度联合反演；实验温度覆盖室温至1500K；温度误差≤10%，联合反演温度误差≤15%、厚度误差≤5%；效率不低于经典方法。</w:t>
            </w:r>
          </w:p>
        </w:tc>
        <w:tc>
          <w:tcPr>
            <w:tcW w:w="912"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61E00B9D">
            <w:pPr>
              <w:pStyle w:val="33"/>
              <w:rPr>
                <w:rFonts w:cs="Times New Roman"/>
              </w:rPr>
            </w:pPr>
            <w:r>
              <w:rPr>
                <w:rFonts w:cs="Times New Roman"/>
              </w:rPr>
              <w:t>开展三类材料六类反演场景和算法效率对比；与热电偶5测点均值比较；核查二维路径弯曲、Windows与Fortran实现。</w:t>
            </w:r>
          </w:p>
        </w:tc>
        <w:tc>
          <w:tcPr>
            <w:tcW w:w="1418"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6B2A71C8">
            <w:pPr>
              <w:pStyle w:val="33"/>
              <w:rPr>
                <w:rFonts w:cs="Times New Roman"/>
              </w:rPr>
            </w:pPr>
            <w:r>
              <w:rPr>
                <w:rFonts w:cs="Times New Roman"/>
              </w:rPr>
              <w:t>实现BO+FD、PSO+CG两种新方法。多层材料一/二维单、多参数温度反演误差为3.884%～9.750%；联合反演温度误差为0.328%～9.926%、厚度误差为0.197%～0.395%；实验加热至153</w:t>
            </w:r>
            <w:r>
              <w:rPr>
                <w:rFonts w:hint="eastAsia" w:cs="Times New Roman"/>
              </w:rPr>
              <w:t>1</w:t>
            </w:r>
            <w:r>
              <w:rPr>
                <w:rFonts w:cs="Times New Roman"/>
              </w:rPr>
              <w:t>K。新方法运行时间10.10～11.06s，均不长于三种经典方法的11.10～18.67s。</w:t>
            </w:r>
          </w:p>
        </w:tc>
        <w:tc>
          <w:tcPr>
            <w:tcW w:w="180"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65BE723">
            <w:pPr>
              <w:pStyle w:val="33"/>
              <w:rPr>
                <w:rFonts w:cs="Times New Roman"/>
              </w:rPr>
            </w:pPr>
            <w:r>
              <w:rPr>
                <w:rFonts w:cs="Times New Roman"/>
              </w:rPr>
              <w:t>符合</w:t>
            </w:r>
          </w:p>
        </w:tc>
        <w:tc>
          <w:tcPr>
            <w:tcW w:w="548"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1EBF0FB2">
            <w:pPr>
              <w:pStyle w:val="33"/>
              <w:rPr>
                <w:rFonts w:cs="Times New Roman"/>
              </w:rPr>
            </w:pPr>
            <w:r>
              <w:rPr>
                <w:rFonts w:cs="Times New Roman"/>
              </w:rPr>
              <w:t>测试报告4.2节及附件4—6</w:t>
            </w:r>
          </w:p>
        </w:tc>
      </w:tr>
      <w:tr w14:paraId="3C30C607">
        <w:tblPrEx>
          <w:tblCellMar>
            <w:top w:w="0" w:type="dxa"/>
            <w:left w:w="108" w:type="dxa"/>
            <w:bottom w:w="0" w:type="dxa"/>
            <w:right w:w="164" w:type="dxa"/>
          </w:tblCellMar>
        </w:tblPrEx>
        <w:tc>
          <w:tcPr>
            <w:tcW w:w="266"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34EF2FA8">
            <w:pPr>
              <w:pStyle w:val="33"/>
              <w:rPr>
                <w:rFonts w:cs="Times New Roman"/>
              </w:rPr>
            </w:pPr>
            <w:r>
              <w:rPr>
                <w:rFonts w:cs="Times New Roman"/>
              </w:rPr>
              <w:t>4</w:t>
            </w:r>
          </w:p>
        </w:tc>
        <w:tc>
          <w:tcPr>
            <w:tcW w:w="359"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703FE38">
            <w:pPr>
              <w:pStyle w:val="33"/>
              <w:rPr>
                <w:rFonts w:cs="Times New Roman"/>
              </w:rPr>
            </w:pPr>
            <w:r>
              <w:rPr>
                <w:rFonts w:cs="Times New Roman"/>
              </w:rPr>
              <w:t>模块三：人工智能温度场反演</w:t>
            </w:r>
          </w:p>
        </w:tc>
        <w:tc>
          <w:tcPr>
            <w:tcW w:w="1317"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4F3CA167">
            <w:pPr>
              <w:pStyle w:val="33"/>
              <w:rPr>
                <w:rFonts w:cs="Times New Roman"/>
              </w:rPr>
            </w:pPr>
            <w:r>
              <w:rPr>
                <w:rFonts w:cs="Times New Roman"/>
              </w:rPr>
              <w:t>构建AI温度场重构模型和三类材料数据库（仿真波形≥1000组、实验采集≥20组，覆盖室温至1500K）；支持在线增量训练；完成一/二维稳态、瞬态实验验证，5点平均误差≤10%；效率较经典方法提高1个数量级；支持Windows、Fortran及多语言调用。</w:t>
            </w:r>
          </w:p>
        </w:tc>
        <w:tc>
          <w:tcPr>
            <w:tcW w:w="912"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6408DE4F">
            <w:pPr>
              <w:pStyle w:val="33"/>
              <w:rPr>
                <w:rFonts w:cs="Times New Roman"/>
              </w:rPr>
            </w:pPr>
            <w:r>
              <w:rPr>
                <w:rFonts w:cs="Times New Roman"/>
              </w:rPr>
              <w:t>核查模型结构、数据库、增量训练checkpoint、实验5测点误差、推理耗时和Windows/Fortran/多语言运行证据。</w:t>
            </w:r>
          </w:p>
        </w:tc>
        <w:tc>
          <w:tcPr>
            <w:tcW w:w="1418"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43455A23">
            <w:pPr>
              <w:pStyle w:val="33"/>
              <w:rPr>
                <w:rFonts w:cs="Times New Roman"/>
              </w:rPr>
            </w:pPr>
            <w:r>
              <w:rPr>
                <w:rFonts w:cs="Times New Roman"/>
              </w:rPr>
              <w:t>三类材料各1000组、合计</w:t>
            </w:r>
            <w:r>
              <w:rPr>
                <w:rFonts w:hint="eastAsia" w:cs="Times New Roman"/>
              </w:rPr>
              <w:t>14</w:t>
            </w:r>
            <w:r>
              <w:rPr>
                <w:rFonts w:cs="Times New Roman"/>
              </w:rPr>
              <w:t>00组仿真波形，实验采集不少于20组，温度覆盖300～1500K；增量训练通过。一维稳态/瞬态、二维稳态/瞬态误差分别为0.7221%、3.3637%、0.7095%、3.3221%。平均预测耗时0.0622s，较三种经典方法加速178.5～300.2倍。</w:t>
            </w:r>
          </w:p>
        </w:tc>
        <w:tc>
          <w:tcPr>
            <w:tcW w:w="180"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569FB799">
            <w:pPr>
              <w:pStyle w:val="33"/>
              <w:rPr>
                <w:rFonts w:cs="Times New Roman"/>
              </w:rPr>
            </w:pPr>
            <w:r>
              <w:rPr>
                <w:rFonts w:cs="Times New Roman"/>
              </w:rPr>
              <w:t>符合</w:t>
            </w:r>
          </w:p>
        </w:tc>
        <w:tc>
          <w:tcPr>
            <w:tcW w:w="548"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48533BFA">
            <w:pPr>
              <w:pStyle w:val="33"/>
              <w:rPr>
                <w:rFonts w:cs="Times New Roman"/>
              </w:rPr>
            </w:pPr>
            <w:r>
              <w:rPr>
                <w:rFonts w:cs="Times New Roman"/>
              </w:rPr>
              <w:t>测试报告4.3节及附件7—9</w:t>
            </w:r>
          </w:p>
        </w:tc>
      </w:tr>
      <w:tr w14:paraId="20A409E5">
        <w:tblPrEx>
          <w:tblCellMar>
            <w:top w:w="0" w:type="dxa"/>
            <w:left w:w="108" w:type="dxa"/>
            <w:bottom w:w="0" w:type="dxa"/>
            <w:right w:w="164" w:type="dxa"/>
          </w:tblCellMar>
        </w:tblPrEx>
        <w:tc>
          <w:tcPr>
            <w:tcW w:w="266"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3629DD13">
            <w:pPr>
              <w:pStyle w:val="33"/>
              <w:rPr>
                <w:rFonts w:cs="Times New Roman"/>
              </w:rPr>
            </w:pPr>
            <w:r>
              <w:rPr>
                <w:rFonts w:cs="Times New Roman"/>
              </w:rPr>
              <w:t>5</w:t>
            </w:r>
          </w:p>
        </w:tc>
        <w:tc>
          <w:tcPr>
            <w:tcW w:w="359"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7F12F645">
            <w:pPr>
              <w:pStyle w:val="33"/>
              <w:rPr>
                <w:rFonts w:cs="Times New Roman"/>
              </w:rPr>
            </w:pPr>
            <w:r>
              <w:rPr>
                <w:rFonts w:cs="Times New Roman"/>
              </w:rPr>
              <w:t>其他要求：可靠性、保障性、测试性和培训</w:t>
            </w:r>
          </w:p>
        </w:tc>
        <w:tc>
          <w:tcPr>
            <w:tcW w:w="1317"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157EA324">
            <w:pPr>
              <w:pStyle w:val="33"/>
              <w:rPr>
                <w:rFonts w:cs="Times New Roman"/>
              </w:rPr>
            </w:pPr>
            <w:r>
              <w:rPr>
                <w:rFonts w:cs="Times New Roman"/>
              </w:rPr>
              <w:t>程序经通用软件、文献或实验数据验证；提供使用说明、维护手册、调试维修方法、测试大纲和测试报告；对甲方操作人员进行培训。</w:t>
            </w:r>
          </w:p>
        </w:tc>
        <w:tc>
          <w:tcPr>
            <w:tcW w:w="912"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3645491C">
            <w:pPr>
              <w:pStyle w:val="33"/>
              <w:rPr>
                <w:rFonts w:cs="Times New Roman"/>
              </w:rPr>
            </w:pPr>
            <w:r>
              <w:rPr>
                <w:rFonts w:cs="Times New Roman"/>
              </w:rPr>
              <w:t>查阅验证记录、用户文档、测试及评审资料、培训材料，并现场抽查程序运行和操作流程。</w:t>
            </w:r>
          </w:p>
        </w:tc>
        <w:tc>
          <w:tcPr>
            <w:tcW w:w="1418"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1B129762">
            <w:pPr>
              <w:pStyle w:val="33"/>
              <w:rPr>
                <w:rFonts w:cs="Times New Roman"/>
              </w:rPr>
            </w:pPr>
            <w:r>
              <w:rPr>
                <w:rFonts w:cs="Times New Roman"/>
              </w:rPr>
              <w:t>三个模块均已完成通用软件或实验对比；已形成操作手册/帮助文档、测试大纲、测试报告及程序测试记录表，Windows图形化界面可正常运行，具备培训和独立操作条件。</w:t>
            </w:r>
          </w:p>
        </w:tc>
        <w:tc>
          <w:tcPr>
            <w:tcW w:w="180"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334646C5">
            <w:pPr>
              <w:pStyle w:val="33"/>
              <w:rPr>
                <w:rFonts w:cs="Times New Roman"/>
              </w:rPr>
            </w:pPr>
            <w:r>
              <w:rPr>
                <w:rFonts w:cs="Times New Roman"/>
              </w:rPr>
              <w:t>符合</w:t>
            </w:r>
          </w:p>
        </w:tc>
        <w:tc>
          <w:tcPr>
            <w:tcW w:w="548" w:type="pct"/>
            <w:tcBorders>
              <w:top w:val="single" w:color="000000" w:sz="4" w:space="0"/>
              <w:left w:val="single" w:color="000000" w:sz="4" w:space="0"/>
              <w:bottom w:val="single" w:color="000000" w:sz="4" w:space="0"/>
              <w:right w:val="single" w:color="000000" w:sz="4" w:space="0"/>
            </w:tcBorders>
            <w:tcMar>
              <w:top w:w="55" w:type="dxa"/>
              <w:left w:w="65" w:type="dxa"/>
              <w:bottom w:w="55" w:type="dxa"/>
              <w:right w:w="65" w:type="dxa"/>
            </w:tcMar>
            <w:vAlign w:val="center"/>
          </w:tcPr>
          <w:p w14:paraId="2A15C7F0">
            <w:pPr>
              <w:pStyle w:val="33"/>
              <w:rPr>
                <w:rFonts w:cs="Times New Roman"/>
              </w:rPr>
            </w:pPr>
            <w:r>
              <w:rPr>
                <w:rFonts w:cs="Times New Roman"/>
              </w:rPr>
              <w:t>培训实施情况由现场验收确认</w:t>
            </w:r>
          </w:p>
        </w:tc>
      </w:tr>
    </w:tbl>
    <w:p w14:paraId="501C6983">
      <w:pPr>
        <w:spacing w:line="240" w:lineRule="auto"/>
        <w:contextualSpacing w:val="0"/>
        <w:jc w:val="left"/>
        <w:rPr>
          <w:rFonts w:hint="eastAsia" w:ascii="宋体" w:hAnsi="宋体" w:cs="宋体"/>
          <w:sz w:val="22"/>
          <w14:ligatures w14:val="none"/>
        </w:rPr>
      </w:pPr>
      <w:r>
        <w:rPr>
          <w:rFonts w:ascii="宋体" w:hAnsi="宋体" w:cs="宋体"/>
          <w:sz w:val="17"/>
          <w14:ligatures w14:val="none"/>
        </w:rPr>
        <w:t>注：实现指标依据测试报告及技术报告填写，最终以甲方组织的合同验收结论为准。</w:t>
      </w:r>
    </w:p>
    <w:p w14:paraId="6D089FD4">
      <w:pPr>
        <w:spacing w:line="240" w:lineRule="auto"/>
        <w:contextualSpacing w:val="0"/>
        <w:jc w:val="left"/>
      </w:pPr>
      <w:r>
        <w:rPr>
          <w:rFonts w:ascii="宋体" w:hAnsi="宋体" w:cs="宋体"/>
          <w:sz w:val="19"/>
          <w14:ligatures w14:val="none"/>
        </w:rPr>
        <w:t>甲方验收人员：　　　　　　　　　　　　　　乙方验收人员：</w:t>
      </w:r>
    </w:p>
    <w:sectPr>
      <w:headerReference r:id="rId9" w:type="default"/>
      <w:footerReference r:id="rId10" w:type="default"/>
      <w:type w:val="continuous"/>
      <w:pgSz w:w="16840" w:h="11907" w:orient="landscape"/>
      <w:pgMar w:top="851" w:right="2098" w:bottom="1474" w:left="1985" w:header="851" w:footer="1588"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2BE5AC8-48C6-46BE-BB32-72E80098828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FDFC6039-297A-4ABA-A36D-8568A2A2ABE9}"/>
  </w:font>
  <w:font w:name="等线">
    <w:panose1 w:val="02010600030101010101"/>
    <w:charset w:val="86"/>
    <w:family w:val="auto"/>
    <w:pitch w:val="default"/>
    <w:sig w:usb0="A00002BF" w:usb1="38CF7CFA" w:usb2="00000016" w:usb3="00000000" w:csb0="0004000F" w:csb1="00000000"/>
    <w:embedRegular r:id="rId3" w:fontKey="{DC085CC3-F7A4-41C4-BA6C-90B121818BA3}"/>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embedRegular r:id="rId4" w:fontKey="{E887FC24-EE5A-49ED-9F94-61C1723D3593}"/>
  </w:font>
  <w:font w:name="仿宋_GB2312">
    <w:altName w:val="仿宋"/>
    <w:panose1 w:val="02010609030101010101"/>
    <w:charset w:val="86"/>
    <w:family w:val="modern"/>
    <w:pitch w:val="default"/>
    <w:sig w:usb0="00000000" w:usb1="00000000" w:usb2="00000010" w:usb3="00000000" w:csb0="00040000" w:csb1="00000000"/>
    <w:embedRegular r:id="rId5" w:fontKey="{F35DC559-94E3-4B35-9A1A-6DF0C04667E4}"/>
  </w:font>
  <w:font w:name="微软雅黑">
    <w:panose1 w:val="020B0503020204020204"/>
    <w:charset w:val="86"/>
    <w:family w:val="swiss"/>
    <w:pitch w:val="default"/>
    <w:sig w:usb0="80000287" w:usb1="2ACF3C50" w:usb2="00000016" w:usb3="00000000" w:csb0="0004001F" w:csb1="00000000"/>
    <w:embedRegular r:id="rId6" w:fontKey="{AABDF08C-941A-486F-8763-13E0FFF1389C}"/>
  </w:font>
  <w:font w:name="方正小标宋简体">
    <w:panose1 w:val="02000000000000000000"/>
    <w:charset w:val="86"/>
    <w:family w:val="auto"/>
    <w:pitch w:val="default"/>
    <w:sig w:usb0="00000001" w:usb1="08000000" w:usb2="00000000" w:usb3="00000000" w:csb0="00040000" w:csb1="00000000"/>
    <w:embedRegular r:id="rId7" w:fontKey="{239CBE63-E41C-49D3-906A-500D53E6A7A8}"/>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A9E3D">
    <w:pPr>
      <w:pStyle w:val="15"/>
      <w:jc w:val="center"/>
    </w:pPr>
  </w:p>
  <w:p w14:paraId="5455577C">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8628540"/>
      <w:docPartObj>
        <w:docPartGallery w:val="autotext"/>
      </w:docPartObj>
    </w:sdtPr>
    <w:sdtContent>
      <w:p w14:paraId="66F7387B">
        <w:pPr>
          <w:pStyle w:val="15"/>
          <w:jc w:val="center"/>
        </w:pPr>
        <w:r>
          <w:fldChar w:fldCharType="begin"/>
        </w:r>
        <w:r>
          <w:instrText xml:space="preserve">PAGE   \* MERGEFORMAT</w:instrText>
        </w:r>
        <w:r>
          <w:fldChar w:fldCharType="separate"/>
        </w:r>
        <w:r>
          <w:rPr>
            <w:lang w:val="zh-CN"/>
          </w:rPr>
          <w:t>2</w:t>
        </w:r>
        <w:r>
          <w:fldChar w:fldCharType="end"/>
        </w:r>
      </w:p>
    </w:sdtContent>
  </w:sdt>
  <w:p w14:paraId="353EC1B8">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53222334"/>
      <w:docPartObj>
        <w:docPartGallery w:val="autotext"/>
      </w:docPartObj>
    </w:sdtPr>
    <w:sdtContent>
      <w:p w14:paraId="6BE419C1">
        <w:pPr>
          <w:pStyle w:val="15"/>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07273">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6C1A7">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FF690">
    <w:pPr>
      <w:pBdr>
        <w:bottom w:val="none" w:color="auto" w:sz="0" w:space="1"/>
      </w:pBdr>
      <w:tabs>
        <w:tab w:val="center" w:pos="4153"/>
        <w:tab w:val="right" w:pos="8306"/>
      </w:tabs>
      <w:snapToGrid w:val="0"/>
      <w:ind w:firstLine="360"/>
      <w:jc w:val="center"/>
      <w:rPr>
        <w:rFonts w:cs="Times New Roman"/>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363AFC"/>
    <w:multiLevelType w:val="multilevel"/>
    <w:tmpl w:val="29363AFC"/>
    <w:lvl w:ilvl="0" w:tentative="0">
      <w:start w:val="1"/>
      <w:numFmt w:val="decimal"/>
      <w:pStyle w:val="54"/>
      <w:lvlText w:val="附件%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BF80264"/>
    <w:multiLevelType w:val="multilevel"/>
    <w:tmpl w:val="2BF80264"/>
    <w:lvl w:ilvl="0" w:tentative="0">
      <w:start w:val="1"/>
      <w:numFmt w:val="decimal"/>
      <w:pStyle w:val="2"/>
      <w:lvlText w:val="%1"/>
      <w:lvlJc w:val="left"/>
      <w:pPr>
        <w:ind w:left="432" w:hanging="432"/>
      </w:pPr>
      <w:rPr>
        <w:rFonts w:hint="eastAsia"/>
      </w:rPr>
    </w:lvl>
    <w:lvl w:ilvl="1" w:tentative="0">
      <w:start w:val="1"/>
      <w:numFmt w:val="decimal"/>
      <w:pStyle w:val="4"/>
      <w:lvlText w:val="%1.%2"/>
      <w:lvlJc w:val="left"/>
      <w:pPr>
        <w:ind w:left="576" w:hanging="576"/>
      </w:pPr>
      <w:rPr>
        <w:rFonts w:hint="eastAsia"/>
      </w:rPr>
    </w:lvl>
    <w:lvl w:ilvl="2" w:tentative="0">
      <w:start w:val="1"/>
      <w:numFmt w:val="decimal"/>
      <w:pStyle w:val="5"/>
      <w:lvlText w:val="%1.%2.%3"/>
      <w:lvlJc w:val="left"/>
      <w:pPr>
        <w:ind w:left="720" w:hanging="720"/>
      </w:pPr>
      <w:rPr>
        <w:rFonts w:hint="eastAsia"/>
      </w:rPr>
    </w:lvl>
    <w:lvl w:ilvl="3" w:tentative="0">
      <w:start w:val="1"/>
      <w:numFmt w:val="decimal"/>
      <w:pStyle w:val="6"/>
      <w:lvlText w:val="%1.%2.%3.%4"/>
      <w:lvlJc w:val="left"/>
      <w:pPr>
        <w:ind w:left="864" w:hanging="864"/>
      </w:pPr>
      <w:rPr>
        <w:rFonts w:hint="eastAsia"/>
      </w:rPr>
    </w:lvl>
    <w:lvl w:ilvl="4" w:tentative="0">
      <w:start w:val="1"/>
      <w:numFmt w:val="decimal"/>
      <w:pStyle w:val="7"/>
      <w:lvlText w:val="（%5）"/>
      <w:lvlJc w:val="left"/>
      <w:pPr>
        <w:tabs>
          <w:tab w:val="left" w:pos="1009"/>
        </w:tabs>
        <w:ind w:left="1008" w:hanging="1008"/>
      </w:pPr>
      <w:rPr>
        <w:rFonts w:hint="eastAsia"/>
      </w:rPr>
    </w:lvl>
    <w:lvl w:ilvl="5" w:tentative="0">
      <w:start w:val="1"/>
      <w:numFmt w:val="decimal"/>
      <w:pStyle w:val="8"/>
      <w:lvlText w:val="%1.%2.%3.%4.%5.%6"/>
      <w:lvlJc w:val="left"/>
      <w:pPr>
        <w:ind w:left="1152" w:hanging="1152"/>
      </w:pPr>
      <w:rPr>
        <w:rFonts w:hint="eastAsia"/>
      </w:rPr>
    </w:lvl>
    <w:lvl w:ilvl="6" w:tentative="0">
      <w:start w:val="1"/>
      <w:numFmt w:val="decimal"/>
      <w:pStyle w:val="9"/>
      <w:lvlText w:val="%1.%2.%3.%4.%5.%6.%7"/>
      <w:lvlJc w:val="left"/>
      <w:pPr>
        <w:ind w:left="1296" w:hanging="1296"/>
      </w:pPr>
      <w:rPr>
        <w:rFonts w:hint="eastAsia"/>
      </w:rPr>
    </w:lvl>
    <w:lvl w:ilvl="7" w:tentative="0">
      <w:start w:val="1"/>
      <w:numFmt w:val="decimal"/>
      <w:pStyle w:val="10"/>
      <w:lvlText w:val="%1.%2.%3.%4.%5.%6.%7.%8"/>
      <w:lvlJc w:val="left"/>
      <w:pPr>
        <w:ind w:left="1440" w:hanging="1440"/>
      </w:pPr>
      <w:rPr>
        <w:rFonts w:hint="eastAsia"/>
      </w:rPr>
    </w:lvl>
    <w:lvl w:ilvl="8" w:tentative="0">
      <w:start w:val="1"/>
      <w:numFmt w:val="decimal"/>
      <w:pStyle w:val="11"/>
      <w:lvlText w:val="%1.%2.%3.%4.%5.%6.%7.%8.%9"/>
      <w:lvlJc w:val="left"/>
      <w:pPr>
        <w:ind w:left="1584" w:hanging="1584"/>
      </w:pPr>
      <w:rPr>
        <w:rFonts w:hint="eastAsia"/>
      </w:rPr>
    </w:lvl>
  </w:abstractNum>
  <w:abstractNum w:abstractNumId="2">
    <w:nsid w:val="3ADE205C"/>
    <w:multiLevelType w:val="multilevel"/>
    <w:tmpl w:val="3ADE205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0230289"/>
    <w:multiLevelType w:val="multilevel"/>
    <w:tmpl w:val="50230289"/>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44305D7"/>
    <w:multiLevelType w:val="multilevel"/>
    <w:tmpl w:val="744305D7"/>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7CA04C1C"/>
    <w:multiLevelType w:val="multilevel"/>
    <w:tmpl w:val="7CA04C1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 w:numId="3">
    <w:abstractNumId w:val="3"/>
  </w:num>
  <w:num w:numId="4">
    <w:abstractNumId w:val="2"/>
  </w:num>
  <w:num w:numId="5">
    <w:abstractNumId w:val="4"/>
  </w:num>
  <w:num w:numId="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C06"/>
    <w:rsid w:val="000125B9"/>
    <w:rsid w:val="0002036E"/>
    <w:rsid w:val="00025837"/>
    <w:rsid w:val="00032538"/>
    <w:rsid w:val="00050A48"/>
    <w:rsid w:val="000559F3"/>
    <w:rsid w:val="00055FF6"/>
    <w:rsid w:val="00064BC9"/>
    <w:rsid w:val="0008655A"/>
    <w:rsid w:val="000A31B9"/>
    <w:rsid w:val="000A58F7"/>
    <w:rsid w:val="000B7028"/>
    <w:rsid w:val="000E2296"/>
    <w:rsid w:val="000F0878"/>
    <w:rsid w:val="00111213"/>
    <w:rsid w:val="001209B0"/>
    <w:rsid w:val="00124C3E"/>
    <w:rsid w:val="0013265D"/>
    <w:rsid w:val="00135673"/>
    <w:rsid w:val="00143575"/>
    <w:rsid w:val="00150A4F"/>
    <w:rsid w:val="001516BE"/>
    <w:rsid w:val="00152BDF"/>
    <w:rsid w:val="00172CFC"/>
    <w:rsid w:val="00175AF1"/>
    <w:rsid w:val="0018169E"/>
    <w:rsid w:val="00183E11"/>
    <w:rsid w:val="00185BD8"/>
    <w:rsid w:val="001B166A"/>
    <w:rsid w:val="001B40F5"/>
    <w:rsid w:val="001B7A2F"/>
    <w:rsid w:val="001C356D"/>
    <w:rsid w:val="001D6174"/>
    <w:rsid w:val="001E1F3B"/>
    <w:rsid w:val="001E4F75"/>
    <w:rsid w:val="001F0F9D"/>
    <w:rsid w:val="001F1FFD"/>
    <w:rsid w:val="0021166E"/>
    <w:rsid w:val="00214DBC"/>
    <w:rsid w:val="0022149B"/>
    <w:rsid w:val="002617CF"/>
    <w:rsid w:val="0026688A"/>
    <w:rsid w:val="00283F59"/>
    <w:rsid w:val="002A218D"/>
    <w:rsid w:val="002C5D51"/>
    <w:rsid w:val="002E0EDE"/>
    <w:rsid w:val="002E3EF0"/>
    <w:rsid w:val="002F35D0"/>
    <w:rsid w:val="002F405C"/>
    <w:rsid w:val="00312ED6"/>
    <w:rsid w:val="00313D9E"/>
    <w:rsid w:val="0033319C"/>
    <w:rsid w:val="00352B83"/>
    <w:rsid w:val="003608AA"/>
    <w:rsid w:val="003872CD"/>
    <w:rsid w:val="003951D5"/>
    <w:rsid w:val="003A7274"/>
    <w:rsid w:val="003B1920"/>
    <w:rsid w:val="003B3A2F"/>
    <w:rsid w:val="003D75F5"/>
    <w:rsid w:val="00413F43"/>
    <w:rsid w:val="00414B7D"/>
    <w:rsid w:val="00421CAD"/>
    <w:rsid w:val="0042265E"/>
    <w:rsid w:val="00463CD8"/>
    <w:rsid w:val="00467494"/>
    <w:rsid w:val="004764E7"/>
    <w:rsid w:val="00477541"/>
    <w:rsid w:val="004A4D34"/>
    <w:rsid w:val="004A6E71"/>
    <w:rsid w:val="004A7DE2"/>
    <w:rsid w:val="004C3711"/>
    <w:rsid w:val="004E5C06"/>
    <w:rsid w:val="004E725A"/>
    <w:rsid w:val="004F0005"/>
    <w:rsid w:val="004F5FAF"/>
    <w:rsid w:val="00503E17"/>
    <w:rsid w:val="00522625"/>
    <w:rsid w:val="00522658"/>
    <w:rsid w:val="005360E8"/>
    <w:rsid w:val="0056141D"/>
    <w:rsid w:val="005902DD"/>
    <w:rsid w:val="00591249"/>
    <w:rsid w:val="005C0862"/>
    <w:rsid w:val="005C6159"/>
    <w:rsid w:val="005E086F"/>
    <w:rsid w:val="005E27B1"/>
    <w:rsid w:val="00621756"/>
    <w:rsid w:val="00624D9A"/>
    <w:rsid w:val="006326AF"/>
    <w:rsid w:val="00654755"/>
    <w:rsid w:val="0066556D"/>
    <w:rsid w:val="006916B5"/>
    <w:rsid w:val="006D0B05"/>
    <w:rsid w:val="006D2803"/>
    <w:rsid w:val="006D3CF8"/>
    <w:rsid w:val="006F75BD"/>
    <w:rsid w:val="007278F5"/>
    <w:rsid w:val="00740805"/>
    <w:rsid w:val="00746834"/>
    <w:rsid w:val="00797C1E"/>
    <w:rsid w:val="007A43D5"/>
    <w:rsid w:val="007B0B73"/>
    <w:rsid w:val="007E6EC4"/>
    <w:rsid w:val="007F1C4A"/>
    <w:rsid w:val="00812114"/>
    <w:rsid w:val="0083547E"/>
    <w:rsid w:val="00860433"/>
    <w:rsid w:val="0086120C"/>
    <w:rsid w:val="0086721F"/>
    <w:rsid w:val="008939CF"/>
    <w:rsid w:val="008A4AD4"/>
    <w:rsid w:val="008C7DED"/>
    <w:rsid w:val="008E160A"/>
    <w:rsid w:val="008F3581"/>
    <w:rsid w:val="009418F2"/>
    <w:rsid w:val="00944B6E"/>
    <w:rsid w:val="00951721"/>
    <w:rsid w:val="00997233"/>
    <w:rsid w:val="009A5021"/>
    <w:rsid w:val="009A76E9"/>
    <w:rsid w:val="009B78BC"/>
    <w:rsid w:val="009C2DA4"/>
    <w:rsid w:val="009C7498"/>
    <w:rsid w:val="009C7882"/>
    <w:rsid w:val="009D568C"/>
    <w:rsid w:val="009E46B2"/>
    <w:rsid w:val="00A21DEA"/>
    <w:rsid w:val="00A24B7B"/>
    <w:rsid w:val="00A36C95"/>
    <w:rsid w:val="00A508D1"/>
    <w:rsid w:val="00A55279"/>
    <w:rsid w:val="00A73ADB"/>
    <w:rsid w:val="00A82D8B"/>
    <w:rsid w:val="00AA4103"/>
    <w:rsid w:val="00AC4DDE"/>
    <w:rsid w:val="00B0713B"/>
    <w:rsid w:val="00B07EB3"/>
    <w:rsid w:val="00B11C43"/>
    <w:rsid w:val="00B1297C"/>
    <w:rsid w:val="00B23128"/>
    <w:rsid w:val="00B269B3"/>
    <w:rsid w:val="00B43C61"/>
    <w:rsid w:val="00B71E2B"/>
    <w:rsid w:val="00BA3833"/>
    <w:rsid w:val="00BD283B"/>
    <w:rsid w:val="00BD4084"/>
    <w:rsid w:val="00BF6A93"/>
    <w:rsid w:val="00C01935"/>
    <w:rsid w:val="00C03E9B"/>
    <w:rsid w:val="00C05C07"/>
    <w:rsid w:val="00C239D0"/>
    <w:rsid w:val="00C23ACB"/>
    <w:rsid w:val="00C260DE"/>
    <w:rsid w:val="00C37435"/>
    <w:rsid w:val="00C5440C"/>
    <w:rsid w:val="00C61AC9"/>
    <w:rsid w:val="00C73B4E"/>
    <w:rsid w:val="00C73D92"/>
    <w:rsid w:val="00C830A8"/>
    <w:rsid w:val="00C87316"/>
    <w:rsid w:val="00CA2AC4"/>
    <w:rsid w:val="00CE4AEA"/>
    <w:rsid w:val="00CE52D8"/>
    <w:rsid w:val="00D054A5"/>
    <w:rsid w:val="00D107B5"/>
    <w:rsid w:val="00D159EC"/>
    <w:rsid w:val="00D3180A"/>
    <w:rsid w:val="00D3541F"/>
    <w:rsid w:val="00D35C2F"/>
    <w:rsid w:val="00D3769D"/>
    <w:rsid w:val="00D60659"/>
    <w:rsid w:val="00D63811"/>
    <w:rsid w:val="00D74CA3"/>
    <w:rsid w:val="00D768CB"/>
    <w:rsid w:val="00D90200"/>
    <w:rsid w:val="00DA3099"/>
    <w:rsid w:val="00DC3811"/>
    <w:rsid w:val="00DD45AF"/>
    <w:rsid w:val="00E43C3C"/>
    <w:rsid w:val="00E5500F"/>
    <w:rsid w:val="00E57606"/>
    <w:rsid w:val="00E57A1D"/>
    <w:rsid w:val="00E83E19"/>
    <w:rsid w:val="00E9089F"/>
    <w:rsid w:val="00E974D1"/>
    <w:rsid w:val="00EB13CF"/>
    <w:rsid w:val="00EB3856"/>
    <w:rsid w:val="00EC2F3B"/>
    <w:rsid w:val="00ED3FB0"/>
    <w:rsid w:val="00EE0600"/>
    <w:rsid w:val="00F01196"/>
    <w:rsid w:val="00F105A3"/>
    <w:rsid w:val="00F351E5"/>
    <w:rsid w:val="00F527A7"/>
    <w:rsid w:val="00F75129"/>
    <w:rsid w:val="00F82DC8"/>
    <w:rsid w:val="00F97EEC"/>
    <w:rsid w:val="00FA6092"/>
    <w:rsid w:val="00FE0ABF"/>
    <w:rsid w:val="00FE2501"/>
    <w:rsid w:val="00FE62F9"/>
    <w:rsid w:val="00FE7488"/>
    <w:rsid w:val="00FF6F16"/>
    <w:rsid w:val="0B8D10DD"/>
    <w:rsid w:val="1C8E5E18"/>
    <w:rsid w:val="21110DC5"/>
    <w:rsid w:val="21B94126"/>
    <w:rsid w:val="2AED757D"/>
    <w:rsid w:val="2B197812"/>
    <w:rsid w:val="376218C4"/>
    <w:rsid w:val="44995DC1"/>
    <w:rsid w:val="4F334656"/>
    <w:rsid w:val="5843585C"/>
    <w:rsid w:val="62A269BD"/>
    <w:rsid w:val="6AA26BE7"/>
    <w:rsid w:val="7B424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contextualSpacing/>
      <w:jc w:val="both"/>
    </w:pPr>
    <w:rPr>
      <w:rFonts w:ascii="Times New Roman" w:hAnsi="Times New Roman" w:eastAsia="宋体" w:cstheme="minorBidi"/>
      <w:kern w:val="2"/>
      <w:sz w:val="24"/>
      <w:szCs w:val="24"/>
      <w:lang w:val="en-US" w:eastAsia="zh-CN" w:bidi="ar-SA"/>
      <w14:ligatures w14:val="standardContextual"/>
    </w:rPr>
  </w:style>
  <w:style w:type="paragraph" w:styleId="2">
    <w:name w:val="heading 1"/>
    <w:basedOn w:val="1"/>
    <w:next w:val="3"/>
    <w:link w:val="28"/>
    <w:autoRedefine/>
    <w:qFormat/>
    <w:uiPriority w:val="9"/>
    <w:pPr>
      <w:keepNext/>
      <w:keepLines/>
      <w:numPr>
        <w:ilvl w:val="0"/>
        <w:numId w:val="1"/>
      </w:numPr>
      <w:spacing w:before="100" w:beforeAutospacing="1" w:after="100" w:afterAutospacing="1" w:line="240" w:lineRule="auto"/>
      <w:outlineLvl w:val="0"/>
    </w:pPr>
    <w:rPr>
      <w:rFonts w:eastAsia="黑体" w:cstheme="majorBidi"/>
      <w:sz w:val="32"/>
      <w:szCs w:val="48"/>
    </w:rPr>
  </w:style>
  <w:style w:type="paragraph" w:styleId="4">
    <w:name w:val="heading 2"/>
    <w:basedOn w:val="1"/>
    <w:next w:val="3"/>
    <w:link w:val="29"/>
    <w:autoRedefine/>
    <w:unhideWhenUsed/>
    <w:qFormat/>
    <w:uiPriority w:val="9"/>
    <w:pPr>
      <w:keepNext/>
      <w:keepLines/>
      <w:numPr>
        <w:ilvl w:val="1"/>
        <w:numId w:val="1"/>
      </w:numPr>
      <w:outlineLvl w:val="1"/>
    </w:pPr>
    <w:rPr>
      <w:rFonts w:eastAsia="黑体" w:cstheme="majorBidi"/>
      <w:sz w:val="28"/>
      <w:szCs w:val="40"/>
    </w:rPr>
  </w:style>
  <w:style w:type="paragraph" w:styleId="5">
    <w:name w:val="heading 3"/>
    <w:basedOn w:val="1"/>
    <w:next w:val="3"/>
    <w:link w:val="35"/>
    <w:autoRedefine/>
    <w:unhideWhenUsed/>
    <w:qFormat/>
    <w:uiPriority w:val="9"/>
    <w:pPr>
      <w:keepNext/>
      <w:keepLines/>
      <w:numPr>
        <w:ilvl w:val="2"/>
        <w:numId w:val="1"/>
      </w:numPr>
      <w:wordWrap w:val="0"/>
      <w:spacing w:before="100" w:beforeAutospacing="1" w:after="100" w:afterAutospacing="1" w:line="240" w:lineRule="auto"/>
      <w:contextualSpacing w:val="0"/>
      <w:outlineLvl w:val="2"/>
    </w:pPr>
    <w:rPr>
      <w:rFonts w:eastAsia="黑体" w:cstheme="majorBidi"/>
      <w:szCs w:val="32"/>
      <w14:ligatures w14:val="none"/>
    </w:rPr>
  </w:style>
  <w:style w:type="paragraph" w:styleId="6">
    <w:name w:val="heading 4"/>
    <w:basedOn w:val="1"/>
    <w:next w:val="3"/>
    <w:link w:val="37"/>
    <w:autoRedefine/>
    <w:unhideWhenUsed/>
    <w:qFormat/>
    <w:uiPriority w:val="9"/>
    <w:pPr>
      <w:keepNext/>
      <w:keepLines/>
      <w:numPr>
        <w:ilvl w:val="3"/>
        <w:numId w:val="1"/>
      </w:numPr>
      <w:spacing w:before="80" w:line="240" w:lineRule="auto"/>
      <w:ind w:left="862" w:hanging="862"/>
      <w:jc w:val="left"/>
      <w:outlineLvl w:val="3"/>
    </w:pPr>
    <w:rPr>
      <w:rFonts w:eastAsia="黑体" w:cstheme="majorBidi"/>
      <w:szCs w:val="28"/>
    </w:rPr>
  </w:style>
  <w:style w:type="paragraph" w:styleId="7">
    <w:name w:val="heading 5"/>
    <w:basedOn w:val="1"/>
    <w:next w:val="3"/>
    <w:link w:val="38"/>
    <w:unhideWhenUsed/>
    <w:qFormat/>
    <w:uiPriority w:val="9"/>
    <w:pPr>
      <w:keepNext/>
      <w:keepLines/>
      <w:numPr>
        <w:ilvl w:val="4"/>
        <w:numId w:val="1"/>
      </w:numPr>
      <w:snapToGrid w:val="0"/>
      <w:spacing w:before="80" w:line="240" w:lineRule="auto"/>
      <w:jc w:val="left"/>
      <w:outlineLvl w:val="4"/>
    </w:pPr>
    <w:rPr>
      <w:rFonts w:asciiTheme="minorHAnsi" w:hAnsiTheme="minorHAnsi" w:cstheme="majorBidi"/>
      <w:b/>
      <w:color w:val="000000" w:themeColor="text1"/>
      <w14:textFill>
        <w14:solidFill>
          <w14:schemeClr w14:val="tx1"/>
        </w14:solidFill>
      </w14:textFill>
    </w:rPr>
  </w:style>
  <w:style w:type="paragraph" w:styleId="8">
    <w:name w:val="heading 6"/>
    <w:basedOn w:val="1"/>
    <w:next w:val="1"/>
    <w:link w:val="39"/>
    <w:semiHidden/>
    <w:unhideWhenUsed/>
    <w:qFormat/>
    <w:uiPriority w:val="9"/>
    <w:pPr>
      <w:keepNext/>
      <w:keepLines/>
      <w:numPr>
        <w:ilvl w:val="5"/>
        <w:numId w:val="1"/>
      </w:numPr>
      <w:spacing w:before="40"/>
      <w:outlineLvl w:val="5"/>
    </w:pPr>
    <w:rPr>
      <w:rFonts w:asciiTheme="minorHAnsi" w:hAnsiTheme="minorHAnsi" w:eastAsiaTheme="minorEastAsia" w:cstheme="majorBidi"/>
      <w:b/>
      <w:bCs/>
      <w:color w:val="104862" w:themeColor="accent1" w:themeShade="BF"/>
    </w:rPr>
  </w:style>
  <w:style w:type="paragraph" w:styleId="9">
    <w:name w:val="heading 7"/>
    <w:basedOn w:val="1"/>
    <w:next w:val="1"/>
    <w:link w:val="40"/>
    <w:semiHidden/>
    <w:unhideWhenUsed/>
    <w:qFormat/>
    <w:uiPriority w:val="9"/>
    <w:pPr>
      <w:keepNext/>
      <w:keepLines/>
      <w:numPr>
        <w:ilvl w:val="6"/>
        <w:numId w:val="1"/>
      </w:numPr>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41"/>
    <w:semiHidden/>
    <w:unhideWhenUsed/>
    <w:qFormat/>
    <w:uiPriority w:val="9"/>
    <w:pPr>
      <w:keepNext/>
      <w:keepLines/>
      <w:numPr>
        <w:ilvl w:val="7"/>
        <w:numId w:val="1"/>
      </w:numPr>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42"/>
    <w:semiHidden/>
    <w:unhideWhenUsed/>
    <w:qFormat/>
    <w:uiPriority w:val="9"/>
    <w:pPr>
      <w:keepNext/>
      <w:keepLines/>
      <w:numPr>
        <w:ilvl w:val="8"/>
        <w:numId w:val="1"/>
      </w:numPr>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customStyle="1" w:styleId="3">
    <w:name w:val="首行缩进"/>
    <w:basedOn w:val="1"/>
    <w:link w:val="30"/>
    <w:autoRedefine/>
    <w:qFormat/>
    <w:uiPriority w:val="0"/>
    <w:pPr>
      <w:ind w:firstLine="480" w:firstLineChars="200"/>
    </w:pPr>
  </w:style>
  <w:style w:type="paragraph" w:styleId="12">
    <w:name w:val="caption"/>
    <w:basedOn w:val="1"/>
    <w:next w:val="1"/>
    <w:unhideWhenUsed/>
    <w:qFormat/>
    <w:uiPriority w:val="35"/>
    <w:rPr>
      <w:rFonts w:eastAsia="黑体" w:asciiTheme="majorHAnsi" w:hAnsiTheme="majorHAnsi" w:cstheme="majorBidi"/>
      <w:sz w:val="20"/>
      <w:szCs w:val="20"/>
    </w:rPr>
  </w:style>
  <w:style w:type="paragraph" w:styleId="13">
    <w:name w:val="toc 3"/>
    <w:basedOn w:val="1"/>
    <w:next w:val="1"/>
    <w:autoRedefine/>
    <w:unhideWhenUsed/>
    <w:qFormat/>
    <w:uiPriority w:val="39"/>
    <w:pPr>
      <w:ind w:left="840" w:leftChars="400"/>
    </w:pPr>
  </w:style>
  <w:style w:type="paragraph" w:styleId="14">
    <w:name w:val="Date"/>
    <w:basedOn w:val="1"/>
    <w:next w:val="1"/>
    <w:link w:val="53"/>
    <w:semiHidden/>
    <w:unhideWhenUsed/>
    <w:qFormat/>
    <w:uiPriority w:val="99"/>
    <w:pPr>
      <w:ind w:left="100" w:leftChars="2500"/>
    </w:pPr>
  </w:style>
  <w:style w:type="paragraph" w:styleId="15">
    <w:name w:val="footer"/>
    <w:basedOn w:val="1"/>
    <w:link w:val="52"/>
    <w:unhideWhenUsed/>
    <w:qFormat/>
    <w:uiPriority w:val="99"/>
    <w:pPr>
      <w:tabs>
        <w:tab w:val="center" w:pos="4153"/>
        <w:tab w:val="right" w:pos="8306"/>
      </w:tabs>
      <w:snapToGrid w:val="0"/>
      <w:spacing w:line="240" w:lineRule="auto"/>
      <w:jc w:val="left"/>
    </w:pPr>
    <w:rPr>
      <w:sz w:val="18"/>
      <w:szCs w:val="18"/>
    </w:rPr>
  </w:style>
  <w:style w:type="paragraph" w:styleId="16">
    <w:name w:val="header"/>
    <w:basedOn w:val="1"/>
    <w:link w:val="51"/>
    <w:unhideWhenUsed/>
    <w:qFormat/>
    <w:uiPriority w:val="99"/>
    <w:pPr>
      <w:tabs>
        <w:tab w:val="center" w:pos="4153"/>
        <w:tab w:val="right" w:pos="8306"/>
      </w:tabs>
      <w:snapToGrid w:val="0"/>
      <w:spacing w:line="240" w:lineRule="auto"/>
      <w:jc w:val="center"/>
    </w:pPr>
    <w:rPr>
      <w:sz w:val="18"/>
      <w:szCs w:val="18"/>
    </w:rPr>
  </w:style>
  <w:style w:type="paragraph" w:styleId="17">
    <w:name w:val="toc 1"/>
    <w:basedOn w:val="1"/>
    <w:next w:val="1"/>
    <w:autoRedefine/>
    <w:unhideWhenUsed/>
    <w:uiPriority w:val="39"/>
  </w:style>
  <w:style w:type="paragraph" w:styleId="18">
    <w:name w:val="Subtitle"/>
    <w:basedOn w:val="1"/>
    <w:next w:val="1"/>
    <w:link w:val="43"/>
    <w:autoRedefine/>
    <w:qFormat/>
    <w:uiPriority w:val="11"/>
    <w:pPr>
      <w:spacing w:line="240" w:lineRule="auto"/>
      <w:contextualSpacing w:val="0"/>
      <w:jc w:val="center"/>
    </w:pPr>
    <w:rPr>
      <w:rFonts w:eastAsia="黑体" w:cstheme="majorBidi"/>
      <w:spacing w:val="15"/>
      <w:sz w:val="28"/>
      <w:szCs w:val="28"/>
    </w:rPr>
  </w:style>
  <w:style w:type="paragraph" w:styleId="19">
    <w:name w:val="toc 2"/>
    <w:basedOn w:val="1"/>
    <w:next w:val="1"/>
    <w:autoRedefine/>
    <w:unhideWhenUsed/>
    <w:qFormat/>
    <w:uiPriority w:val="39"/>
    <w:pPr>
      <w:ind w:left="420" w:leftChars="200"/>
    </w:pPr>
  </w:style>
  <w:style w:type="paragraph" w:styleId="20">
    <w:name w:val="Title"/>
    <w:basedOn w:val="1"/>
    <w:next w:val="1"/>
    <w:link w:val="27"/>
    <w:autoRedefine/>
    <w:qFormat/>
    <w:uiPriority w:val="10"/>
    <w:pPr>
      <w:spacing w:after="80" w:line="240" w:lineRule="auto"/>
      <w:jc w:val="center"/>
    </w:pPr>
    <w:rPr>
      <w:rFonts w:eastAsia="黑体" w:asciiTheme="majorHAnsi" w:hAnsiTheme="majorHAnsi" w:cstheme="majorBidi"/>
      <w:spacing w:val="-10"/>
      <w:kern w:val="28"/>
      <w:sz w:val="44"/>
      <w:szCs w:val="56"/>
    </w:rPr>
  </w:style>
  <w:style w:type="table" w:styleId="22">
    <w:name w:val="Table Grid"/>
    <w:basedOn w:val="2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page number"/>
    <w:basedOn w:val="23"/>
    <w:qFormat/>
    <w:uiPriority w:val="0"/>
  </w:style>
  <w:style w:type="character" w:styleId="26">
    <w:name w:val="Hyperlink"/>
    <w:basedOn w:val="23"/>
    <w:unhideWhenUsed/>
    <w:qFormat/>
    <w:uiPriority w:val="99"/>
    <w:rPr>
      <w:color w:val="467886" w:themeColor="hyperlink"/>
      <w:u w:val="single"/>
      <w14:textFill>
        <w14:solidFill>
          <w14:schemeClr w14:val="hlink"/>
        </w14:solidFill>
      </w14:textFill>
    </w:rPr>
  </w:style>
  <w:style w:type="character" w:customStyle="1" w:styleId="27">
    <w:name w:val="标题 字符"/>
    <w:basedOn w:val="23"/>
    <w:link w:val="20"/>
    <w:qFormat/>
    <w:uiPriority w:val="10"/>
    <w:rPr>
      <w:rFonts w:eastAsia="黑体" w:asciiTheme="majorHAnsi" w:hAnsiTheme="majorHAnsi" w:cstheme="majorBidi"/>
      <w:spacing w:val="-10"/>
      <w:kern w:val="28"/>
      <w:sz w:val="44"/>
      <w:szCs w:val="56"/>
    </w:rPr>
  </w:style>
  <w:style w:type="character" w:customStyle="1" w:styleId="28">
    <w:name w:val="标题 1 字符"/>
    <w:basedOn w:val="23"/>
    <w:link w:val="2"/>
    <w:qFormat/>
    <w:uiPriority w:val="9"/>
    <w:rPr>
      <w:rFonts w:ascii="Times New Roman" w:hAnsi="Times New Roman" w:eastAsia="黑体" w:cstheme="majorBidi"/>
      <w:sz w:val="32"/>
      <w:szCs w:val="48"/>
    </w:rPr>
  </w:style>
  <w:style w:type="character" w:customStyle="1" w:styleId="29">
    <w:name w:val="标题 2 字符"/>
    <w:basedOn w:val="23"/>
    <w:link w:val="4"/>
    <w:qFormat/>
    <w:uiPriority w:val="9"/>
    <w:rPr>
      <w:rFonts w:ascii="Times New Roman" w:hAnsi="Times New Roman" w:eastAsia="黑体" w:cstheme="majorBidi"/>
      <w:sz w:val="28"/>
      <w:szCs w:val="40"/>
    </w:rPr>
  </w:style>
  <w:style w:type="character" w:customStyle="1" w:styleId="30">
    <w:name w:val="首行缩进 字符"/>
    <w:basedOn w:val="23"/>
    <w:link w:val="3"/>
    <w:qFormat/>
    <w:uiPriority w:val="0"/>
    <w:rPr>
      <w:rFonts w:ascii="Times New Roman" w:hAnsi="Times New Roman" w:eastAsia="宋体"/>
      <w:sz w:val="24"/>
    </w:rPr>
  </w:style>
  <w:style w:type="paragraph" w:customStyle="1" w:styleId="31">
    <w:name w:val="无缩进"/>
    <w:basedOn w:val="1"/>
    <w:link w:val="32"/>
    <w:autoRedefine/>
    <w:qFormat/>
    <w:uiPriority w:val="0"/>
    <w:pPr>
      <w:contextualSpacing w:val="0"/>
    </w:pPr>
    <w:rPr>
      <w:rFonts w:cs="Times New Roman"/>
      <w14:ligatures w14:val="none"/>
    </w:rPr>
  </w:style>
  <w:style w:type="character" w:customStyle="1" w:styleId="32">
    <w:name w:val="无缩进 字符"/>
    <w:basedOn w:val="23"/>
    <w:link w:val="31"/>
    <w:qFormat/>
    <w:uiPriority w:val="0"/>
    <w:rPr>
      <w:rFonts w:ascii="Times New Roman" w:hAnsi="Times New Roman" w:eastAsia="宋体" w:cs="Times New Roman"/>
      <w:kern w:val="2"/>
      <w:sz w:val="24"/>
      <w:szCs w:val="24"/>
    </w:rPr>
  </w:style>
  <w:style w:type="paragraph" w:customStyle="1" w:styleId="33">
    <w:name w:val="图表"/>
    <w:basedOn w:val="1"/>
    <w:link w:val="34"/>
    <w:autoRedefine/>
    <w:qFormat/>
    <w:uiPriority w:val="0"/>
    <w:pPr>
      <w:spacing w:line="240" w:lineRule="auto"/>
      <w:jc w:val="center"/>
    </w:pPr>
  </w:style>
  <w:style w:type="character" w:customStyle="1" w:styleId="34">
    <w:name w:val="图表 字符"/>
    <w:basedOn w:val="23"/>
    <w:link w:val="33"/>
    <w:qFormat/>
    <w:uiPriority w:val="0"/>
    <w:rPr>
      <w:rFonts w:ascii="Times New Roman" w:hAnsi="Times New Roman" w:eastAsia="宋体"/>
      <w:kern w:val="2"/>
      <w:sz w:val="24"/>
      <w:szCs w:val="24"/>
      <w14:ligatures w14:val="standardContextual"/>
    </w:rPr>
  </w:style>
  <w:style w:type="character" w:customStyle="1" w:styleId="35">
    <w:name w:val="标题 3 字符"/>
    <w:basedOn w:val="23"/>
    <w:link w:val="5"/>
    <w:qFormat/>
    <w:uiPriority w:val="9"/>
    <w:rPr>
      <w:rFonts w:ascii="Times New Roman" w:hAnsi="Times New Roman" w:eastAsia="黑体" w:cstheme="majorBidi"/>
      <w:sz w:val="24"/>
      <w:szCs w:val="32"/>
      <w14:ligatures w14:val="none"/>
    </w:rPr>
  </w:style>
  <w:style w:type="paragraph" w:customStyle="1" w:styleId="36">
    <w:name w:val="公式"/>
    <w:basedOn w:val="1"/>
    <w:next w:val="31"/>
    <w:autoRedefine/>
    <w:qFormat/>
    <w:uiPriority w:val="0"/>
    <w:pPr>
      <w:tabs>
        <w:tab w:val="center" w:pos="4140"/>
        <w:tab w:val="right" w:pos="8280"/>
      </w:tabs>
      <w:spacing w:line="240" w:lineRule="auto"/>
      <w:contextualSpacing w:val="0"/>
    </w:pPr>
    <w:rPr>
      <w:rFonts w:ascii="Cambria Math" w:hAnsi="Cambria Math" w:cs="Times New Roman"/>
      <w14:ligatures w14:val="none"/>
    </w:rPr>
  </w:style>
  <w:style w:type="character" w:customStyle="1" w:styleId="37">
    <w:name w:val="标题 4 字符"/>
    <w:basedOn w:val="23"/>
    <w:link w:val="6"/>
    <w:qFormat/>
    <w:uiPriority w:val="9"/>
    <w:rPr>
      <w:rFonts w:ascii="Times New Roman" w:hAnsi="Times New Roman" w:eastAsia="黑体" w:cstheme="majorBidi"/>
      <w:kern w:val="2"/>
      <w:sz w:val="24"/>
      <w:szCs w:val="28"/>
      <w14:ligatures w14:val="standardContextual"/>
    </w:rPr>
  </w:style>
  <w:style w:type="character" w:customStyle="1" w:styleId="38">
    <w:name w:val="标题 5 字符"/>
    <w:basedOn w:val="23"/>
    <w:link w:val="7"/>
    <w:qFormat/>
    <w:uiPriority w:val="9"/>
    <w:rPr>
      <w:rFonts w:eastAsia="宋体" w:cstheme="majorBidi"/>
      <w:b/>
      <w:color w:val="000000" w:themeColor="text1"/>
      <w:sz w:val="24"/>
      <w14:textFill>
        <w14:solidFill>
          <w14:schemeClr w14:val="tx1"/>
        </w14:solidFill>
      </w14:textFill>
    </w:rPr>
  </w:style>
  <w:style w:type="character" w:customStyle="1" w:styleId="39">
    <w:name w:val="标题 6 字符"/>
    <w:basedOn w:val="23"/>
    <w:link w:val="8"/>
    <w:semiHidden/>
    <w:qFormat/>
    <w:uiPriority w:val="9"/>
    <w:rPr>
      <w:rFonts w:cstheme="majorBidi"/>
      <w:b/>
      <w:bCs/>
      <w:color w:val="104862" w:themeColor="accent1" w:themeShade="BF"/>
      <w:sz w:val="24"/>
    </w:rPr>
  </w:style>
  <w:style w:type="character" w:customStyle="1" w:styleId="40">
    <w:name w:val="标题 7 字符"/>
    <w:basedOn w:val="23"/>
    <w:link w:val="9"/>
    <w:semiHidden/>
    <w:qFormat/>
    <w:uiPriority w:val="9"/>
    <w:rPr>
      <w:rFonts w:cstheme="majorBidi"/>
      <w:b/>
      <w:bCs/>
      <w:color w:val="595959" w:themeColor="text1" w:themeTint="A6"/>
      <w:sz w:val="24"/>
      <w14:textFill>
        <w14:solidFill>
          <w14:schemeClr w14:val="tx1">
            <w14:lumMod w14:val="65000"/>
            <w14:lumOff w14:val="35000"/>
          </w14:schemeClr>
        </w14:solidFill>
      </w14:textFill>
    </w:rPr>
  </w:style>
  <w:style w:type="character" w:customStyle="1" w:styleId="41">
    <w:name w:val="标题 8 字符"/>
    <w:basedOn w:val="23"/>
    <w:link w:val="10"/>
    <w:semiHidden/>
    <w:qFormat/>
    <w:uiPriority w:val="9"/>
    <w:rPr>
      <w:rFonts w:cstheme="majorBidi"/>
      <w:color w:val="595959" w:themeColor="text1" w:themeTint="A6"/>
      <w:sz w:val="24"/>
      <w14:textFill>
        <w14:solidFill>
          <w14:schemeClr w14:val="tx1">
            <w14:lumMod w14:val="65000"/>
            <w14:lumOff w14:val="35000"/>
          </w14:schemeClr>
        </w14:solidFill>
      </w14:textFill>
    </w:rPr>
  </w:style>
  <w:style w:type="character" w:customStyle="1" w:styleId="42">
    <w:name w:val="标题 9 字符"/>
    <w:basedOn w:val="23"/>
    <w:link w:val="11"/>
    <w:semiHidden/>
    <w:qFormat/>
    <w:uiPriority w:val="9"/>
    <w:rPr>
      <w:rFonts w:eastAsiaTheme="majorEastAsia" w:cstheme="majorBidi"/>
      <w:color w:val="595959" w:themeColor="text1" w:themeTint="A6"/>
      <w:sz w:val="24"/>
      <w14:textFill>
        <w14:solidFill>
          <w14:schemeClr w14:val="tx1">
            <w14:lumMod w14:val="65000"/>
            <w14:lumOff w14:val="35000"/>
          </w14:schemeClr>
        </w14:solidFill>
      </w14:textFill>
    </w:rPr>
  </w:style>
  <w:style w:type="character" w:customStyle="1" w:styleId="43">
    <w:name w:val="副标题 字符"/>
    <w:basedOn w:val="23"/>
    <w:link w:val="18"/>
    <w:qFormat/>
    <w:uiPriority w:val="11"/>
    <w:rPr>
      <w:rFonts w:ascii="Times New Roman" w:hAnsi="Times New Roman" w:eastAsia="黑体" w:cstheme="majorBidi"/>
      <w:spacing w:val="15"/>
      <w:sz w:val="28"/>
      <w:szCs w:val="28"/>
    </w:rPr>
  </w:style>
  <w:style w:type="paragraph" w:styleId="44">
    <w:name w:val="Quote"/>
    <w:basedOn w:val="1"/>
    <w:next w:val="1"/>
    <w:link w:val="4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引用 字符"/>
    <w:basedOn w:val="23"/>
    <w:link w:val="44"/>
    <w:qFormat/>
    <w:uiPriority w:val="29"/>
    <w:rPr>
      <w:rFonts w:ascii="Times New Roman" w:hAnsi="Times New Roman" w:eastAsia="宋体"/>
      <w:i/>
      <w:iCs/>
      <w:color w:val="404040" w:themeColor="text1" w:themeTint="BF"/>
      <w:sz w:val="24"/>
      <w14:textFill>
        <w14:solidFill>
          <w14:schemeClr w14:val="tx1">
            <w14:lumMod w14:val="75000"/>
            <w14:lumOff w14:val="25000"/>
          </w14:schemeClr>
        </w14:solidFill>
      </w14:textFill>
    </w:rPr>
  </w:style>
  <w:style w:type="paragraph" w:styleId="46">
    <w:name w:val="List Paragraph"/>
    <w:basedOn w:val="1"/>
    <w:qFormat/>
    <w:uiPriority w:val="34"/>
    <w:pPr>
      <w:ind w:left="720"/>
    </w:pPr>
  </w:style>
  <w:style w:type="character" w:customStyle="1" w:styleId="47">
    <w:name w:val="明显强调1"/>
    <w:basedOn w:val="23"/>
    <w:qFormat/>
    <w:uiPriority w:val="21"/>
    <w:rPr>
      <w:i/>
      <w:iCs/>
      <w:color w:val="104862" w:themeColor="accent1" w:themeShade="BF"/>
    </w:rPr>
  </w:style>
  <w:style w:type="paragraph" w:styleId="48">
    <w:name w:val="Intense Quote"/>
    <w:basedOn w:val="1"/>
    <w:next w:val="1"/>
    <w:link w:val="4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9">
    <w:name w:val="明显引用 字符"/>
    <w:basedOn w:val="23"/>
    <w:link w:val="48"/>
    <w:qFormat/>
    <w:uiPriority w:val="30"/>
    <w:rPr>
      <w:rFonts w:ascii="Times New Roman" w:hAnsi="Times New Roman" w:eastAsia="宋体"/>
      <w:i/>
      <w:iCs/>
      <w:color w:val="104862" w:themeColor="accent1" w:themeShade="BF"/>
      <w:sz w:val="24"/>
    </w:rPr>
  </w:style>
  <w:style w:type="character" w:customStyle="1" w:styleId="50">
    <w:name w:val="明显参考1"/>
    <w:basedOn w:val="23"/>
    <w:qFormat/>
    <w:uiPriority w:val="32"/>
    <w:rPr>
      <w:b/>
      <w:bCs/>
      <w:smallCaps/>
      <w:color w:val="104862" w:themeColor="accent1" w:themeShade="BF"/>
      <w:spacing w:val="5"/>
    </w:rPr>
  </w:style>
  <w:style w:type="character" w:customStyle="1" w:styleId="51">
    <w:name w:val="页眉 字符"/>
    <w:basedOn w:val="23"/>
    <w:link w:val="16"/>
    <w:qFormat/>
    <w:uiPriority w:val="99"/>
    <w:rPr>
      <w:rFonts w:ascii="Times New Roman" w:hAnsi="Times New Roman" w:eastAsia="宋体"/>
      <w:sz w:val="18"/>
      <w:szCs w:val="18"/>
    </w:rPr>
  </w:style>
  <w:style w:type="character" w:customStyle="1" w:styleId="52">
    <w:name w:val="页脚 字符"/>
    <w:basedOn w:val="23"/>
    <w:link w:val="15"/>
    <w:qFormat/>
    <w:uiPriority w:val="99"/>
    <w:rPr>
      <w:rFonts w:ascii="Times New Roman" w:hAnsi="Times New Roman" w:eastAsia="宋体"/>
      <w:sz w:val="18"/>
      <w:szCs w:val="18"/>
    </w:rPr>
  </w:style>
  <w:style w:type="character" w:customStyle="1" w:styleId="53">
    <w:name w:val="日期 字符"/>
    <w:basedOn w:val="23"/>
    <w:link w:val="14"/>
    <w:semiHidden/>
    <w:qFormat/>
    <w:uiPriority w:val="99"/>
    <w:rPr>
      <w:rFonts w:ascii="Times New Roman" w:hAnsi="Times New Roman" w:eastAsia="宋体"/>
      <w:sz w:val="24"/>
    </w:rPr>
  </w:style>
  <w:style w:type="paragraph" w:customStyle="1" w:styleId="54">
    <w:name w:val="附件序列号"/>
    <w:basedOn w:val="1"/>
    <w:link w:val="55"/>
    <w:autoRedefine/>
    <w:qFormat/>
    <w:uiPriority w:val="0"/>
    <w:pPr>
      <w:numPr>
        <w:ilvl w:val="0"/>
        <w:numId w:val="2"/>
      </w:numPr>
      <w:spacing w:line="240" w:lineRule="auto"/>
      <w:outlineLvl w:val="0"/>
    </w:pPr>
    <w:rPr>
      <w:sz w:val="28"/>
    </w:rPr>
  </w:style>
  <w:style w:type="character" w:customStyle="1" w:styleId="55">
    <w:name w:val="附件序列号 字符"/>
    <w:basedOn w:val="23"/>
    <w:link w:val="54"/>
    <w:qFormat/>
    <w:uiPriority w:val="0"/>
    <w:rPr>
      <w:rFonts w:ascii="Times New Roman" w:hAnsi="Times New Roman" w:eastAsia="宋体"/>
      <w:sz w:val="28"/>
    </w:rPr>
  </w:style>
  <w:style w:type="table" w:customStyle="1" w:styleId="56">
    <w:name w:val="TableGrid"/>
    <w:qFormat/>
    <w:uiPriority w:val="0"/>
    <w:rPr>
      <w:rFonts w:ascii="Times New Roman" w:hAnsi="Times New Roman" w:eastAsia="宋体" w:cs="Times New Roman"/>
      <w:sz w:val="21"/>
      <w:szCs w:val="22"/>
    </w:rPr>
    <w:tblPr>
      <w:tblCellMar>
        <w:top w:w="0" w:type="dxa"/>
        <w:left w:w="0" w:type="dxa"/>
        <w:bottom w:w="0" w:type="dxa"/>
        <w:right w:w="0" w:type="dxa"/>
      </w:tblCellMar>
    </w:tblPr>
  </w:style>
  <w:style w:type="paragraph" w:styleId="57">
    <w:name w:val="No Spacing"/>
    <w:qFormat/>
    <w:uiPriority w:val="1"/>
    <w:pPr>
      <w:widowControl w:val="0"/>
      <w:contextualSpacing/>
      <w:jc w:val="both"/>
    </w:pPr>
    <w:rPr>
      <w:rFonts w:ascii="Times New Roman" w:hAnsi="Times New Roman" w:eastAsia="宋体" w:cstheme="minorBidi"/>
      <w:kern w:val="2"/>
      <w:sz w:val="24"/>
      <w:szCs w:val="24"/>
      <w:lang w:val="en-US" w:eastAsia="zh-CN" w:bidi="ar-SA"/>
      <w14:ligatures w14:val="standardContextual"/>
    </w:rPr>
  </w:style>
  <w:style w:type="table" w:customStyle="1" w:styleId="58">
    <w:name w:val="网格型1"/>
    <w:basedOn w:val="21"/>
    <w:qFormat/>
    <w:uiPriority w:val="59"/>
    <w:rPr>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
    <w:name w:val="网格型2"/>
    <w:basedOn w:val="21"/>
    <w:qFormat/>
    <w:uiPriority w:val="59"/>
    <w:rPr>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
    <w:name w:val="网格型3"/>
    <w:basedOn w:val="2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1">
    <w:name w:val="TOC 标题1"/>
    <w:basedOn w:val="2"/>
    <w:next w:val="1"/>
    <w:unhideWhenUsed/>
    <w:qFormat/>
    <w:uiPriority w:val="39"/>
    <w:pPr>
      <w:widowControl/>
      <w:numPr>
        <w:numId w:val="0"/>
      </w:numPr>
      <w:spacing w:before="240" w:beforeAutospacing="0" w:after="0" w:afterAutospacing="0" w:line="259" w:lineRule="auto"/>
      <w:contextualSpacing w:val="0"/>
      <w:jc w:val="left"/>
      <w:outlineLvl w:val="9"/>
    </w:pPr>
    <w:rPr>
      <w:rFonts w:asciiTheme="majorHAnsi" w:hAnsiTheme="majorHAnsi" w:eastAsiaTheme="majorEastAsia"/>
      <w:color w:val="104862" w:themeColor="accent1" w:themeShade="BF"/>
      <w:kern w:val="0"/>
      <w:szCs w:val="32"/>
      <w14:ligatures w14:val="none"/>
    </w:rPr>
  </w:style>
  <w:style w:type="table" w:customStyle="1" w:styleId="62">
    <w:name w:val="网格型4"/>
    <w:basedOn w:val="21"/>
    <w:uiPriority w:val="5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
    <w:name w:val="网格型5"/>
    <w:basedOn w:val="21"/>
    <w:uiPriority w:val="5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
    <w:name w:val="网格型6"/>
    <w:basedOn w:val="21"/>
    <w:qFormat/>
    <w:uiPriority w:val="5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5">
    <w:name w:val="Placeholder Text"/>
    <w:basedOn w:val="23"/>
    <w:unhideWhenUsed/>
    <w:qFormat/>
    <w:uiPriority w:val="99"/>
    <w:rPr>
      <w:color w:val="666666"/>
    </w:rPr>
  </w:style>
  <w:style w:type="character" w:customStyle="1" w:styleId="66">
    <w:name w:val="Unresolved Mention"/>
    <w:basedOn w:val="2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9" Type="http://schemas.openxmlformats.org/officeDocument/2006/relationships/fontTable" Target="fontTable.xml"/><Relationship Id="rId88" Type="http://schemas.openxmlformats.org/officeDocument/2006/relationships/customXml" Target="../customXml/item1.xml"/><Relationship Id="rId87" Type="http://schemas.openxmlformats.org/officeDocument/2006/relationships/numbering" Target="numbering.xml"/><Relationship Id="rId86" Type="http://schemas.openxmlformats.org/officeDocument/2006/relationships/image" Target="media/image74.png"/><Relationship Id="rId85" Type="http://schemas.openxmlformats.org/officeDocument/2006/relationships/image" Target="media/image73.png"/><Relationship Id="rId84" Type="http://schemas.openxmlformats.org/officeDocument/2006/relationships/image" Target="media/image72.png"/><Relationship Id="rId83" Type="http://schemas.openxmlformats.org/officeDocument/2006/relationships/image" Target="media/image71.png"/><Relationship Id="rId82" Type="http://schemas.openxmlformats.org/officeDocument/2006/relationships/image" Target="media/image70.png"/><Relationship Id="rId81" Type="http://schemas.openxmlformats.org/officeDocument/2006/relationships/image" Target="media/image69.png"/><Relationship Id="rId80" Type="http://schemas.openxmlformats.org/officeDocument/2006/relationships/image" Target="media/image68.png"/><Relationship Id="rId8" Type="http://schemas.openxmlformats.org/officeDocument/2006/relationships/header" Target="header2.xml"/><Relationship Id="rId79" Type="http://schemas.openxmlformats.org/officeDocument/2006/relationships/image" Target="media/image67.png"/><Relationship Id="rId78" Type="http://schemas.openxmlformats.org/officeDocument/2006/relationships/image" Target="media/image66.png"/><Relationship Id="rId77" Type="http://schemas.openxmlformats.org/officeDocument/2006/relationships/image" Target="media/image65.png"/><Relationship Id="rId76" Type="http://schemas.openxmlformats.org/officeDocument/2006/relationships/image" Target="media/image64.png"/><Relationship Id="rId75" Type="http://schemas.openxmlformats.org/officeDocument/2006/relationships/image" Target="media/image63.png"/><Relationship Id="rId74" Type="http://schemas.openxmlformats.org/officeDocument/2006/relationships/image" Target="media/image62.png"/><Relationship Id="rId73" Type="http://schemas.openxmlformats.org/officeDocument/2006/relationships/image" Target="media/image61.png"/><Relationship Id="rId72" Type="http://schemas.openxmlformats.org/officeDocument/2006/relationships/image" Target="media/image60.png"/><Relationship Id="rId71" Type="http://schemas.openxmlformats.org/officeDocument/2006/relationships/image" Target="media/image59.png"/><Relationship Id="rId70" Type="http://schemas.openxmlformats.org/officeDocument/2006/relationships/image" Target="media/image58.png"/><Relationship Id="rId7" Type="http://schemas.openxmlformats.org/officeDocument/2006/relationships/footer" Target="footer2.xml"/><Relationship Id="rId69" Type="http://schemas.openxmlformats.org/officeDocument/2006/relationships/image" Target="media/image57.png"/><Relationship Id="rId68" Type="http://schemas.openxmlformats.org/officeDocument/2006/relationships/image" Target="media/image56.png"/><Relationship Id="rId67" Type="http://schemas.openxmlformats.org/officeDocument/2006/relationships/image" Target="media/image55.png"/><Relationship Id="rId66" Type="http://schemas.openxmlformats.org/officeDocument/2006/relationships/image" Target="media/image54.png"/><Relationship Id="rId65" Type="http://schemas.openxmlformats.org/officeDocument/2006/relationships/image" Target="media/image53.png"/><Relationship Id="rId64" Type="http://schemas.openxmlformats.org/officeDocument/2006/relationships/image" Target="media/image52.png"/><Relationship Id="rId63" Type="http://schemas.openxmlformats.org/officeDocument/2006/relationships/image" Target="media/image51.png"/><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header" Target="header1.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jpe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jpeg"/><Relationship Id="rId5" Type="http://schemas.openxmlformats.org/officeDocument/2006/relationships/footer" Target="footer1.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png"/><Relationship Id="rId44" Type="http://schemas.openxmlformats.org/officeDocument/2006/relationships/image" Target="media/image32.jpeg"/><Relationship Id="rId43" Type="http://schemas.openxmlformats.org/officeDocument/2006/relationships/image" Target="media/image31.pn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jpeg"/><Relationship Id="rId37" Type="http://schemas.openxmlformats.org/officeDocument/2006/relationships/image" Target="media/image25.jpe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emf"/><Relationship Id="rId12" Type="http://schemas.openxmlformats.org/officeDocument/2006/relationships/package" Target="embeddings/Microsoft_Visio___1.vsdx"/><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E0459-822E-40E4-968D-0E9412BB8977}">
  <ds:schemaRefs/>
</ds:datastoreItem>
</file>

<file path=docProps/app.xml><?xml version="1.0" encoding="utf-8"?>
<Properties xmlns="http://schemas.openxmlformats.org/officeDocument/2006/extended-properties" xmlns:vt="http://schemas.openxmlformats.org/officeDocument/2006/docPropsVTypes">
  <Template>Normal.dotm</Template>
  <Pages>67</Pages>
  <Words>6832</Words>
  <Characters>7469</Characters>
  <Lines>4875</Lines>
  <Paragraphs>3695</Paragraphs>
  <TotalTime>109</TotalTime>
  <ScaleCrop>false</ScaleCrop>
  <LinksUpToDate>false</LinksUpToDate>
  <CharactersWithSpaces>7983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2026-07-25T12:49:00Z</dcterms:created>
  <dc:creator>陈雨</dc:creator>
  <cp:lastModifiedBy>xyycyc</cp:lastModifiedBy>
  <cp:lastPrinted>2026-07-25T13:58:00Z</cp:lastPrinted>
  <dcterms:modified xsi:type="dcterms:W3CDTF">2026-09-04T07:27:06Z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72C2DEE78BF64694BC459E82AE1A424D_13</vt:lpwstr>
  </property>
  <property fmtid="{D5CDD505-2E9C-101B-9397-08002B2CF9AE}" pid="4" name="KSOTemplateDocerSaveRecord">
    <vt:lpwstr>eyJoZGlkIjoiZjAyZTA3MDc1ZWNhODNiNzgyMWYwNTg2NGZmMzg1ZjgiLCJ1c2VySWQiOiIyOTIzNDE3MTAifQ==</vt:lpwstr>
  </property>
</Properties>
</file>