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AI模块维护手册</w:t>
      </w:r>
    </w:p>
    <w:p>
      <w:r>
        <w:rPr>
          <w:rFonts w:ascii="宋体" w:hAnsi="宋体" w:eastAsia="宋体"/>
          <w:b w:val="0"/>
          <w:color w:val="000000"/>
          <w:sz w:val="20"/>
        </w:rPr>
        <w:t>超声波全波形温度场重构理论及方法研究</w:t>
      </w:r>
    </w:p>
    <w:p>
      <w:r>
        <w:rPr>
          <w:rFonts w:ascii="宋体" w:hAnsi="宋体" w:eastAsia="宋体"/>
          <w:b w:val="0"/>
          <w:color w:val="000000"/>
          <w:sz w:val="20"/>
        </w:rPr>
        <w:t>适用范围  基于人工智能的温度场反演方法模块</w:t>
      </w:r>
    </w:p>
    <w:p>
      <w:r>
        <w:rPr>
          <w:rFonts w:ascii="宋体" w:hAnsi="宋体" w:eastAsia="宋体"/>
          <w:b w:val="0"/>
          <w:color w:val="000000"/>
          <w:sz w:val="22"/>
        </w:rPr>
        <w:t>本手册规定 AI 温度场反演模块的运行检查、数据与模型备份、版本更换、恢复验证和维护记录要求，供运行管理人员和软件维护人员使用。执行维护前应停止有关任务并保存日志，维护后以原有验证样例复核运行结果。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1 适用系统与配套资料</w:t>
      </w:r>
    </w:p>
    <w:p>
      <w:r>
        <w:rPr>
          <w:rFonts w:ascii="宋体" w:hAnsi="宋体" w:eastAsia="宋体"/>
          <w:b w:val="0"/>
          <w:color w:val="000000"/>
          <w:sz w:val="22"/>
        </w:rPr>
        <w:t>程序使用方法见配套《AI模块程序使用说明》（原《技术文档_ai模块》）；故障定位与修复步骤见《AI模块程序调试维修方法》；人员操作培训使用《AI模块培训记录》。本手册仅覆盖 AI 模块及其 Python 与 Fortran 调用环境。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57"/>
        <w:gridCol w:w="7654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76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统一运行约定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系统与环境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Windows；Python 3.13 或更高版本；Fortran 编译器不低于 14.2.0。PyTorch GPU 环境与本机 CUDA、显卡驱动匹配，GUI 使用 tkinter。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模型调用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按材料分别保存完整 checkpoint，通过材料路由选择模型；材料类别与模型、数据清单保持对应。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数据与结果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输入根目录默认为 ai_model/database，输出根目录默认为 ai_model/result；自定义路径以实际运行配置为准。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节点与单位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二维输出对应 10000 个固定物理节点；一维结果提取归一化 x=0.5 中心线；温度单位 K，坐标单位 m。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2 维护职责与时机</w:t>
      </w:r>
    </w:p>
    <w:p>
      <w:r>
        <w:rPr>
          <w:rFonts w:ascii="宋体" w:hAnsi="宋体" w:eastAsia="宋体"/>
          <w:b w:val="0"/>
          <w:color w:val="000000"/>
          <w:sz w:val="22"/>
        </w:rPr>
        <w:t>运行人员负责任务前后检查、运行日志保存和异常登记；软件维护人员负责环境、配置、模型与依赖问题的处理；结果复核人员核对维护后的输出与原基线。实际人员由使用单位指定并记入维护记录。</w:t>
      </w:r>
    </w:p>
    <w:p>
      <w:r>
        <w:rPr>
          <w:rFonts w:ascii="宋体" w:hAnsi="宋体" w:eastAsia="宋体"/>
          <w:b w:val="0"/>
          <w:color w:val="000000"/>
          <w:sz w:val="22"/>
        </w:rPr>
        <w:t>以下维护频次用于安排日常工作：每次运行前检查环境与路径，任务完成后核对产物；每次建库、训练、增量训练或版本更换后执行一次完整备份；定期检查备份可读性和存储空间，周期由使用单位根据运行频率确定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3 日常检查与资料管理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任务执行前后检查</w:t>
      </w:r>
    </w:p>
    <w:p>
      <w:r>
        <w:rPr>
          <w:rFonts w:ascii="宋体" w:hAnsi="宋体" w:eastAsia="宋体"/>
          <w:b w:val="0"/>
          <w:color w:val="000000"/>
          <w:sz w:val="22"/>
        </w:rPr>
        <w:t>1. 确认使用交付版本和对应 Python 环境，检查 GPU 可用性、输入目录可读性、输出目录可写性及剩余存储空间。</w:t>
      </w:r>
    </w:p>
    <w:p>
      <w:r>
        <w:rPr>
          <w:rFonts w:ascii="宋体" w:hAnsi="宋体" w:eastAsia="宋体"/>
          <w:b w:val="0"/>
          <w:color w:val="000000"/>
          <w:sz w:val="22"/>
        </w:rPr>
        <w:t>2. 在“路径设置”中核对数据根目录、结果根目录和工作目录；核对实际使用的数据清单、材料规则和模型路由。命令行应在 ai_model 的上一级目录执行。</w:t>
      </w:r>
    </w:p>
    <w:p>
      <w:r>
        <w:rPr>
          <w:rFonts w:ascii="宋体" w:hAnsi="宋体" w:eastAsia="宋体"/>
          <w:b w:val="0"/>
          <w:color w:val="000000"/>
          <w:sz w:val="22"/>
        </w:rPr>
        <w:t>3. 建库后先使用“校验数据”检查清单、划分、材料、温度范围及采样一致性；发现异常时保留报告，处理后重新校验。</w:t>
      </w:r>
    </w:p>
    <w:p>
      <w:r>
        <w:rPr>
          <w:rFonts w:ascii="宋体" w:hAnsi="宋体" w:eastAsia="宋体"/>
          <w:b w:val="0"/>
          <w:color w:val="000000"/>
          <w:sz w:val="22"/>
        </w:rPr>
        <w:t>4. 运行时查看日志与任务状态。任务完成后确认 checkpoint、训练报告或预测结果已经生成，并核对样本数、节点数、材料身份和单位。</w:t>
      </w:r>
    </w:p>
    <w:p>
      <w:r>
        <w:rPr>
          <w:rFonts w:ascii="宋体" w:hAnsi="宋体" w:eastAsia="宋体"/>
          <w:b w:val="0"/>
          <w:color w:val="000000"/>
          <w:sz w:val="22"/>
        </w:rPr>
        <w:t>5. 保存本次配置、日志及结果路径；对异常退出或中断任务标注状态，复核文件完整性后再决定是否使用该次产物。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备份对象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57"/>
        <w:gridCol w:w="7654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76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应成套保存的内容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程序与环境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交付代码、requirements.txt、实际 Python 与依赖版本、Fortran 源码和已验证的动态库、构建命令及日志。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原始和处理数据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原始波形及温度场；material_collection.json、各材料 manifest、训练验证测试清单、split_config.json、mesh_audit.json、sampling_index.npz 及被引用的数据文件。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模型与配置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对应的所有材料 checkpoint、材料路由文件、database/rule 下的规则登记，以及 window/settings.json（如已生成）和实际运行参数。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报告与预测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训练报告、运行日志、predictions.csv/.npz、metadata.json、metrics.json，以及实际生成的一维结果、对比图和独立测点评价记录。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备份按任务或版本保存到独立目录，登记时间、原路径、备份路径、文件数量和校验值。复制结束后核对关键文件能够读取；多材料路由和其引用的所有模型必须作为一个整体保存。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4 备份恢复与版本更换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4.1 恢复数据和模型</w:t>
      </w:r>
    </w:p>
    <w:p>
      <w:r>
        <w:rPr>
          <w:rFonts w:ascii="宋体" w:hAnsi="宋体" w:eastAsia="宋体"/>
          <w:b w:val="0"/>
          <w:color w:val="000000"/>
          <w:sz w:val="22"/>
        </w:rPr>
        <w:t>1. 停止相关任务，记录故障时的目录、参数和日志；对当前状态另行留存，避免直接覆盖仍可追溯的资料。</w:t>
      </w:r>
    </w:p>
    <w:p>
      <w:r>
        <w:rPr>
          <w:rFonts w:ascii="宋体" w:hAnsi="宋体" w:eastAsia="宋体"/>
          <w:b w:val="0"/>
          <w:color w:val="000000"/>
          <w:sz w:val="22"/>
        </w:rPr>
        <w:t>2. 选择最近一次经过验证且数据、模型、路由成套的备份，复制到独立恢复目录，并核对文件数量或校验值。</w:t>
      </w:r>
    </w:p>
    <w:p>
      <w:r>
        <w:rPr>
          <w:rFonts w:ascii="宋体" w:hAnsi="宋体" w:eastAsia="宋体"/>
          <w:b w:val="0"/>
          <w:color w:val="000000"/>
          <w:sz w:val="22"/>
        </w:rPr>
        <w:t>3. 检查 manifest、材料集合及模型路由中引用的路径。优先恢复原目录结构；目录必须变更时，通过正常建库、配置或登记流程更新引用并逐项核对，保留原文件。</w:t>
      </w:r>
    </w:p>
    <w:p>
      <w:r>
        <w:rPr>
          <w:rFonts w:ascii="宋体" w:hAnsi="宋体" w:eastAsia="宋体"/>
          <w:b w:val="0"/>
          <w:color w:val="000000"/>
          <w:sz w:val="22"/>
        </w:rPr>
        <w:t>4. 在 GUI 中重新选择恢复目录、清单和对应模型；执行数据校验，再用保留的验证样例进行预测。</w:t>
      </w:r>
    </w:p>
    <w:p>
      <w:r>
        <w:rPr>
          <w:rFonts w:ascii="宋体" w:hAnsi="宋体" w:eastAsia="宋体"/>
          <w:b w:val="0"/>
          <w:color w:val="000000"/>
          <w:sz w:val="22"/>
        </w:rPr>
        <w:t>5. 核对输出文件、样本与节点数量、单位、材料路由和关键结果。将恢复验证记录与备份编号关联，确认可用后恢复日常运行。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4.2 更新和回退</w:t>
      </w:r>
    </w:p>
    <w:p>
      <w:r>
        <w:rPr>
          <w:rFonts w:ascii="宋体" w:hAnsi="宋体" w:eastAsia="宋体"/>
          <w:b w:val="0"/>
          <w:color w:val="000000"/>
          <w:sz w:val="22"/>
        </w:rPr>
        <w:t>更换程序、Python、依赖、Fortran 动态库或模型前，先保存当前可用版本及环境信息。新版本在独立目录验证，沿用固定的验证输入和评价方法，避免在原数据目录内反复覆盖。</w:t>
      </w:r>
    </w:p>
    <w:p>
      <w:r>
        <w:rPr>
          <w:rFonts w:ascii="宋体" w:hAnsi="宋体" w:eastAsia="宋体"/>
          <w:b w:val="0"/>
          <w:color w:val="000000"/>
          <w:sz w:val="22"/>
        </w:rPr>
        <w:t>更新后依次检查程序启动、数据校验、模型加载、材料路由、温度场预测和结果导出。涉及训练或增量训练的更新，还应验证新模型保存与再次加载。出现未解决异常时，停止使用新版本，恢复原程序、环境配置和成套模型，再重复验证。</w:t>
      </w:r>
    </w:p>
    <w:p>
      <w:r>
        <w:rPr>
          <w:rFonts w:ascii="宋体" w:hAnsi="宋体" w:eastAsia="宋体"/>
          <w:b w:val="0"/>
          <w:color w:val="000000"/>
          <w:sz w:val="22"/>
        </w:rPr>
        <w:t>增量训练的基础 checkpoint 与新 checkpoint 分别保留，并保存新增数据清单和参数。选择新模型前先验证对应输出。不得通过手工修改节点数、采样指纹或温度统计量绕过一致性检查。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4.3 项目清理</w:t>
      </w:r>
    </w:p>
    <w:p>
      <w:r>
        <w:rPr>
          <w:rFonts w:ascii="宋体" w:hAnsi="宋体" w:eastAsia="宋体"/>
          <w:b w:val="0"/>
          <w:color w:val="000000"/>
          <w:sz w:val="22"/>
        </w:rPr>
        <w:t>清理前完成备份并核对数据根目录、结果根目录及候选任务。在“项目清理”中按任务规则确认拟处理的模型、报告和预测结果，核对路径后执行界面确认。材料路由及其引用模型按完整组合处理；清理后检查保留任务能正常选择和预测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0"/>
        </w:rPr>
        <w:t>5 维护后验证与维护记录</w:t>
      </w:r>
    </w:p>
    <w:p>
      <w:r>
        <w:rPr>
          <w:rFonts w:ascii="宋体" w:hAnsi="宋体" w:eastAsia="宋体"/>
          <w:b w:val="0"/>
          <w:color w:val="000000"/>
          <w:sz w:val="22"/>
        </w:rPr>
        <w:t>维护验证使用固定的已留存样例，记录输入、模型、运行环境、输出路径和判断依据。一般维护先核对流程与文件完整性；涉及精度或效率的变更，再按交付测试方法复核相应指标。</w:t>
      </w:r>
    </w:p>
    <w:p>
      <w:r>
        <w:rPr>
          <w:rFonts w:ascii="宋体" w:hAnsi="宋体" w:eastAsia="宋体"/>
          <w:b w:val="0"/>
          <w:color w:val="000000"/>
          <w:sz w:val="22"/>
        </w:rPr>
        <w:t>温度精度按五个代表性测点先分别求参考平均温度和 AI 平均温度，再计算两者的相对误差。中心线误差、全场 MAE/RMSE 和局部区域误差用于分析。无真实温度标签的输入仅验证推理流程，精度评价应结合独立参考测温记录。GPU 效率复核采用与交付测试一致的计时口径。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57"/>
        <w:gridCol w:w="7654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验证项目</w:t>
            </w:r>
          </w:p>
        </w:tc>
        <w:tc>
          <w:tcPr>
            <w:tcW w:type="dxa" w:w="7654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环境与启动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 Python、PyTorch、GPU 与 Fortran 环境，检查 GUI 启动及所用命令入口。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数据与模型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记录清单、材料路由及 checkpoint 路径；数据校验无未处理错误，模型和采样信息匹配。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结果与追溯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记录预测文件、样本数和节点数；核对单位、材料和一维或二维输出；保存日志及必要的对比结果。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处置结论</w:t>
            </w:r>
          </w:p>
        </w:tc>
        <w:tc>
          <w:tcPr>
            <w:tcW w:type="dxa" w:w="7654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记录已恢复、需继续处理或已回退，并由执行人与复核人填写实际结论。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5.1 维护记录表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438"/>
        <w:gridCol w:w="6973"/>
      </w:tblGrid>
      <w:tr>
        <w:trPr>
          <w:cantSplit/>
          <w:tblHeader/>
        </w:trPr>
        <w:tc>
          <w:tcPr>
            <w:tcW w:type="dxa" w:w="2438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记录字段</w:t>
            </w:r>
          </w:p>
        </w:tc>
        <w:tc>
          <w:tcPr>
            <w:tcW w:type="dxa" w:w="6973"/>
            <w:vAlign w:val="center"/>
            <w:shd w:fill="E8EDF2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维护编号和时间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执行人和复核人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任务与维护原因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版本和环境变化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备份位置及校验信息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处理步骤及恢复位置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验证样例及结果位置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遗留问题及结论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签字和日期</w:t>
            </w:r>
          </w:p>
        </w:tc>
        <w:tc>
          <w:tcPr>
            <w:tcW w:type="dxa" w:w="6973"/>
            <w:vAlign w:val="center"/>
          </w:tcPr>
          <w:p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AI模块维护手册</dc:title>
  <dc:subject>超声波全波形温度场重构理论及方法研究 模块三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