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color w:val="000000"/>
          <w:sz w:val="44"/>
        </w:rPr>
        <w:t>程序调试维修方法</w:t>
      </w:r>
    </w:p>
    <w:p>
      <w:r>
        <w:rPr>
          <w:rFonts w:ascii="宋体" w:hAnsi="宋体" w:eastAsia="宋体"/>
          <w:b w:val="0"/>
          <w:color w:val="000000"/>
          <w:sz w:val="20"/>
        </w:rPr>
        <w:t>超声波全波形温度场重构理论及方法研究</w:t>
      </w:r>
    </w:p>
    <w:p>
      <w:r>
        <w:rPr>
          <w:rFonts w:ascii="宋体" w:hAnsi="宋体" w:eastAsia="宋体"/>
          <w:b w:val="0"/>
          <w:color w:val="000000"/>
          <w:sz w:val="20"/>
        </w:rPr>
        <w:t>适用范围  基于人工智能的温度场反演方法模块</w:t>
      </w:r>
    </w:p>
    <w:p>
      <w:r>
        <w:rPr>
          <w:rFonts w:ascii="宋体" w:hAnsi="宋体" w:eastAsia="宋体"/>
          <w:b w:val="0"/>
          <w:color w:val="000000"/>
          <w:sz w:val="22"/>
        </w:rPr>
        <w:t>本文件用于定位并处理 AI 模块在环境配置、数据建库、模型训练、预测及增量训练中的软件故障。处理过程遵循“保存现场、复现问题、检查原因、实施修复、验证恢复”的顺序，原始输入、已验证模型及历史结果应保持可追溯。</w:t>
      </w:r>
    </w:p>
    <w:p>
      <w:pPr>
        <w:pStyle w:val="Heading1"/>
      </w:pPr>
      <w:r>
        <w:rPr>
          <w:rFonts w:ascii="宋体" w:hAnsi="宋体" w:eastAsia="宋体"/>
          <w:b/>
          <w:color w:val="000000"/>
          <w:sz w:val="30"/>
        </w:rPr>
        <w:t>1 调试范围与统一约定</w:t>
      </w:r>
    </w:p>
    <w:p>
      <w:r>
        <w:rPr>
          <w:rFonts w:ascii="宋体" w:hAnsi="宋体" w:eastAsia="宋体"/>
          <w:b w:val="0"/>
          <w:color w:val="000000"/>
          <w:sz w:val="22"/>
        </w:rPr>
        <w:t>运行环境采用 Windows、Python 3.13 或更高版本、Fortran 编译器 14.2.0 或更高版本；PyTorch GPU 环境应与 CUDA 和驱动匹配。日常操作沿用《程序使用说明》，备份和版本回退按《维护手册》执行。</w:t>
      </w:r>
    </w:p>
    <w:p>
      <w:r>
        <w:rPr>
          <w:rFonts w:ascii="宋体" w:hAnsi="宋体" w:eastAsia="宋体"/>
          <w:b w:val="0"/>
          <w:color w:val="000000"/>
          <w:sz w:val="22"/>
        </w:rPr>
        <w:t>交付流程采用分材料完整 checkpoint 与材料路由，二维结果为 10000 个固定物理节点，一维结果为二维场归一化 x=0.5 中心线。排查时应保留同一任务的数据清单、采样定义、预处理参数和模型对应关系。</w:t>
      </w:r>
    </w:p>
    <w:p>
      <w:pPr>
        <w:pStyle w:val="Heading1"/>
      </w:pPr>
      <w:r>
        <w:rPr>
          <w:rFonts w:ascii="宋体" w:hAnsi="宋体" w:eastAsia="宋体"/>
          <w:b/>
          <w:color w:val="000000"/>
          <w:sz w:val="30"/>
        </w:rPr>
        <w:t>2 先保存故障现场</w:t>
      </w:r>
    </w:p>
    <w:p>
      <w:r>
        <w:rPr>
          <w:rFonts w:ascii="宋体" w:hAnsi="宋体" w:eastAsia="宋体"/>
          <w:b w:val="0"/>
          <w:color w:val="000000"/>
          <w:sz w:val="22"/>
        </w:rPr>
        <w:t>1. 保存 GUI 运行日志或完整命令行输出，记录首个有效异常及其前后的上下文。</w:t>
      </w:r>
    </w:p>
    <w:p>
      <w:r>
        <w:rPr>
          <w:rFonts w:ascii="宋体" w:hAnsi="宋体" w:eastAsia="宋体"/>
          <w:b w:val="0"/>
          <w:color w:val="000000"/>
          <w:sz w:val="22"/>
        </w:rPr>
        <w:t>2. 登记出错时间、操作页面或子命令、数据与结果根目录、清单路径、材料路由、checkpoint 和主要参数。</w:t>
      </w:r>
    </w:p>
    <w:p>
      <w:r>
        <w:rPr>
          <w:rFonts w:ascii="宋体" w:hAnsi="宋体" w:eastAsia="宋体"/>
          <w:b w:val="0"/>
          <w:color w:val="000000"/>
          <w:sz w:val="22"/>
        </w:rPr>
        <w:t>3. 确认任务已结束或通过“停止”退出，再处理文件。重试时使用独立任务名或输出目录，避免混入上次中断的产物。</w:t>
      </w:r>
    </w:p>
    <w:p>
      <w:r>
        <w:rPr>
          <w:rFonts w:ascii="宋体" w:hAnsi="宋体" w:eastAsia="宋体"/>
          <w:b w:val="0"/>
          <w:color w:val="000000"/>
          <w:sz w:val="22"/>
        </w:rPr>
        <w:t>4. 使用同一输入复现问题；一次只调整一个相关因素，记录修改前后的表现。先备份再变更程序、依赖、配置和模型。</w:t>
      </w:r>
    </w:p>
    <w:p>
      <w:pPr>
        <w:pStyle w:val="Heading2"/>
      </w:pPr>
      <w:r>
        <w:rPr>
          <w:rFonts w:ascii="宋体" w:hAnsi="宋体" w:eastAsia="宋体"/>
          <w:b/>
          <w:color w:val="000000"/>
          <w:sz w:val="24"/>
        </w:rPr>
        <w:t>2.1 环境信息采集</w:t>
      </w:r>
    </w:p>
    <w:p>
      <w:r>
        <w:rPr>
          <w:rFonts w:ascii="宋体" w:hAnsi="宋体" w:eastAsia="宋体"/>
          <w:b w:val="0"/>
          <w:color w:val="000000"/>
          <w:sz w:val="22"/>
        </w:rPr>
        <w:t>在 ai_model 的上一级目录、使用启动 GUI 的同一 Python 环境执行以下命令并保留输出。</w:t>
      </w:r>
    </w:p>
    <w:p>
      <w:pPr>
        <w:spacing w:after="40" w:line="240" w:lineRule="auto"/>
      </w:pPr>
      <w:r>
        <w:rPr>
          <w:rFonts w:ascii="Consolas" w:hAnsi="Consolas" w:eastAsia="Consolas"/>
          <w:b w:val="0"/>
          <w:color w:val="000000"/>
          <w:sz w:val="18"/>
        </w:rPr>
        <w:t>python --version</w:t>
      </w:r>
    </w:p>
    <w:p>
      <w:pPr>
        <w:spacing w:after="40" w:line="240" w:lineRule="auto"/>
      </w:pPr>
      <w:r>
        <w:rPr>
          <w:rFonts w:ascii="Consolas" w:hAnsi="Consolas" w:eastAsia="Consolas"/>
          <w:b w:val="0"/>
          <w:color w:val="000000"/>
          <w:sz w:val="18"/>
        </w:rPr>
        <w:t>python -m pip show torch numpy pandas scipy Pillow</w:t>
      </w:r>
    </w:p>
    <w:p>
      <w:pPr>
        <w:spacing w:after="40" w:line="240" w:lineRule="auto"/>
      </w:pPr>
      <w:r>
        <w:rPr>
          <w:rFonts w:ascii="Consolas" w:hAnsi="Consolas" w:eastAsia="Consolas"/>
          <w:b w:val="0"/>
          <w:color w:val="000000"/>
          <w:sz w:val="18"/>
        </w:rPr>
        <w:t>python -c "import sys; print(sys.executable)"</w:t>
      </w:r>
    </w:p>
    <w:p>
      <w:pPr>
        <w:spacing w:after="40" w:line="240" w:lineRule="auto"/>
      </w:pPr>
      <w:r>
        <w:rPr>
          <w:rFonts w:ascii="Consolas" w:hAnsi="Consolas" w:eastAsia="Consolas"/>
          <w:b w:val="0"/>
          <w:color w:val="000000"/>
          <w:sz w:val="18"/>
        </w:rPr>
        <w:t>python -c "import torch; print(torch.__version__); print(torch.cuda.is_available(), torch.version.cuda)"</w:t>
      </w:r>
    </w:p>
    <w:p>
      <w:pPr>
        <w:spacing w:after="40" w:line="240" w:lineRule="auto"/>
      </w:pPr>
      <w:r>
        <w:rPr>
          <w:rFonts w:ascii="Consolas" w:hAnsi="Consolas" w:eastAsia="Consolas"/>
          <w:b w:val="0"/>
          <w:color w:val="000000"/>
          <w:sz w:val="18"/>
        </w:rPr>
        <w:t>python -c "import tkinter; print(tkinter.TkVersion)"</w:t>
      </w:r>
    </w:p>
    <w:p>
      <w:pPr>
        <w:spacing w:after="40" w:line="240" w:lineRule="auto"/>
      </w:pPr>
      <w:r>
        <w:rPr>
          <w:rFonts w:ascii="Consolas" w:hAnsi="Consolas" w:eastAsia="Consolas"/>
          <w:b w:val="0"/>
          <w:color w:val="000000"/>
          <w:sz w:val="18"/>
        </w:rPr>
        <w:t>gfortran --version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  <w:b/>
          <w:color w:val="000000"/>
          <w:sz w:val="30"/>
        </w:rPr>
        <w:t>3 启动与运行环境故障</w:t>
      </w:r>
    </w:p>
    <w:p>
      <w:pPr>
        <w:pStyle w:val="Heading2"/>
      </w:pPr>
      <w:r>
        <w:rPr>
          <w:rFonts w:ascii="宋体" w:hAnsi="宋体" w:eastAsia="宋体"/>
          <w:b/>
          <w:color w:val="000000"/>
          <w:sz w:val="24"/>
        </w:rPr>
        <w:t>3.1 找不到程序包或依赖</w:t>
      </w:r>
    </w:p>
    <w:p>
      <w:r>
        <w:rPr>
          <w:rFonts w:ascii="宋体" w:hAnsi="宋体" w:eastAsia="宋体"/>
          <w:b w:val="0"/>
          <w:color w:val="000000"/>
          <w:sz w:val="22"/>
        </w:rPr>
        <w:t>现象：出现 No module named ai_model，或缺少 torch、numpy、PIL 等依赖。首先检查当前目录是否为 ai_model 的上一级，再核对命令行与 GUI 使用的 Python 是否一致。</w:t>
      </w:r>
    </w:p>
    <w:p>
      <w:r>
        <w:rPr>
          <w:rFonts w:ascii="宋体" w:hAnsi="宋体" w:eastAsia="宋体"/>
          <w:b w:val="0"/>
          <w:color w:val="000000"/>
          <w:sz w:val="22"/>
        </w:rPr>
        <w:t>处理：切换到实际安装目录的上一级，用同一解释器安装交付依赖。requirements.txt 位于 ai_model 目录内，以下命令据此给出相对路径。GPU 版 PyTorch 应使用与交付环境匹配的安装包。</w:t>
      </w:r>
    </w:p>
    <w:p>
      <w:pPr>
        <w:spacing w:after="40" w:line="240" w:lineRule="auto"/>
      </w:pPr>
      <w:r>
        <w:rPr>
          <w:rFonts w:ascii="Consolas" w:hAnsi="Consolas" w:eastAsia="Consolas"/>
          <w:b w:val="0"/>
          <w:color w:val="000000"/>
          <w:sz w:val="18"/>
        </w:rPr>
        <w:t>python -m pip install -r .\ai_model\requirements.txt</w:t>
      </w:r>
    </w:p>
    <w:p>
      <w:pPr>
        <w:spacing w:after="40" w:line="240" w:lineRule="auto"/>
      </w:pPr>
      <w:r>
        <w:rPr>
          <w:rFonts w:ascii="Consolas" w:hAnsi="Consolas" w:eastAsia="Consolas"/>
          <w:b w:val="0"/>
          <w:color w:val="000000"/>
          <w:sz w:val="18"/>
        </w:rPr>
        <w:t>python -m ai_model --help</w:t>
      </w:r>
    </w:p>
    <w:p>
      <w:pPr>
        <w:spacing w:after="40" w:line="240" w:lineRule="auto"/>
      </w:pPr>
      <w:r>
        <w:rPr>
          <w:rFonts w:ascii="Consolas" w:hAnsi="Consolas" w:eastAsia="Consolas"/>
          <w:b w:val="0"/>
          <w:color w:val="000000"/>
          <w:sz w:val="18"/>
        </w:rPr>
        <w:t>python -m ai_model.window</w:t>
      </w:r>
    </w:p>
    <w:p>
      <w:r>
        <w:rPr>
          <w:rFonts w:ascii="宋体" w:hAnsi="宋体" w:eastAsia="宋体"/>
          <w:b w:val="0"/>
          <w:color w:val="000000"/>
          <w:sz w:val="22"/>
        </w:rPr>
        <w:t>恢复验证：命令帮助可显示，GUI 可启动，运行日志中无缺少依赖的错误。若 tkinter 导入失败，修复该 Python 安装中的 Tcl/Tk 组件后复查。</w:t>
      </w:r>
    </w:p>
    <w:p>
      <w:pPr>
        <w:pStyle w:val="Heading2"/>
      </w:pPr>
      <w:r>
        <w:rPr>
          <w:rFonts w:ascii="宋体" w:hAnsi="宋体" w:eastAsia="宋体"/>
          <w:b/>
          <w:color w:val="000000"/>
          <w:sz w:val="24"/>
        </w:rPr>
        <w:t>3.2 GPU 不可用或显存不足</w:t>
      </w:r>
    </w:p>
    <w:p>
      <w:r>
        <w:rPr>
          <w:rFonts w:ascii="宋体" w:hAnsi="宋体" w:eastAsia="宋体"/>
          <w:b w:val="0"/>
          <w:color w:val="000000"/>
          <w:sz w:val="22"/>
        </w:rPr>
        <w:t>现象：CUDA 检查返回 False、设备初始化失败，或训练预测提示显存不足。检查显卡驱动、PyTorch 的 CUDA 支持及当前显存占用，确认实际使用的是目标 Python 环境。</w:t>
      </w:r>
    </w:p>
    <w:p>
      <w:r>
        <w:rPr>
          <w:rFonts w:ascii="宋体" w:hAnsi="宋体" w:eastAsia="宋体"/>
          <w:b w:val="0"/>
          <w:color w:val="000000"/>
          <w:sz w:val="22"/>
        </w:rPr>
        <w:t>处理：先结束无关 GPU 任务，并避免同时启动多个训练任务；按交付版本修复相匹配的驱动或 PyTorch 环境。需要缩小任务时仅调整界面或命令帮助中支持的参数，并记录变化。可使用 CPU 小样例辅助定位，恢复 GPU 后再验证交付效率。</w:t>
      </w:r>
    </w:p>
    <w:p>
      <w:r>
        <w:rPr>
          <w:rFonts w:ascii="宋体" w:hAnsi="宋体" w:eastAsia="宋体"/>
          <w:b w:val="0"/>
          <w:color w:val="000000"/>
          <w:sz w:val="22"/>
        </w:rPr>
        <w:t>恢复验证：CUDA 检查通过，原问题样例可以完整执行。CPU 调试耗时不作为 GPU 效率的复核依据。</w:t>
      </w:r>
    </w:p>
    <w:p>
      <w:pPr>
        <w:pStyle w:val="Heading2"/>
      </w:pPr>
      <w:r>
        <w:rPr>
          <w:rFonts w:ascii="宋体" w:hAnsi="宋体" w:eastAsia="宋体"/>
          <w:b/>
          <w:color w:val="000000"/>
          <w:sz w:val="24"/>
        </w:rPr>
        <w:t>3.3 中文乱码或目录不可访问</w:t>
      </w:r>
    </w:p>
    <w:p>
      <w:r>
        <w:rPr>
          <w:rFonts w:ascii="宋体" w:hAnsi="宋体" w:eastAsia="宋体"/>
          <w:b w:val="0"/>
          <w:color w:val="000000"/>
          <w:sz w:val="22"/>
        </w:rPr>
        <w:t>中文乱码时先保存原日志，确认 GUI 使用 UTF-8；命令行可执行下列设置后重新运行。目录错误时核对路径、引号、工作目录和读写权限，选择可写的独立结果目录。</w:t>
      </w:r>
    </w:p>
    <w:p>
      <w:pPr>
        <w:spacing w:after="40" w:line="240" w:lineRule="auto"/>
      </w:pPr>
      <w:r>
        <w:rPr>
          <w:rFonts w:ascii="Consolas" w:hAnsi="Consolas" w:eastAsia="Consolas"/>
          <w:b w:val="0"/>
          <w:color w:val="000000"/>
          <w:sz w:val="18"/>
        </w:rPr>
        <w:t>$env:PYTHONUTF8 = "1"</w:t>
      </w:r>
    </w:p>
    <w:p>
      <w:pPr>
        <w:spacing w:after="40" w:line="240" w:lineRule="auto"/>
      </w:pPr>
      <w:r>
        <w:rPr>
          <w:rFonts w:ascii="Consolas" w:hAnsi="Consolas" w:eastAsia="Consolas"/>
          <w:b w:val="0"/>
          <w:color w:val="000000"/>
          <w:sz w:val="18"/>
        </w:rPr>
        <w:t>$env:PYTHONIOENCODING = "utf-8"</w:t>
      </w:r>
    </w:p>
    <w:p>
      <w:r>
        <w:rPr>
          <w:rFonts w:ascii="宋体" w:hAnsi="宋体" w:eastAsia="宋体"/>
          <w:b w:val="0"/>
          <w:color w:val="000000"/>
          <w:sz w:val="22"/>
        </w:rPr>
        <w:t>恢复验证：中文日志可读；运行创建的结果位于预期目录，且路径设置与实际命令一致。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  <w:b/>
          <w:color w:val="000000"/>
          <w:sz w:val="30"/>
        </w:rPr>
        <w:t>4 数据建库与模型匹配故障</w:t>
      </w:r>
    </w:p>
    <w:p>
      <w:pPr>
        <w:pStyle w:val="Heading2"/>
      </w:pPr>
      <w:r>
        <w:rPr>
          <w:rFonts w:ascii="宋体" w:hAnsi="宋体" w:eastAsia="宋体"/>
          <w:b/>
          <w:color w:val="000000"/>
          <w:sz w:val="24"/>
        </w:rPr>
        <w:t>4.1 没有发现样本或波形与温度场配对失败</w:t>
      </w:r>
    </w:p>
    <w:p>
      <w:r>
        <w:rPr>
          <w:rFonts w:ascii="宋体" w:hAnsi="宋体" w:eastAsia="宋体"/>
          <w:b w:val="0"/>
          <w:color w:val="000000"/>
          <w:sz w:val="22"/>
        </w:rPr>
        <w:t>检查所选目录是否为单材料 case 目录的上层或多材料目录的共同上层。标准输入支持 worker 下的 case 和扁平 case 两种布局。核对配置文件、超声波形和热力温度 CSV 是否属于同一 case，避免用不同任务文件补齐缺失项。</w:t>
      </w:r>
    </w:p>
    <w:p>
      <w:r>
        <w:rPr>
          <w:rFonts w:ascii="宋体" w:hAnsi="宋体" w:eastAsia="宋体"/>
          <w:b w:val="0"/>
          <w:color w:val="000000"/>
          <w:sz w:val="22"/>
        </w:rPr>
        <w:t>处理：恢复缺失文件、纠正目录或列配置后，在新数据集目录重新建库；核对 case 数量、配对记录与报错信息，再执行“校验数据”。对于独立实验波形，按使用说明通过“外部测试导入”挂接到指定材料测试清单。</w:t>
      </w:r>
    </w:p>
    <w:p>
      <w:pPr>
        <w:pStyle w:val="Heading2"/>
      </w:pPr>
      <w:r>
        <w:rPr>
          <w:rFonts w:ascii="宋体" w:hAnsi="宋体" w:eastAsia="宋体"/>
          <w:b/>
          <w:color w:val="000000"/>
          <w:sz w:val="24"/>
        </w:rPr>
        <w:t>4.2 数据格式或采样信息异常</w:t>
      </w:r>
    </w:p>
    <w:p>
      <w:r>
        <w:rPr>
          <w:rFonts w:ascii="宋体" w:hAnsi="宋体" w:eastAsia="宋体"/>
          <w:b w:val="0"/>
          <w:color w:val="000000"/>
          <w:sz w:val="22"/>
        </w:rPr>
        <w:t>检查温度场 CSV 的 node_id、x、y、T、thermal_material_id、dup_target_surface 等字段及单位；核对波形时间列、信号列和实际读取范围。检查 sampling_index.npz、网格审计和各份清单是否来自同一次建库。</w:t>
      </w:r>
    </w:p>
    <w:p>
      <w:r>
        <w:rPr>
          <w:rFonts w:ascii="宋体" w:hAnsi="宋体" w:eastAsia="宋体"/>
          <w:b w:val="0"/>
          <w:color w:val="000000"/>
          <w:sz w:val="22"/>
        </w:rPr>
        <w:t>处理：根据原始数据纠正字段或单位，保持接触界面两侧节点的独立身份；从完整输入重新建库并校验。不得仅更改数组长度、删除重复坐标节点或改写指纹来消除报错。</w:t>
      </w:r>
    </w:p>
    <w:p>
      <w:pPr>
        <w:pStyle w:val="Heading2"/>
      </w:pPr>
      <w:r>
        <w:rPr>
          <w:rFonts w:ascii="宋体" w:hAnsi="宋体" w:eastAsia="宋体"/>
          <w:b/>
          <w:color w:val="000000"/>
          <w:sz w:val="24"/>
        </w:rPr>
        <w:t>4.3 模型文件不存在或一致性检查失败</w:t>
      </w:r>
    </w:p>
    <w:p>
      <w:r>
        <w:rPr>
          <w:rFonts w:ascii="宋体" w:hAnsi="宋体" w:eastAsia="宋体"/>
          <w:b w:val="0"/>
          <w:color w:val="000000"/>
          <w:sz w:val="22"/>
        </w:rPr>
        <w:t>检查 checkpoint 路径及材料路由中每个模型引用，核对模型类型、节点数、采样指纹、波形长度、预处理参数和温度统计量。找不到模型时从同一任务备份恢复完整文件组；模型与数据不匹配时选择同一建库任务对应的模型，或用正确数据重新训练。</w:t>
      </w:r>
    </w:p>
    <w:p>
      <w:r>
        <w:rPr>
          <w:rFonts w:ascii="宋体" w:hAnsi="宋体" w:eastAsia="宋体"/>
          <w:b w:val="0"/>
          <w:color w:val="000000"/>
          <w:sz w:val="22"/>
        </w:rPr>
        <w:t>不得以其他材料 checkpoint 替代缺失模型。材料文件夹代表样本材料类别，温度场中的内部材料组分用于节点身份，两者用途不同。修复后逐材料检查路由能够选择对应模型。</w:t>
      </w:r>
    </w:p>
    <w:p>
      <w:pPr>
        <w:pStyle w:val="Heading2"/>
      </w:pPr>
      <w:r>
        <w:rPr>
          <w:rFonts w:ascii="宋体" w:hAnsi="宋体" w:eastAsia="宋体"/>
          <w:b/>
          <w:color w:val="000000"/>
          <w:sz w:val="24"/>
        </w:rPr>
        <w:t>4.4 数据集划分或校验不通过</w:t>
      </w:r>
    </w:p>
    <w:p>
      <w:r>
        <w:rPr>
          <w:rFonts w:ascii="宋体" w:hAnsi="宋体" w:eastAsia="宋体"/>
          <w:b w:val="0"/>
          <w:color w:val="000000"/>
          <w:sz w:val="22"/>
        </w:rPr>
        <w:t>检查各材料训练、验证和测试比例及清单引用，依据界面提示修正无效配置。固定训练集及其统计量，保留划分参数和种子。独立外部实验测试数据按测试用途管理，避免误并入训练或验证集。重新建库后记录变化，并再次校验。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  <w:b/>
          <w:color w:val="000000"/>
          <w:sz w:val="30"/>
        </w:rPr>
        <w:t>5 运行结果与增量训练故障</w:t>
      </w:r>
    </w:p>
    <w:p>
      <w:pPr>
        <w:pStyle w:val="Heading2"/>
      </w:pPr>
      <w:r>
        <w:rPr>
          <w:rFonts w:ascii="宋体" w:hAnsi="宋体" w:eastAsia="宋体"/>
          <w:b/>
          <w:color w:val="000000"/>
          <w:sz w:val="24"/>
        </w:rPr>
        <w:t>5.1 训练中断或没有预期模型</w:t>
      </w:r>
    </w:p>
    <w:p>
      <w:r>
        <w:rPr>
          <w:rFonts w:ascii="宋体" w:hAnsi="宋体" w:eastAsia="宋体"/>
          <w:b w:val="0"/>
          <w:color w:val="000000"/>
          <w:sz w:val="22"/>
        </w:rPr>
        <w:t>从日志区分正常结束、手动停止、早停与异常退出。检查数据加载、输出目录、显存和磁盘空间，核对训练报告及 checkpoint 的实际保存位置。先消除具体异常，再以独立任务名重试；不得把中断文件直接登记为已验证模型。</w:t>
      </w:r>
    </w:p>
    <w:p>
      <w:r>
        <w:rPr>
          <w:rFonts w:ascii="宋体" w:hAnsi="宋体" w:eastAsia="宋体"/>
          <w:b w:val="0"/>
          <w:color w:val="000000"/>
          <w:sz w:val="22"/>
        </w:rPr>
        <w:t>恢复验证：日志正常结束，训练报告可读取，模型能重新加载并对保留样例生成预测。多材料任务需检查全部材料模型及路由文件。</w:t>
      </w:r>
    </w:p>
    <w:p>
      <w:pPr>
        <w:pStyle w:val="Heading2"/>
      </w:pPr>
      <w:r>
        <w:rPr>
          <w:rFonts w:ascii="宋体" w:hAnsi="宋体" w:eastAsia="宋体"/>
          <w:b/>
          <w:color w:val="000000"/>
          <w:sz w:val="24"/>
        </w:rPr>
        <w:t>5.2 预测图或结果文件缺失</w:t>
      </w:r>
    </w:p>
    <w:p>
      <w:r>
        <w:rPr>
          <w:rFonts w:ascii="宋体" w:hAnsi="宋体" w:eastAsia="宋体"/>
          <w:b w:val="0"/>
          <w:color w:val="000000"/>
          <w:sz w:val="22"/>
        </w:rPr>
        <w:t>先核对任务是否成功、实际输出根目录以及预测名称。检查是否启用绘图，是否选择一维或二维输出。二维绘图对应 point_field_compare.png；一维输出对应 axis_predictions.csv/.npz，启用绘图时生成 axis_compare.png。</w:t>
      </w:r>
    </w:p>
    <w:p>
      <w:r>
        <w:rPr>
          <w:rFonts w:ascii="宋体" w:hAnsi="宋体" w:eastAsia="宋体"/>
          <w:b w:val="0"/>
          <w:color w:val="000000"/>
          <w:sz w:val="22"/>
        </w:rPr>
        <w:t>恢复验证：按本次选项检查实际应生成的文件，使用独立输出目录重试。只生成原始数值结果且未启用绘图时，无对比图不应误判为预测失败。</w:t>
      </w:r>
    </w:p>
    <w:p>
      <w:pPr>
        <w:pStyle w:val="Heading2"/>
      </w:pPr>
      <w:r>
        <w:rPr>
          <w:rFonts w:ascii="宋体" w:hAnsi="宋体" w:eastAsia="宋体"/>
          <w:b/>
          <w:color w:val="000000"/>
          <w:sz w:val="24"/>
        </w:rPr>
        <w:t>5.3 温度结果异常或指标发生变化</w:t>
      </w:r>
    </w:p>
    <w:p>
      <w:r>
        <w:rPr>
          <w:rFonts w:ascii="宋体" w:hAnsi="宋体" w:eastAsia="宋体"/>
          <w:b w:val="0"/>
          <w:color w:val="000000"/>
          <w:sz w:val="22"/>
        </w:rPr>
        <w:t>依次核对样本材料与路由、波形列和裁剪长度、预处理、模型和采样定义、温度单位及参考数据。用已留存的固定样例对比维护前后结果，定位输入或配置变化，不能只根据图像外观修改预测值。</w:t>
      </w:r>
    </w:p>
    <w:p>
      <w:r>
        <w:rPr>
          <w:rFonts w:ascii="宋体" w:hAnsi="宋体" w:eastAsia="宋体"/>
          <w:b w:val="0"/>
          <w:color w:val="000000"/>
          <w:sz w:val="22"/>
        </w:rPr>
        <w:t>五测点验收精度按五点参考温度均值与五点 AI 温度均值计算相对误差；MAE、RMSE、中心线和区域误差用于补充分析。独立实验波形的精度复核需有参考测温记录，不能将缺乏真实空间标签的场指标作为真实全场精度。</w:t>
      </w:r>
    </w:p>
    <w:p>
      <w:pPr>
        <w:pStyle w:val="Heading2"/>
      </w:pPr>
      <w:r>
        <w:rPr>
          <w:rFonts w:ascii="宋体" w:hAnsi="宋体" w:eastAsia="宋体"/>
          <w:b/>
          <w:color w:val="000000"/>
          <w:sz w:val="24"/>
        </w:rPr>
        <w:t>5.4 增量训练失败或新模型表现下降</w:t>
      </w:r>
    </w:p>
    <w:p>
      <w:r>
        <w:rPr>
          <w:rFonts w:ascii="宋体" w:hAnsi="宋体" w:eastAsia="宋体"/>
          <w:b w:val="0"/>
          <w:color w:val="000000"/>
          <w:sz w:val="22"/>
        </w:rPr>
        <w:t>检查基础 checkpoint、新增清单、材料身份、采样定义和预处理的一致性，先确认基础模型可正常预测。修正输入配置后再执行增量训练，保留基础模型和独立的新模型。新模型未通过验证时，重新选择已验证基础模型，并记录本次失败及差异。</w:t>
      </w:r>
    </w:p>
    <w:p>
      <w:pPr>
        <w:pStyle w:val="Heading2"/>
      </w:pPr>
      <w:r>
        <w:rPr>
          <w:rFonts w:ascii="宋体" w:hAnsi="宋体" w:eastAsia="宋体"/>
          <w:b/>
          <w:color w:val="000000"/>
          <w:sz w:val="24"/>
        </w:rPr>
        <w:t>5.5 界面无响应或停止后的文件不完整</w:t>
      </w:r>
    </w:p>
    <w:p>
      <w:r>
        <w:rPr>
          <w:rFonts w:ascii="宋体" w:hAnsi="宋体" w:eastAsia="宋体"/>
          <w:b w:val="0"/>
          <w:color w:val="000000"/>
          <w:sz w:val="22"/>
        </w:rPr>
        <w:t>先查看运行日志和任务状态，区分正在计算与已退出。需停止时使用界面“停止”，确认子进程退出后再更改输入或清理输出。重新打开 GUI 后核对路径与任务选择，并在新输出目录验证；保存异常现场供进一步排查。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  <w:b/>
          <w:color w:val="000000"/>
          <w:sz w:val="30"/>
        </w:rPr>
        <w:t>6 Fortran 调用及修复后的确认</w:t>
      </w:r>
    </w:p>
    <w:p>
      <w:pPr>
        <w:pStyle w:val="Heading2"/>
      </w:pPr>
      <w:r>
        <w:rPr>
          <w:rFonts w:ascii="宋体" w:hAnsi="宋体" w:eastAsia="宋体"/>
          <w:b/>
          <w:color w:val="000000"/>
          <w:sz w:val="24"/>
        </w:rPr>
        <w:t>6.1 动态库缺失或加载失败</w:t>
      </w:r>
    </w:p>
    <w:p>
      <w:r>
        <w:rPr>
          <w:rFonts w:ascii="宋体" w:hAnsi="宋体" w:eastAsia="宋体"/>
          <w:b w:val="0"/>
          <w:color w:val="000000"/>
          <w:sz w:val="22"/>
        </w:rPr>
        <w:t>Fortran library not found 表示调用所需动态库未在预期位置找到。交付 Windows 程序使用 ai_model/fortran/ai_numeric.dll。核对交付文件、编译器、运行库与进程架构，优先从同一已验证交付版本恢复。</w:t>
      </w:r>
    </w:p>
    <w:p>
      <w:r>
        <w:rPr>
          <w:rFonts w:ascii="宋体" w:hAnsi="宋体" w:eastAsia="宋体"/>
          <w:b w:val="0"/>
          <w:color w:val="000000"/>
          <w:sz w:val="22"/>
        </w:rPr>
        <w:t>需要重新构建时，先备份原动态库，在 ai_model 目录下执行交付脚本；不要从不相关版本复制动态库。以下命令中的目录必须切换为实际安装位置。</w:t>
      </w:r>
    </w:p>
    <w:p>
      <w:pPr>
        <w:spacing w:after="40" w:line="240" w:lineRule="auto"/>
      </w:pPr>
      <w:r>
        <w:rPr>
          <w:rFonts w:ascii="Consolas" w:hAnsi="Consolas" w:eastAsia="Consolas"/>
          <w:b w:val="0"/>
          <w:color w:val="000000"/>
          <w:sz w:val="18"/>
        </w:rPr>
        <w:t>gfortran --version</w:t>
      </w:r>
    </w:p>
    <w:p>
      <w:pPr>
        <w:spacing w:after="40" w:line="240" w:lineRule="auto"/>
      </w:pPr>
      <w:r>
        <w:rPr>
          <w:rFonts w:ascii="Consolas" w:hAnsi="Consolas" w:eastAsia="Consolas"/>
          <w:b w:val="0"/>
          <w:color w:val="000000"/>
          <w:sz w:val="18"/>
        </w:rPr>
        <w:t>powershell -ExecutionPolicy Bypass -File .\fortran\build_fortran.ps1</w:t>
      </w:r>
    </w:p>
    <w:p>
      <w:r>
        <w:rPr>
          <w:rFonts w:ascii="宋体" w:hAnsi="宋体" w:eastAsia="宋体"/>
          <w:b w:val="0"/>
          <w:color w:val="000000"/>
          <w:sz w:val="22"/>
        </w:rPr>
        <w:t>在 ai_model 上一级目录用同一 Python 环境检查动态库是否可加载：</w:t>
      </w:r>
    </w:p>
    <w:p>
      <w:pPr>
        <w:spacing w:after="40" w:line="240" w:lineRule="auto"/>
      </w:pPr>
      <w:r>
        <w:rPr>
          <w:rFonts w:ascii="Consolas" w:hAnsi="Consolas" w:eastAsia="Consolas"/>
          <w:b w:val="0"/>
          <w:color w:val="000000"/>
          <w:sz w:val="18"/>
        </w:rPr>
        <w:t>python -c "import ctypes; ctypes.CDLL('ai_model/fortran/ai_numeric.dll'); print('DLL load OK')"</w:t>
      </w:r>
    </w:p>
    <w:p>
      <w:r>
        <w:rPr>
          <w:rFonts w:ascii="宋体" w:hAnsi="宋体" w:eastAsia="宋体"/>
          <w:b w:val="0"/>
          <w:color w:val="000000"/>
          <w:sz w:val="22"/>
        </w:rPr>
        <w:t>动态库加载成功后，还须运行原先发生错误的实际业务样例，复核数值输出和日志。加载成功本身不代表全部功能与数值结果已通过验证。</w:t>
      </w:r>
    </w:p>
    <w:p>
      <w:pPr>
        <w:pStyle w:val="Heading2"/>
      </w:pPr>
      <w:r>
        <w:rPr>
          <w:rFonts w:ascii="宋体" w:hAnsi="宋体" w:eastAsia="宋体"/>
          <w:b/>
          <w:color w:val="000000"/>
          <w:sz w:val="24"/>
        </w:rPr>
        <w:t>6.2 修复完成条件</w:t>
      </w:r>
    </w:p>
    <w:p>
      <w:r>
        <w:rPr>
          <w:rFonts w:ascii="宋体" w:hAnsi="宋体" w:eastAsia="宋体"/>
          <w:b w:val="0"/>
          <w:color w:val="000000"/>
          <w:sz w:val="22"/>
        </w:rPr>
        <w:t>1. 原故障样例能在目标环境正常执行，完整日志没有未处理异常。</w:t>
      </w:r>
    </w:p>
    <w:p>
      <w:r>
        <w:rPr>
          <w:rFonts w:ascii="宋体" w:hAnsi="宋体" w:eastAsia="宋体"/>
          <w:b w:val="0"/>
          <w:color w:val="000000"/>
          <w:sz w:val="22"/>
        </w:rPr>
        <w:t>2. 数据、材料路由和模型匹配，输出样本数、节点数、单位及文件完整性符合本次任务配置。</w:t>
      </w:r>
    </w:p>
    <w:p>
      <w:r>
        <w:rPr>
          <w:rFonts w:ascii="宋体" w:hAnsi="宋体" w:eastAsia="宋体"/>
          <w:b w:val="0"/>
          <w:color w:val="000000"/>
          <w:sz w:val="22"/>
        </w:rPr>
        <w:t>3. 必要的精度或效率复核沿用交付测试方法；不能复核的项目明确记录为待验证。</w:t>
      </w:r>
    </w:p>
    <w:p>
      <w:r>
        <w:rPr>
          <w:rFonts w:ascii="宋体" w:hAnsi="宋体" w:eastAsia="宋体"/>
          <w:b w:val="0"/>
          <w:color w:val="000000"/>
          <w:sz w:val="22"/>
        </w:rPr>
        <w:t>4. 保存修改项、前后版本、验证结果、执行人与复核人；有未解决问题时记录临时措施或按维护手册回退。</w:t>
      </w:r>
    </w:p>
    <w:p>
      <w:pPr>
        <w:pStyle w:val="Heading2"/>
      </w:pPr>
      <w:r>
        <w:rPr>
          <w:rFonts w:ascii="宋体" w:hAnsi="宋体" w:eastAsia="宋体"/>
          <w:b/>
          <w:color w:val="000000"/>
          <w:sz w:val="24"/>
        </w:rPr>
        <w:t>6.3 故障处理记录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2438"/>
        <w:gridCol w:w="6973"/>
      </w:tblGrid>
      <w:tr>
        <w:trPr>
          <w:cantSplit/>
          <w:tblHeader/>
        </w:trPr>
        <w:tc>
          <w:tcPr>
            <w:tcW w:type="dxa" w:w="2438"/>
            <w:vAlign w:val="center"/>
            <w:shd w:fill="E8EDF2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6973"/>
            <w:vAlign w:val="center"/>
            <w:shd w:fill="E8EDF2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填写内容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编号与发现时间</w:t>
            </w:r>
          </w:p>
        </w:tc>
        <w:tc>
          <w:tcPr>
            <w:tcW w:type="dxa" w:w="6973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________________________________________________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现象及完整日志位置</w:t>
            </w:r>
          </w:p>
        </w:tc>
        <w:tc>
          <w:tcPr>
            <w:tcW w:type="dxa" w:w="6973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________________________________________________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环境和数据模型路径</w:t>
            </w:r>
          </w:p>
        </w:tc>
        <w:tc>
          <w:tcPr>
            <w:tcW w:type="dxa" w:w="6973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________________________________________________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原因及处理步骤</w:t>
            </w:r>
          </w:p>
        </w:tc>
        <w:tc>
          <w:tcPr>
            <w:tcW w:type="dxa" w:w="6973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________________________________________________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备份与修改前后版本</w:t>
            </w:r>
          </w:p>
        </w:tc>
        <w:tc>
          <w:tcPr>
            <w:tcW w:type="dxa" w:w="6973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________________________________________________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验证样例及结果位置</w:t>
            </w:r>
          </w:p>
        </w:tc>
        <w:tc>
          <w:tcPr>
            <w:tcW w:type="dxa" w:w="6973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________________________________________________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遗留问题与处理结论</w:t>
            </w:r>
          </w:p>
        </w:tc>
        <w:tc>
          <w:tcPr>
            <w:tcW w:type="dxa" w:w="6973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________________________________________________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执行人和复核人签字</w:t>
            </w:r>
          </w:p>
        </w:tc>
        <w:tc>
          <w:tcPr>
            <w:tcW w:type="dxa" w:w="6973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________________________________________________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1906" w:h="16838"/>
      <w:pgMar w:top="1134" w:right="1247" w:bottom="1020" w:left="1247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000000"/>
        <w:sz w:val="18"/>
      </w:rPr>
      <w:t xml:space="preserve">第 </w:t>
    </w:r>
    <w:fldSimple w:instr="PAGE"/>
    <w:r>
      <w:rPr>
        <w:rFonts w:ascii="宋体" w:hAnsi="宋体" w:eastAsia="宋体"/>
        <w:b w:val="0"/>
        <w:color w:val="00000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83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283" w:lineRule="auto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83" w:lineRule="auto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83" w:lineRule="auto"/>
      <w:contextualSpacing/>
    </w:pPr>
    <w:rPr>
      <w:rFonts w:asciiTheme="majorHAnsi" w:eastAsiaTheme="majorEastAsia" w:hAnsiTheme="majorHAnsi" w:cstheme="majorBidi" w:ascii="宋体" w:hAnsi="宋体" w:eastAsia="宋体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程序调试维修方法</dc:title>
  <dc:subject>超声波全波形温度场重构理论及方法研究 模块三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