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程序调试维修方法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文件规定基于人工智能的温度场反演方法模块的运行接口调试、数据配对处理、模型配置检查、增量更新核查以及温度场结果复核方法。调试按数据构建、波形预处理、模型训练、温度场预测、精度与效率评价、在线增量训练的业务流程组织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运行环境与接口调试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1.1 运行环境核对</w:t>
      </w:r>
    </w:p>
    <w:p>
      <w:r>
        <w:rPr>
          <w:rFonts w:ascii="宋体" w:hAnsi="宋体" w:eastAsia="宋体"/>
          <w:b w:val="0"/>
          <w:color w:val="000000"/>
          <w:sz w:val="22"/>
        </w:rPr>
        <w:t>软件运行平台为Windows，项目软件资源包括Windows 10/11、Visual Studio 2022、Intel oneAPI Fortran、Python 3.10及相关科学计算和人工智能开发工具。Python承担AI模型与图形化流程，Fortran承担预测指标等数值计算。核对运行配置、程序版本和接口文件的对应关系。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1.2 图形化任务流程调试</w:t>
      </w:r>
    </w:p>
    <w:p>
      <w:r>
        <w:rPr>
          <w:rFonts w:ascii="宋体" w:hAnsi="宋体" w:eastAsia="宋体"/>
          <w:b w:val="0"/>
          <w:color w:val="000000"/>
          <w:sz w:val="22"/>
        </w:rPr>
        <w:t>1. 进入“路径设置”，核对任务所用数据目录和结果目录，使图形化入口与命令行入口使用一致的数据格式、模型规则和结果位置。</w:t>
      </w:r>
    </w:p>
    <w:p>
      <w:r>
        <w:rPr>
          <w:rFonts w:ascii="宋体" w:hAnsi="宋体" w:eastAsia="宋体"/>
          <w:b w:val="0"/>
          <w:color w:val="000000"/>
          <w:sz w:val="22"/>
        </w:rPr>
        <w:t>2. 在“构建数据库”中执行样本发现、波形与温度场配对、固定节点采样和材料独立划分，检查生成的数据清单及采样索引。</w:t>
      </w:r>
    </w:p>
    <w:p>
      <w:r>
        <w:rPr>
          <w:rFonts w:ascii="宋体" w:hAnsi="宋体" w:eastAsia="宋体"/>
          <w:b w:val="0"/>
          <w:color w:val="000000"/>
          <w:sz w:val="22"/>
        </w:rPr>
        <w:t>3. 进入“校验数据”，核对规模、格式、温度范围、网格及采样一致性，并查看核查报告。</w:t>
      </w:r>
    </w:p>
    <w:p>
      <w:r>
        <w:rPr>
          <w:rFonts w:ascii="宋体" w:hAnsi="宋体" w:eastAsia="宋体"/>
          <w:b w:val="0"/>
          <w:color w:val="000000"/>
          <w:sz w:val="22"/>
        </w:rPr>
        <w:t>4. 在“训练模型”和“预测对比”中核对材料、任务维度、稳态或瞬态模式、设备及训练参数，检查模型保存、路由选择和温度场输出。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1.3 跨语言输入输出核查</w:t>
      </w:r>
    </w:p>
    <w:p>
      <w:r>
        <w:rPr>
          <w:rFonts w:ascii="宋体" w:hAnsi="宋体" w:eastAsia="宋体"/>
          <w:b w:val="0"/>
          <w:color w:val="000000"/>
          <w:sz w:val="22"/>
        </w:rPr>
        <w:t>按标准化配置文件、数据文件和程序调用接口核对Python与Fortran之间的数据交换和任务调度。检查输入配置、数值计算输出及异常返回，运行记录关联所用模型、任务参数、运行环境和结果文件。</w:t>
      </w:r>
    </w:p>
    <w:p>
      <w:r>
        <w:rPr>
          <w:rFonts w:ascii="宋体" w:hAnsi="宋体" w:eastAsia="宋体"/>
          <w:b w:val="0"/>
          <w:color w:val="000000"/>
          <w:sz w:val="22"/>
        </w:rPr>
        <w:t>程序测试记录包括测试环境、测试条件、输入数据、操作步骤、输出结果、异常情况及处理过程。对调试涉及的输入条件和运行配置保留对应记录，结合重复计算及模块间结果对比核查一致性。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数据配对与波形处理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样本配对和路径核查</w:t>
      </w:r>
    </w:p>
    <w:p>
      <w:r>
        <w:rPr>
          <w:rFonts w:ascii="宋体" w:hAnsi="宋体" w:eastAsia="宋体"/>
          <w:b w:val="0"/>
          <w:color w:val="000000"/>
          <w:sz w:val="22"/>
        </w:rPr>
        <w:t>三类材料分别为两层W30Mo70钨钼合金多层材料、W基体/SiC纤维金属基复合材料和SiC纤维/CVI-SiC基体硅基复合材料。各类样本以case为单位记录波形、温度场与配置，通过manifest建立文件路径和模型调用关系。</w:t>
      </w:r>
    </w:p>
    <w:p>
      <w:r>
        <w:rPr>
          <w:rFonts w:ascii="宋体" w:hAnsi="宋体" w:eastAsia="宋体"/>
          <w:b w:val="0"/>
          <w:color w:val="000000"/>
          <w:sz w:val="22"/>
        </w:rPr>
        <w:t>1. 按样本编号核对材料、温度、维度、稳态或瞬态类别、波形路径、温度场路径和数据来源。</w:t>
      </w:r>
    </w:p>
    <w:p>
      <w:r>
        <w:rPr>
          <w:rFonts w:ascii="宋体" w:hAnsi="宋体" w:eastAsia="宋体"/>
          <w:b w:val="0"/>
          <w:color w:val="000000"/>
          <w:sz w:val="22"/>
        </w:rPr>
        <w:t>2. 对照原始case中的波形、节点温度数据及配置，整理对应记录，完成样本配对与数据清单登记。</w:t>
      </w:r>
    </w:p>
    <w:p>
      <w:r>
        <w:rPr>
          <w:rFonts w:ascii="宋体" w:hAnsi="宋体" w:eastAsia="宋体"/>
          <w:b w:val="0"/>
          <w:color w:val="000000"/>
          <w:sz w:val="22"/>
        </w:rPr>
        <w:t>3. 按材料核对训练、验证和测试清单；通过material_collection.json核对各材料清单、数据划分与模型路由关系。</w:t>
      </w:r>
    </w:p>
    <w:p>
      <w:r>
        <w:rPr>
          <w:rFonts w:ascii="宋体" w:hAnsi="宋体" w:eastAsia="宋体"/>
          <w:b w:val="0"/>
          <w:color w:val="000000"/>
          <w:sz w:val="22"/>
        </w:rPr>
        <w:t>4. 完成数据校验后，保存核查报告及配对记录，使样本能够从清单回溯到原始波形和温度场。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2.2 波形幅值和有效回波差异处理</w:t>
      </w:r>
    </w:p>
    <w:p>
      <w:r>
        <w:rPr>
          <w:rFonts w:ascii="宋体" w:hAnsi="宋体" w:eastAsia="宋体"/>
          <w:b w:val="0"/>
          <w:color w:val="000000"/>
          <w:sz w:val="22"/>
        </w:rPr>
        <w:t>实验波形受采集设备响应、环境噪声和触发偏差等因素影响，与仿真波形在幅值尺度、有效回波位置和数据分布上存在差异。处理时检查时间列和信号幅值列，采用一致的有效区间裁剪、长度对齐、平滑、趋势校正、幅值归一化及张量化流程。</w:t>
      </w:r>
    </w:p>
    <w:p>
      <w:r>
        <w:rPr>
          <w:rFonts w:ascii="宋体" w:hAnsi="宋体" w:eastAsia="宋体"/>
          <w:b w:val="0"/>
          <w:color w:val="000000"/>
          <w:sz w:val="22"/>
        </w:rPr>
        <w:t>保留source、材料、试件、温度及工况字段，以仿真数据建立基础映射，再通过W30Mo70实验数据开展精度验证和增量校正。训练、预测及增量训练使用一致的预处理规则，保存处理后波形、清单和原始文件的关联。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2.3 固定节点与采样一致性核查</w:t>
      </w:r>
    </w:p>
    <w:p>
      <w:r>
        <w:rPr>
          <w:rFonts w:ascii="宋体" w:hAnsi="宋体" w:eastAsia="宋体"/>
          <w:b w:val="0"/>
          <w:color w:val="000000"/>
          <w:sz w:val="22"/>
        </w:rPr>
        <w:t>核对约23万个原始有限元节点与10000个固定物理节点之间的采样对应关系，检查节点编号、坐标、温度标签、材料组分、边界身份及接触界面两侧身份。训练、验证、测试与预测共用固定采样索引，并通过网格和采样一致性检查形成核查结果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模型训练与增量更新调试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模型加载与材料路由</w:t>
      </w:r>
    </w:p>
    <w:p>
      <w:r>
        <w:rPr>
          <w:rFonts w:ascii="宋体" w:hAnsi="宋体" w:eastAsia="宋体"/>
          <w:b w:val="0"/>
          <w:color w:val="000000"/>
          <w:sz w:val="22"/>
        </w:rPr>
        <w:t>依据样本材料标识选择相应的完整checkpoint，核对材料集合、独立数据清单、材料规则和路由文件。检查checkpoint中的模型类型、节点数量、采样指纹、波形长度、温度统计量和预处理参数，使模型与当前数据保持对应。</w:t>
      </w:r>
    </w:p>
    <w:p>
      <w:r>
        <w:rPr>
          <w:rFonts w:ascii="宋体" w:hAnsi="宋体" w:eastAsia="宋体"/>
          <w:b w:val="0"/>
          <w:color w:val="000000"/>
          <w:sz w:val="22"/>
        </w:rPr>
        <w:t>加载后核对CNN与LSTM双分支编码、BP融合回归及固定节点输出之间的关系。二维任务输出完整温度场，一维任务从二维预测场归一化x=0.50中心线提取结果。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场分布振荡与空间连续性处理</w:t>
      </w:r>
    </w:p>
    <w:p>
      <w:r>
        <w:rPr>
          <w:rFonts w:ascii="宋体" w:hAnsi="宋体" w:eastAsia="宋体"/>
          <w:b w:val="0"/>
          <w:color w:val="000000"/>
          <w:sz w:val="22"/>
        </w:rPr>
        <w:t>针对局部温度振荡、空间不连续和温度范围偏离问题，按任务配置选择MSE监督模式或MSE＋PINN组合模式。MSE约束预测场与参考场的数值偏差；物理约束依据固定节点坐标、材料分区和空间邻接关系构造，结合空间差分、离散拉普拉斯残差及场分布平滑条件处理局部场分布。</w:t>
      </w:r>
    </w:p>
    <w:p>
      <w:r>
        <w:rPr>
          <w:rFonts w:ascii="宋体" w:hAnsi="宋体" w:eastAsia="宋体"/>
          <w:b w:val="0"/>
          <w:color w:val="000000"/>
          <w:sz w:val="22"/>
        </w:rPr>
        <w:t>按配置设置物理约束和平滑损失权重，保留接触界面两侧节点的独立材料和界面身份。训练配置、损失模式及权重随checkpoint版本保存；通过验证清单逐轮评估并选择最佳权重，输出损失曲线和训练报告。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3.3 参数冻结与增量更新核查</w:t>
      </w:r>
    </w:p>
    <w:p>
      <w:r>
        <w:rPr>
          <w:rFonts w:ascii="宋体" w:hAnsi="宋体" w:eastAsia="宋体"/>
          <w:b w:val="0"/>
          <w:color w:val="000000"/>
          <w:sz w:val="22"/>
        </w:rPr>
        <w:t>1. 加载基础checkpoint、数据统计量和任务配置，导入新增实验波形及对应温度记录，关联材料、维度与工况。</w:t>
      </w:r>
    </w:p>
    <w:p>
      <w:r>
        <w:rPr>
          <w:rFonts w:ascii="宋体" w:hAnsi="宋体" w:eastAsia="宋体"/>
          <w:b w:val="0"/>
          <w:color w:val="000000"/>
          <w:sz w:val="22"/>
        </w:rPr>
        <w:t>2. 核对冻结配置，保持预处理、测点映射和关键训练条件一致；按照冻结配置保留CNN、LSTM形成的通用波形表示，调整BP融合层或指定参数。</w:t>
      </w:r>
    </w:p>
    <w:p>
      <w:r>
        <w:rPr>
          <w:rFonts w:ascii="宋体" w:hAnsi="宋体" w:eastAsia="宋体"/>
          <w:b w:val="0"/>
          <w:color w:val="000000"/>
          <w:sz w:val="22"/>
        </w:rPr>
        <w:t>3. 检查冻结参数保持不变、非冻结参数完成更新，保存冻结配置及权重更新记录。</w:t>
      </w:r>
    </w:p>
    <w:p>
      <w:r>
        <w:rPr>
          <w:rFonts w:ascii="宋体" w:hAnsi="宋体" w:eastAsia="宋体"/>
          <w:b w:val="0"/>
          <w:color w:val="000000"/>
          <w:sz w:val="22"/>
        </w:rPr>
        <w:t>4. 确认增量训练结束并生成新的checkpoint；分别加载基础模型和增量模型，结合训练日志、损失变化、更新记录及版本信息比较结果。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4 温度场输出与精度效率复核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4.1 输出结果与测点映射</w:t>
      </w:r>
    </w:p>
    <w:p>
      <w:r>
        <w:rPr>
          <w:rFonts w:ascii="宋体" w:hAnsi="宋体" w:eastAsia="宋体"/>
          <w:b w:val="0"/>
          <w:color w:val="000000"/>
          <w:sz w:val="22"/>
        </w:rPr>
        <w:t>二维输出核对10000个固定节点的编号、坐标、预测温度、参考温度、材料和界面身份。一维输出核对归一化x=0.50中心线及纵向坐标排序，检查完整场、中心线曲线、参考结果和空间误差分布的对应关系。</w:t>
      </w:r>
    </w:p>
    <w:p>
      <w:r>
        <w:rPr>
          <w:rFonts w:ascii="宋体" w:hAnsi="宋体" w:eastAsia="宋体"/>
          <w:b w:val="0"/>
          <w:color w:val="000000"/>
          <w:sz w:val="22"/>
        </w:rPr>
        <w:t>五个代表性测点采用相对试件宽度和厚度的归一化坐标。首次选择最近节点后固化node_id，并在全部样本中复用。调试中核对试件实际尺寸、热电偶测点坐标、试验工况与固定节点的对应关系。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4.2 四类工况精度复核</w:t>
      </w:r>
    </w:p>
    <w:p>
      <w:r>
        <w:rPr>
          <w:rFonts w:ascii="宋体" w:hAnsi="宋体" w:eastAsia="宋体"/>
          <w:b w:val="0"/>
          <w:color w:val="000000"/>
          <w:sz w:val="22"/>
        </w:rPr>
        <w:t>先分别计算五个参考温度和五个AI预测温度的算术平均值，再计算两者相对误差。评价公式为：相对误差＝两组平均温度之差的绝对值÷max（参考平均温度的绝对值，ε）×100%，ε为防止分母为零的正数，温度单位为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061"/>
        <w:gridCol w:w="3515"/>
        <w:gridCol w:w="2835"/>
      </w:tblGrid>
      <w:tr>
        <w:trPr>
          <w:cantSplit/>
          <w:tblHeader/>
        </w:trPr>
        <w:tc>
          <w:tcPr>
            <w:tcW w:type="dxa" w:w="3061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工况</w:t>
            </w:r>
          </w:p>
        </w:tc>
        <w:tc>
          <w:tcPr>
            <w:tcW w:type="dxa" w:w="3515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报告记录的相对误差</w:t>
            </w:r>
          </w:p>
        </w:tc>
        <w:tc>
          <w:tcPr>
            <w:tcW w:type="dxa" w:w="2835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精度指标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一维稳态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0.7221%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≤10%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一维瞬态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3.3637%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≤10%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二维稳态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0.7095%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≤10%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二维瞬态</w:t>
            </w:r>
          </w:p>
        </w:tc>
        <w:tc>
          <w:tcPr>
            <w:tcW w:type="dxa" w:w="351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3.3221%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≤10%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4.3 计算效率复核</w:t>
      </w:r>
    </w:p>
    <w:p>
      <w:r>
        <w:rPr>
          <w:rFonts w:ascii="宋体" w:hAnsi="宋体" w:eastAsia="宋体"/>
          <w:b w:val="0"/>
          <w:color w:val="000000"/>
          <w:sz w:val="22"/>
        </w:rPr>
        <w:t>在相同温度场任务、输入数据、计算环境和精度判据下统计运行时间。AI使用GPU加速和并行前向推理，以完成一个完整温度场反演任务的平均时间作为统计口径，与共轭梯度法、灵敏度法和最速下降法比较。</w:t>
      </w:r>
    </w:p>
    <w:p>
      <w:r>
        <w:rPr>
          <w:rFonts w:ascii="宋体" w:hAnsi="宋体" w:eastAsia="宋体"/>
          <w:b w:val="0"/>
          <w:color w:val="000000"/>
          <w:sz w:val="22"/>
        </w:rPr>
        <w:t>报告记录4个完整温度场总推理耗时约0.248766 s、平均约0.0622 s/场；三种经典方法平均耗时分别为18.67 s、11.10 s和12.44 s，对应相对AI加速比约300.2、178.5和200.0。保存独立测速记录、精度结果、模型与环境信息。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4.4 调试处理结果归档</w:t>
      </w:r>
    </w:p>
    <w:p>
      <w:r>
        <w:rPr>
          <w:rFonts w:ascii="宋体" w:hAnsi="宋体" w:eastAsia="宋体"/>
          <w:b w:val="0"/>
          <w:color w:val="000000"/>
          <w:sz w:val="22"/>
        </w:rPr>
        <w:t>将调试所用输入、运行配置、模型、测试步骤、输出结果、异常情况和处理过程写入程序测试记录。按任务目录归档数据清单、checkpoint、预测日志、评价结果及版本关联信息，形成可复核的调试处理记录。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程序调试维修方法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