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维护手册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手册用于基于人工智能的温度场反演方法模块的数据维护、模型维护、参数配置管理、结果归档和运行核查。维护工作围绕数据清单、固定物理节点、材料模型、训练配置和结果文件的对应关系展开，保持建库、训练、预测与在线增量更新流程一致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系统与运行资料管理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1.1 系统组成</w:t>
      </w:r>
    </w:p>
    <w:p>
      <w:r>
        <w:rPr>
          <w:rFonts w:ascii="宋体" w:hAnsi="宋体" w:eastAsia="宋体"/>
          <w:b w:val="0"/>
          <w:color w:val="000000"/>
          <w:sz w:val="22"/>
        </w:rPr>
        <w:t>系统在 Windows 平台运行。Python 承担图形化界面、数据库构建、模型训练、预测、增量训练和结果导出，Fortran 承担预测指标等数值计算，通过配置文件、数据文件和标准调用接口完成数据交换。项目软件资源包括 Windows 10/11、Visual Studio 2022、Intel oneAPI Fortran、Python 3.10 及相关科学计算和人工智能开发工具。</w:t>
      </w:r>
    </w:p>
    <w:p>
      <w:r>
        <w:rPr>
          <w:rFonts w:ascii="宋体" w:hAnsi="宋体" w:eastAsia="宋体"/>
          <w:b w:val="0"/>
          <w:color w:val="000000"/>
          <w:sz w:val="22"/>
        </w:rPr>
        <w:t>人工智能模型以统一长度的超声全波形张量为输入，采用 CNN 与 LSTM 双分支提取局部形态和传播时序特征，经 BP 全连接网络融合后生成完整二维温度场。一维温度分布由二维场归一化 x=0.50 固定中心线提取。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1.2 材料与数据资源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4422"/>
        <w:gridCol w:w="1531"/>
        <w:gridCol w:w="3458"/>
      </w:tblGrid>
      <w:tr>
        <w:trPr>
          <w:cantSplit/>
          <w:tblHeader/>
        </w:trPr>
        <w:tc>
          <w:tcPr>
            <w:tcW w:type="dxa" w:w="4422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材料体系</w:t>
            </w:r>
          </w:p>
        </w:tc>
        <w:tc>
          <w:tcPr>
            <w:tcW w:type="dxa" w:w="153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仿真配对样本</w:t>
            </w:r>
          </w:p>
        </w:tc>
        <w:tc>
          <w:tcPr>
            <w:tcW w:type="dxa" w:w="345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模型管理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两层W30Mo70钨钼合金多层材料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1000组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独立checkpoint、实验增量模型及材料路由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W基体/SiC纤维金属基复合材料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200组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独立manifest、checkpoint及材料路由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SiC纤维/CVI-SiC基体硅基复合材料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200组</w:t>
            </w:r>
          </w:p>
        </w:tc>
        <w:tc>
          <w:tcPr>
            <w:tcW w:type="dxa" w:w="345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独立manifest、checkpoint及材料路由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三类材料仿真样本合计1400组，温度范围为300～1500 K。W30Mo70实验测试集收录55组实验采集波形，满足不少于20组实验数据的要求。数据登记同时保留材料、样本编号、试件几何、稳态或瞬态工况、参考温度及来源信息。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1.3 版本对应关系</w:t>
      </w:r>
    </w:p>
    <w:p>
      <w:r>
        <w:rPr>
          <w:rFonts w:ascii="宋体" w:hAnsi="宋体" w:eastAsia="宋体"/>
          <w:b w:val="0"/>
          <w:color w:val="000000"/>
          <w:sz w:val="22"/>
        </w:rPr>
        <w:t>程序文件、技术文档、输入输出文件及接口说明保持版本一致。维护资料随任务保存输入条件、运行配置、输出结果和说明文件，重要版本登记版本号、修改记录和运行日志。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数据库与固定节点维护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分类存储和索引</w:t>
      </w:r>
    </w:p>
    <w:p>
      <w:r>
        <w:rPr>
          <w:rFonts w:ascii="宋体" w:hAnsi="宋体" w:eastAsia="宋体"/>
          <w:b w:val="0"/>
          <w:color w:val="000000"/>
          <w:sz w:val="22"/>
        </w:rPr>
        <w:t>以case为单位管理超声接收波形、温度场节点数据及配置文件。按材料和数据处理阶段组织目录，通过manifest登记样本编号、材料类型、温度、维度、稳态或瞬态类别、波形路径、温度场路径与数据来源。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资料类别</w:t>
            </w:r>
          </w:p>
        </w:tc>
        <w:tc>
          <w:tcPr>
            <w:tcW w:type="dxa" w:w="742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维护内容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原始资料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raw及case目录中的原始波形、温度场和配置，保留数据来源与原始工况。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处理资料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data_process中的预处理结果、索引和配对记录，以及waveforms、temperature_fields和固定采样数据。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样本清单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manifest.json、train_manifest.json、validation_manifest.json、test_manifest.json。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划分与采样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split_config.json、mesh_audit.json、sampling_index.npz，保持各清单与采样定义对应。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多材料集合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material_collection.json中的材料清单、数据划分和模型路由关系。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2.2 配对与采样维护</w:t>
      </w:r>
    </w:p>
    <w:p>
      <w:r>
        <w:rPr>
          <w:rFonts w:ascii="宋体" w:hAnsi="宋体" w:eastAsia="宋体"/>
          <w:b w:val="0"/>
          <w:color w:val="000000"/>
          <w:sz w:val="22"/>
        </w:rPr>
        <w:t>1. 按照样本编号和材料信息核对超声波形与对应温度场，统一时间列、幅值列、温度单位和坐标单位，完成样本配对。</w:t>
      </w:r>
    </w:p>
    <w:p>
      <w:r>
        <w:rPr>
          <w:rFonts w:ascii="宋体" w:hAnsi="宋体" w:eastAsia="宋体"/>
          <w:b w:val="0"/>
          <w:color w:val="000000"/>
          <w:sz w:val="22"/>
        </w:rPr>
        <w:t>2. 保存确定性空间分层采样形成的10000个固定物理节点，以及原始节点编号、物理坐标、温度标签、材料组分、边界身份和接触界面两侧身份。</w:t>
      </w:r>
    </w:p>
    <w:p>
      <w:r>
        <w:rPr>
          <w:rFonts w:ascii="宋体" w:hAnsi="宋体" w:eastAsia="宋体"/>
          <w:b w:val="0"/>
          <w:color w:val="000000"/>
          <w:sz w:val="22"/>
        </w:rPr>
        <w:t>3. 训练、验证、测试和预测沿用同一固定采样索引；训练集、验证集和测试集按材料独立配置，验证清单用于模型评估和最佳权重选择。</w:t>
      </w:r>
    </w:p>
    <w:p>
      <w:r>
        <w:rPr>
          <w:rFonts w:ascii="宋体" w:hAnsi="宋体" w:eastAsia="宋体"/>
          <w:b w:val="0"/>
          <w:color w:val="000000"/>
          <w:sz w:val="22"/>
        </w:rPr>
        <w:t>4. 通过“校验数据”检查数据规模、格式、温度范围、网格和采样一致性，保存数据核查报告。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2.3 原始资料保存与备份</w:t>
      </w:r>
    </w:p>
    <w:p>
      <w:r>
        <w:rPr>
          <w:rFonts w:ascii="宋体" w:hAnsi="宋体" w:eastAsia="宋体"/>
          <w:b w:val="0"/>
          <w:color w:val="000000"/>
          <w:sz w:val="22"/>
        </w:rPr>
        <w:t>源代码、仿真数据和试验数据分类存储并定期备份。原始超声波形及热电偶温度数据设置为只读或单独保存，数据处理在副本上开展；保留预处理、温度场反演和误差计算形成的中间文件与结果文件。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模型与训练配置维护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材料模型及调用关系</w:t>
      </w:r>
    </w:p>
    <w:p>
      <w:r>
        <w:rPr>
          <w:rFonts w:ascii="宋体" w:hAnsi="宋体" w:eastAsia="宋体"/>
          <w:b w:val="0"/>
          <w:color w:val="000000"/>
          <w:sz w:val="22"/>
        </w:rPr>
        <w:t>每种材料保存独立的完整checkpoint、数据清单和模型路由。材料标识将数据集、模型权重与调用关系关联起来。维护时核对材料集合中的清单和路由，保持材料特定的数据统计量、预处理参数、固定节点信息和模型权重对应。</w:t>
      </w:r>
    </w:p>
    <w:p>
      <w:r>
        <w:rPr>
          <w:rFonts w:ascii="宋体" w:hAnsi="宋体" w:eastAsia="宋体"/>
          <w:b w:val="0"/>
          <w:color w:val="000000"/>
          <w:sz w:val="22"/>
        </w:rPr>
        <w:t>运行任务时核对checkpoint记录的模型类型、节点数量、采样指纹、波形长度、温度统计量和预处理参数，使训练、预测及增量训练采用一致的物理节点定义和数据处理规则。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训练模式与物理约束</w:t>
      </w:r>
    </w:p>
    <w:p>
      <w:r>
        <w:rPr>
          <w:rFonts w:ascii="宋体" w:hAnsi="宋体" w:eastAsia="宋体"/>
          <w:b w:val="0"/>
          <w:color w:val="000000"/>
          <w:sz w:val="22"/>
        </w:rPr>
        <w:t>训练支持MSE监督模式和MSE与PINN物理约束组合模式。MSE约束预测温度与参考温度的数值偏差；PINN根据固定节点坐标、材料分区及空间邻接关系构造物理残差，并结合场分布平滑约束共同参与训练。</w:t>
      </w:r>
    </w:p>
    <w:p>
      <w:r>
        <w:rPr>
          <w:rFonts w:ascii="宋体" w:hAnsi="宋体" w:eastAsia="宋体"/>
          <w:b w:val="0"/>
          <w:color w:val="000000"/>
          <w:sz w:val="22"/>
        </w:rPr>
        <w:t>训练目标由MSE监督损失、物理约束损失和平滑损失加权组成，物理约束与平滑损失权重按任务配置保存。接触界面两侧保留独立材料与界面身份，在构造邻接关系和平滑约束时保持各自的物理对应关系。训练配置、损失模式及权重随模型版本保存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3.3 在线增量训练与参数冻结</w:t>
      </w:r>
    </w:p>
    <w:p>
      <w:r>
        <w:rPr>
          <w:rFonts w:ascii="宋体" w:hAnsi="宋体" w:eastAsia="宋体"/>
          <w:b w:val="0"/>
          <w:color w:val="000000"/>
          <w:sz w:val="22"/>
        </w:rPr>
        <w:t>1. 加载基础checkpoint，同时读取数据统计量和任务配置。</w:t>
      </w:r>
    </w:p>
    <w:p>
      <w:r>
        <w:rPr>
          <w:rFonts w:ascii="宋体" w:hAnsi="宋体" w:eastAsia="宋体"/>
          <w:b w:val="0"/>
          <w:color w:val="000000"/>
          <w:sz w:val="22"/>
        </w:rPr>
        <w:t>2. 导入新增实验波形及对应温度记录，关联材料类型、维度和稳态或瞬态工况。</w:t>
      </w:r>
    </w:p>
    <w:p>
      <w:r>
        <w:rPr>
          <w:rFonts w:ascii="宋体" w:hAnsi="宋体" w:eastAsia="宋体"/>
          <w:b w:val="0"/>
          <w:color w:val="000000"/>
          <w:sz w:val="22"/>
        </w:rPr>
        <w:t>3. 保持已经验证的训练参数、预处理规则、测点映射和关键训练条件一致，按冻结配置保留通用特征参数，更新指定参数。CNN和LSTM通用波形表示按配置保留，BP融合层或指定参数随新增数据调整。</w:t>
      </w:r>
    </w:p>
    <w:p>
      <w:r>
        <w:rPr>
          <w:rFonts w:ascii="宋体" w:hAnsi="宋体" w:eastAsia="宋体"/>
          <w:b w:val="0"/>
          <w:color w:val="000000"/>
          <w:sz w:val="22"/>
        </w:rPr>
        <w:t>4. 训练结束后保存新的checkpoint、损失日志、冻结配置、权重更新记录及版本信息。基础模型与增量模型分别保留，结果写入独立目录。</w:t>
      </w:r>
    </w:p>
    <w:p>
      <w:r>
        <w:rPr>
          <w:rFonts w:ascii="宋体" w:hAnsi="宋体" w:eastAsia="宋体"/>
          <w:b w:val="0"/>
          <w:color w:val="000000"/>
          <w:sz w:val="22"/>
        </w:rPr>
        <w:t>模型维护记录通过训练前后模型文件、训练日志和更新记录关联新增数据、参数变化及模型版本，基础模型和增量模型均可独立加载。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4 结果维护与运行核查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4.1 结果文件归档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归档对象</w:t>
            </w:r>
          </w:p>
        </w:tc>
        <w:tc>
          <w:tcPr>
            <w:tcW w:type="dxa" w:w="742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保存内容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温度场结果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节点编号、坐标、预测温度、参考温度、材料和界面身份，完整二维场数组及一维中心线结果。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图形与指标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参考场、预测场、空间误差分布、中心线曲线、五测点与全场及分区误差、独立测速记录。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模型与任务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对应checkpoint、数据清单、任务配置、运行环境元数据、预测日志和模型版本。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文件形式</w:t>
            </w:r>
          </w:p>
        </w:tc>
        <w:tc>
          <w:tcPr>
            <w:tcW w:type="dxa" w:w="742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按任务目录保存CSV、NPZ、JSON、PNG和运行日志，建立模型、数据、配置与结果的关联。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4.2 固定测点与精度核查</w:t>
      </w:r>
    </w:p>
    <w:p>
      <w:r>
        <w:rPr>
          <w:rFonts w:ascii="宋体" w:hAnsi="宋体" w:eastAsia="宋体"/>
          <w:b w:val="0"/>
          <w:color w:val="000000"/>
          <w:sz w:val="22"/>
        </w:rPr>
        <w:t>测点使用相对试件宽度和厚度的归一化坐标。首次在固定物理节点中确定最近节点后固化node_id，并在全部样本及四类工况中复用。分别求五个参考温度和五个AI预测温度的算术平均值，再计算两者相对误差。</w:t>
      </w:r>
    </w:p>
    <w:p>
      <w:r>
        <w:rPr>
          <w:rFonts w:ascii="宋体" w:hAnsi="宋体" w:eastAsia="宋体"/>
          <w:b w:val="0"/>
          <w:color w:val="000000"/>
          <w:sz w:val="22"/>
        </w:rPr>
        <w:t>W30Mo70实验验证覆盖一维稳态、一维瞬态、二维稳态和二维瞬态，五测点平均温度相对误差分别为0.7221%、3.3637%、0.7095%和3.3221%，满足不大于10%的指标要求。核查时保持测点映射、材料及工况信息与对应实验记录一致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4.3 运行与效率核查</w:t>
      </w:r>
    </w:p>
    <w:p>
      <w:r>
        <w:rPr>
          <w:rFonts w:ascii="宋体" w:hAnsi="宋体" w:eastAsia="宋体"/>
          <w:b w:val="0"/>
          <w:color w:val="000000"/>
          <w:sz w:val="22"/>
        </w:rPr>
        <w:t>核查数据导入、模型训练、增量更新、预测和结果可视化各环节的输入输出，保存跨语言调用结果及异常返回记录。采用GPU加速和并行推理完成二维温度场重构，按完成同一完整温度场任务的平均时间统计效率。</w:t>
      </w:r>
    </w:p>
    <w:p>
      <w:r>
        <w:rPr>
          <w:rFonts w:ascii="宋体" w:hAnsi="宋体" w:eastAsia="宋体"/>
          <w:b w:val="0"/>
          <w:color w:val="000000"/>
          <w:sz w:val="22"/>
        </w:rPr>
        <w:t>报告记录4个完整温度场总推理耗时约0.248766 s，平均约0.0622 s/场；相对共轭梯度法、灵敏度法和最速下降法的加速比分别约为300.2、178.5和200.0。效率记录与对应模型、输入数据、计算环境和精度结果一起归档。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4.4 维护资料核对</w:t>
      </w:r>
    </w:p>
    <w:p>
      <w:r>
        <w:rPr>
          <w:rFonts w:ascii="宋体" w:hAnsi="宋体" w:eastAsia="宋体"/>
          <w:b w:val="0"/>
          <w:color w:val="000000"/>
          <w:sz w:val="22"/>
        </w:rPr>
        <w:t>逐项核对文件名称、数量、版本、内容和可读性，检查输入条件、运行配置、输出结果及说明文件是否对应，保持程序、数据和技术文档之间的材料名称、参数定义、评价方法及结果记录一致。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维护手册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