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基于人工智能的温度场反演方法模块测试大纲</w:t>
      </w:r>
    </w:p>
    <w:p w14:paraId="0000000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1 概述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72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本测试大纲面向基于人工智能的温度场反演方法模块（以下简称“AI反演模块”）的测试准备与检验实施。依据该模块的功能设计要求、性能指标与投标响应承诺，对其测试对象、测试场景、测试条件、结果证据和判定方法进行规范化组织。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72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AI反演模块是温度场非接触式重构的关键技术组件。测试工作将按照下图所示的顺序</w:t>
      </w: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>进行</w:t>
      </w:r>
      <w:r>
        <w:rPr>
          <w:rFonts w:hint="eastAsia" w:ascii="宋体" w:hAnsi="宋体" w:eastAsia="宋体" w:cs="宋体"/>
          <w:color w:val="1F1F1F"/>
          <w:rtl w:val="0"/>
        </w:rPr>
        <w:t>，形成“精度评估、效率评估、高级功能（增量训练与迁移学习）验证”三大核心场景的测试闭环。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55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为统一后续场景的工况设置，表 1-1 汇总了测试对象、几何尺度准备、主要测试关注点及对应的输出证据。</w:t>
      </w:r>
    </w:p>
    <w:p w14:paraId="0000000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jc w:val="center"/>
        <w:rPr>
          <w:rFonts w:hint="eastAsia" w:ascii="宋体" w:hAnsi="宋体" w:eastAsia="宋体" w:cs="宋体"/>
          <w:color w:val="1F1F1F"/>
          <w:sz w:val="18"/>
          <w:szCs w:val="18"/>
        </w:rPr>
      </w:pPr>
      <w:r>
        <w:rPr>
          <w:rFonts w:hint="eastAsia" w:ascii="宋体" w:hAnsi="宋体" w:eastAsia="宋体" w:cs="宋体"/>
          <w:color w:val="1F1F1F"/>
          <w:sz w:val="18"/>
          <w:szCs w:val="18"/>
          <w:rtl w:val="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48260</wp:posOffset>
            </wp:positionH>
            <wp:positionV relativeFrom="paragraph">
              <wp:posOffset>53340</wp:posOffset>
            </wp:positionV>
            <wp:extent cx="5565140" cy="3131820"/>
            <wp:effectExtent l="0" t="0" r="12700" b="7620"/>
            <wp:wrapTopAndBottom/>
            <wp:docPr id="40" name="图片 40" descr="601a4b77-dac6-4a46-859e-274a2bf72b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601a4b77-dac6-4a46-859e-274a2bf72b1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514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1F1F1F"/>
          <w:sz w:val="18"/>
          <w:szCs w:val="18"/>
          <w:rtl w:val="0"/>
        </w:rPr>
        <w:t>表 1-1 测试对象与场景覆盖表</w:t>
      </w:r>
    </w:p>
    <w:tbl>
      <w:tblPr>
        <w:tblStyle w:val="13"/>
        <w:tblW w:w="9360" w:type="dxa"/>
        <w:tblInd w:w="0" w:type="dxa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32723E6F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测试对象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几何尺度准备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主要测试关注点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输出证据</w:t>
            </w:r>
          </w:p>
        </w:tc>
      </w:tr>
      <w:tr w14:paraId="029BAFD0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多层材料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 xml:space="preserve">一维模型厚度 </w:t>
            </w:r>
            <m:oMath>
              <m:r>
                <m:rPr/>
                <w:rPr>
                  <w:rFonts w:hint="default" w:ascii="Cambria Math" w:hAnsi="Cambria Math" w:eastAsia="宋体" w:cs="宋体"/>
                  <w:color w:val="1F1F1F"/>
                  <w:sz w:val="22"/>
                  <w:szCs w:val="22"/>
                  <w:shd w:val="clear" w:fill="auto"/>
                  <w:rtl w:val="0"/>
                  <w:lang w:val="en-US" w:eastAsia="zh-CN"/>
                </w:rPr>
                <m:t>H</m:t>
              </m:r>
              <m:r>
                <m:rPr/>
                <w:rPr>
                  <w:rFonts w:hint="default" w:ascii="Cambria Math" w:hAnsi="Cambria Math" w:eastAsia="宋体" w:cs="Cambria Math"/>
                  <w:color w:val="1F1F1F"/>
                  <w:sz w:val="22"/>
                  <w:szCs w:val="22"/>
                  <w:shd w:val="clear" w:fill="auto"/>
                  <w:rtl w:val="0"/>
                  <w:lang w:val="en-US" w:eastAsia="zh-CN"/>
                </w:rPr>
                <m:t>≥</m:t>
              </m:r>
              <m:r>
                <m:rPr/>
                <w:rPr>
                  <w:rFonts w:hint="default" w:ascii="Cambria Math" w:hAnsi="Cambria Math" w:eastAsia="宋体" w:cs="宋体"/>
                  <w:color w:val="1F1F1F"/>
                  <w:sz w:val="22"/>
                  <w:szCs w:val="22"/>
                  <w:shd w:val="clear" w:fill="auto"/>
                  <w:rtl w:val="0"/>
                  <w:lang w:val="en-US" w:eastAsia="zh-CN"/>
                </w:rPr>
                <m:t>5 mm</m:t>
              </m:r>
            </m:oMath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 xml:space="preserve">；二维模型宽度 </w:t>
            </w:r>
            <m:oMath>
              <m:r>
                <m:rPr>
                  <m:sty m:val="p"/>
                </m:rPr>
                <w:rPr>
                  <w:rFonts w:hint="default" w:ascii="Cambria Math" w:hAnsi="宋体" w:eastAsia="宋体" w:cs="宋体"/>
                  <w:color w:val="1F1F1F"/>
                  <w:shd w:val="clear" w:fill="auto"/>
                  <w:rtl w:val="0"/>
                  <w:lang w:val="en-US" w:eastAsia="zh-CN"/>
                </w:rPr>
                <m:t>W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1F1F1F"/>
                  <w:shd w:val="clear" w:fill="auto"/>
                  <w:rtl w:val="0"/>
                  <w:lang w:val="en-US" w:eastAsia="zh-CN"/>
                </w:rPr>
                <m:t>≥5</m:t>
              </m:r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1F1F1F"/>
                  <w:shd w:val="clear" w:fill="auto"/>
                  <w:rtl w:val="0"/>
                  <w:lang w:val="en-US" w:eastAsia="zh-CN"/>
                </w:rPr>
                <m:t>0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1F1F1F"/>
                  <w:shd w:val="clear" w:fill="auto"/>
                  <w:rtl w:val="0"/>
                  <w:lang w:val="en-US" w:eastAsia="zh-CN"/>
                </w:rPr>
                <m:t xml:space="preserve"> mm</m:t>
              </m:r>
            </m:oMath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一维/二维反演尺寸校验、稳态/瞬态多层材料温度梯度反演能力。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温度场重构结果、测点提取温度、相对误差表。</w:t>
            </w:r>
          </w:p>
        </w:tc>
      </w:tr>
      <w:tr w14:paraId="5759505F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金属基复合材料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 xml:space="preserve">一维模型厚度 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1F1F1F"/>
                  <w:shd w:val="clear" w:fill="auto"/>
                  <w:rtl w:val="0"/>
                  <w:lang w:val="en-US" w:eastAsia="zh-CN"/>
                </w:rPr>
                <m:t>H≥</m:t>
              </m:r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color w:val="1F1F1F"/>
                  <w:shd w:val="clear" w:fill="auto"/>
                  <w:rtl w:val="0"/>
                  <w:lang w:val="en-US" w:eastAsia="zh-CN"/>
                </w:rPr>
                <m:t>10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1F1F1F"/>
                  <w:shd w:val="clear" w:fill="auto"/>
                  <w:rtl w:val="0"/>
                  <w:lang w:val="en-US" w:eastAsia="zh-CN"/>
                </w:rPr>
                <m:t xml:space="preserve"> mm</m:t>
              </m:r>
            </m:oMath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；二维模型宽度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1F1F1F"/>
                  <w:shd w:val="clear" w:fill="auto"/>
                  <w:rtl w:val="0"/>
                  <w:lang w:val="en-US" w:eastAsia="zh-CN"/>
                </w:rPr>
                <m:t>W≥50 mm</m:t>
              </m:r>
            </m:oMath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复杂多相状态下的声参量特征提取、高精度测点温度反演响应。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测点温度曲线、反演温度场云图、推理时耗记录。</w:t>
            </w:r>
          </w:p>
        </w:tc>
      </w:tr>
      <w:tr w14:paraId="7A8E758F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碳基/硅基复合材料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 xml:space="preserve">一维模型厚度 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1F1F1F"/>
                  <w:shd w:val="clear" w:fill="auto"/>
                  <w:rtl w:val="0"/>
                  <w:lang w:val="en-US" w:eastAsia="zh-CN"/>
                </w:rPr>
                <m:t>H≥5 mm</m:t>
              </m:r>
            </m:oMath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 xml:space="preserve">；二维模型宽度 </w:t>
            </w:r>
            <m:oMath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color w:val="1F1F1F"/>
                  <w:shd w:val="clear" w:fill="auto"/>
                  <w:rtl w:val="0"/>
                  <w:lang w:val="en-US" w:eastAsia="zh-CN"/>
                </w:rPr>
                <m:t>W≥50 mm</m:t>
              </m:r>
            </m:oMath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 xml:space="preserve">高温极限工况下（室温至 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  <w:lang w:val="en-US" w:eastAsia="zh-CN"/>
              </w:rPr>
              <w:t>1500K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）的动态响应以及跨温区各向异性特征反演。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高温反演温度场、通道时延比对数据、判定记录表。</w:t>
            </w:r>
          </w:p>
        </w:tc>
      </w:tr>
    </w:tbl>
    <w:p w14:paraId="6B097DC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宋体" w:hAnsi="宋体" w:eastAsia="宋体" w:cs="宋体"/>
          <w:color w:val="1F1F1F"/>
          <w:rtl w:val="0"/>
        </w:rPr>
      </w:pPr>
    </w:p>
    <w:p w14:paraId="0000001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2 测试目的及要求</w:t>
      </w:r>
    </w:p>
    <w:p w14:paraId="0000001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2.1 测试目的</w:t>
      </w:r>
    </w:p>
    <w:p w14:paraId="000000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测试工作围绕“材料/几何适配校验、推理重构精度验证、计算效率比对分析、</w:t>
      </w: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>高级功能测试</w:t>
      </w:r>
      <w:r>
        <w:rPr>
          <w:rFonts w:hint="eastAsia" w:ascii="宋体" w:hAnsi="宋体" w:eastAsia="宋体" w:cs="宋体"/>
          <w:color w:val="1F1F1F"/>
          <w:rtl w:val="0"/>
        </w:rPr>
        <w:t>”四个核心维度展开。测试须覆盖</w:t>
      </w: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>从</w:t>
      </w:r>
      <w:r>
        <w:rPr>
          <w:rFonts w:hint="eastAsia" w:ascii="宋体" w:hAnsi="宋体" w:eastAsia="宋体" w:cs="宋体"/>
          <w:color w:val="1F1F1F"/>
          <w:rtl w:val="0"/>
        </w:rPr>
        <w:t xml:space="preserve">室温至 </w:t>
      </w: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>1500K</w:t>
      </w:r>
      <w:r>
        <w:rPr>
          <w:rFonts w:hint="eastAsia" w:ascii="宋体" w:hAnsi="宋体" w:eastAsia="宋体" w:cs="宋体"/>
          <w:color w:val="1F1F1F"/>
          <w:rtl w:val="0"/>
        </w:rPr>
        <w:t>的大温跨范围，全面验证 AI 模型在稳态/瞬态工况下的重构质量与运行效能。</w:t>
      </w:r>
    </w:p>
    <w:p w14:paraId="0000001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验证材料与尺寸适配的严格边界条件</w:t>
      </w:r>
      <w:r>
        <w:rPr>
          <w:rFonts w:hint="eastAsia" w:ascii="宋体" w:hAnsi="宋体" w:eastAsia="宋体" w:cs="宋体"/>
          <w:color w:val="1F1F1F"/>
          <w:rtl w:val="0"/>
        </w:rPr>
        <w:t>：通过前期校验，阻断不符合一维、二维反演最低厚度与宽度要求的试件进入推理流程。</w:t>
      </w:r>
    </w:p>
    <w:p w14:paraId="0000001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验证 AI 模型在大温跨范围内的反演精度</w:t>
      </w:r>
      <w:r>
        <w:rPr>
          <w:rFonts w:hint="eastAsia" w:ascii="宋体" w:hAnsi="宋体" w:eastAsia="宋体" w:cs="宋体"/>
          <w:color w:val="1F1F1F"/>
          <w:rtl w:val="0"/>
        </w:rPr>
        <w:t>：评定在一维/二维稳态、瞬态温度场下，AI 反演结果与基准结果的一致性。</w:t>
      </w:r>
    </w:p>
    <w:p w14:paraId="0000001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验证 GPU 加速条件下的计算效率优势</w:t>
      </w:r>
      <w:r>
        <w:rPr>
          <w:rFonts w:hint="eastAsia" w:ascii="宋体" w:hAnsi="宋体" w:eastAsia="宋体" w:cs="宋体"/>
          <w:color w:val="1F1F1F"/>
          <w:rtl w:val="0"/>
        </w:rPr>
        <w:t>：量化 AI 推理较传统物理迭代算法（共轭梯度法、最速下降法、灵敏度法）的相对加速比。</w:t>
      </w:r>
    </w:p>
    <w:p w14:paraId="0000001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验证模型</w:t>
      </w:r>
      <w:r>
        <w:rPr>
          <w:rFonts w:hint="eastAsia" w:ascii="宋体" w:hAnsi="宋体" w:eastAsia="宋体" w:cs="宋体"/>
          <w:b/>
          <w:bCs/>
          <w:color w:val="1F1F1F"/>
          <w:rtl w:val="0"/>
          <w:lang w:val="en-US" w:eastAsia="zh-CN"/>
        </w:rPr>
        <w:t>高级功能完整性</w:t>
      </w:r>
      <w:r>
        <w:rPr>
          <w:rFonts w:hint="eastAsia" w:ascii="宋体" w:hAnsi="宋体" w:eastAsia="宋体" w:cs="宋体"/>
          <w:color w:val="1F1F1F"/>
          <w:rtl w:val="0"/>
        </w:rPr>
        <w:t>：考核增量训练的权重更新功能，以及跨材料迁移学习的参数冻结与调用分离机制。</w:t>
      </w:r>
    </w:p>
    <w:p w14:paraId="0000002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2.2 功能要求</w: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72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功能要求在测试准备阶段予以固化，并在执行场景中转换为可定量核查的输出和记录，具体落实方式见表 2-1。</w:t>
      </w:r>
    </w:p>
    <w:p w14:paraId="0000002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表 2-1 功能要求落实表</w:t>
      </w:r>
    </w:p>
    <w:tbl>
      <w:tblPr>
        <w:tblStyle w:val="14"/>
        <w:tblW w:w="9360" w:type="dxa"/>
        <w:tblInd w:w="0" w:type="dxa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3DDA52E7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功能项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测试要求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场景化落实方式</w:t>
            </w:r>
          </w:p>
        </w:tc>
      </w:tr>
      <w:tr w14:paraId="13A1CD22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尺寸与几何自适应核查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建立针对一维/二维不同材料的最小厚度和宽度阈值检查逻辑。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在测试启动前执行物理尺寸的前置审查，记录通过/阻断日志。</w:t>
            </w:r>
          </w:p>
        </w:tc>
      </w:tr>
      <w:tr w14:paraId="7E694310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推理精度评估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 xml:space="preserve">覆盖室温至 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  <w:lang w:val="en-US" w:eastAsia="zh-CN"/>
              </w:rPr>
              <w:t>1500K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，一维/二维稳态和瞬态温度重构，评估多通道及测点预测质量。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提取试件上 5 个特定测点并计算相对误差。</w:t>
            </w:r>
          </w:p>
        </w:tc>
      </w:tr>
      <w:tr w14:paraId="5310E464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效率对比评估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记录单点 AI 推理时间，并与传统物理算法对比加速性能。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在相同工况下运行共轭梯度法、灵敏度法等，计算并输出整体加速比。</w:t>
            </w:r>
          </w:p>
        </w:tc>
      </w:tr>
      <w:tr w14:paraId="46246A98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增量训练检验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新波形数据注入，调用在线训练模块，监控反向传播训练状态并对比更新前后的权重变化。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提取训练前后 Checkpoints 权重参数。</w:t>
            </w:r>
          </w:p>
        </w:tc>
      </w:tr>
      <w:tr w14:paraId="6BE1CA87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迁移学习逻辑审查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审查不同材料下模型权重的独立分离和存储架构，以及底层代码中“参数冻结”机制的生效状态。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核查迁移配置文件，静态审查冻结机制源代码。</w:t>
            </w:r>
          </w:p>
        </w:tc>
      </w:tr>
    </w:tbl>
    <w:p w14:paraId="0000003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2.3 性能指标</w:t>
      </w:r>
    </w:p>
    <w:p w14:paraId="000000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72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性能指标引入严谨的数学公式进行量化评估。主要预测量包括反演温度场的单点预测耗时、测试点相对误差以及相比于物理经典算法的加速比。</w:t>
      </w:r>
    </w:p>
    <w:p w14:paraId="00000037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1. 反演相对误差计算公式</w:t>
      </w:r>
    </w:p>
    <w:p w14:paraId="000000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72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drawing>
          <wp:inline distT="19050" distB="19050" distL="19050" distR="19050">
            <wp:extent cx="5905500" cy="591820"/>
            <wp:effectExtent l="0" t="0" r="0" b="0"/>
            <wp:docPr id="3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1F1F"/>
          <w:rtl w:val="0"/>
        </w:rPr>
        <w:t>其中</w:t>
      </w:r>
      <m:oMath>
        <m:sSub>
          <m:sSubPr>
            <m:ctrlPr>
              <w:rPr>
                <w:rFonts w:ascii="Cambria Math" w:hAnsi="Cambria Math" w:cs="宋体"/>
                <w:i/>
                <w:color w:val="1F1F1F"/>
                <w:rtl w:val="0"/>
              </w:rPr>
            </m:ctrlPr>
          </m:sSubPr>
          <m:e>
            <m:bar>
              <m:barPr>
                <m:pos m:val="top"/>
                <m:ctrlPr>
                  <w:rPr>
                    <w:rFonts w:hint="default" w:ascii="Cambria Math" w:hAnsi="Cambria Math" w:eastAsia="宋体" w:cs="宋体"/>
                    <w:i/>
                    <w:color w:val="1F1F1F"/>
                    <w:rtl w:val="0"/>
                    <w:lang w:val="en-US" w:eastAsia="zh-CN"/>
                  </w:rPr>
                </m:ctrlPr>
              </m:barPr>
              <m:e>
                <m:r>
                  <m:rPr/>
                  <w:rPr>
                    <w:rFonts w:hint="default" w:ascii="Cambria Math" w:hAnsi="Cambria Math" w:eastAsia="宋体" w:cs="宋体"/>
                    <w:color w:val="1F1F1F"/>
                    <w:rtl w:val="0"/>
                    <w:lang w:val="en-US" w:eastAsia="zh-CN"/>
                  </w:rPr>
                  <m:t>T</m:t>
                </m:r>
                <m:ctrlPr>
                  <w:rPr>
                    <w:rFonts w:hint="default" w:ascii="Cambria Math" w:hAnsi="Cambria Math" w:eastAsia="宋体" w:cs="宋体"/>
                    <w:i/>
                    <w:color w:val="1F1F1F"/>
                    <w:rtl w:val="0"/>
                    <w:lang w:val="en-US" w:eastAsia="zh-CN"/>
                  </w:rPr>
                </m:ctrlPr>
              </m:e>
            </m:bar>
            <m:ctrlPr>
              <w:rPr>
                <w:rFonts w:ascii="Cambria Math" w:hAnsi="Cambria Math" w:cs="宋体"/>
                <w:i/>
                <w:color w:val="1F1F1F"/>
                <w:rtl w:val="0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color w:val="1F1F1F"/>
                <w:rtl w:val="0"/>
                <w:lang w:val="en-US" w:eastAsia="zh-CN"/>
              </w:rPr>
              <m:t>cal</m:t>
            </m:r>
            <m:ctrlPr>
              <w:rPr>
                <w:rFonts w:ascii="Cambria Math" w:hAnsi="Cambria Math" w:cs="宋体"/>
                <w:i/>
                <w:color w:val="1F1F1F"/>
                <w:rtl w:val="0"/>
              </w:rPr>
            </m:ctrlPr>
          </m:sub>
        </m:sSub>
      </m:oMath>
      <w:r>
        <w:rPr>
          <w:rFonts w:hint="eastAsia" w:ascii="宋体" w:hAnsi="宋体" w:eastAsia="宋体" w:cs="宋体"/>
          <w:color w:val="1F1F1F"/>
          <w:rtl w:val="0"/>
        </w:rPr>
        <w:t>为 5 个测点 AI 反演计算温度的算术平均值；</w:t>
      </w:r>
      <m:oMath>
        <m:sSub>
          <m:sSubPr>
            <m:ctrlPr>
              <w:rPr>
                <w:rFonts w:hint="eastAsia" w:ascii="Cambria Math" w:hAnsi="Cambria Math" w:eastAsia="宋体" w:cs="宋体"/>
                <w:color w:val="1F1F1F"/>
                <w:rtl w:val="0"/>
              </w:rPr>
            </m:ctrlPr>
          </m:sSubPr>
          <m:e>
            <m:bar>
              <m:barPr>
                <m:pos m:val="top"/>
                <m:ctrlPr>
                  <w:rPr>
                    <w:rFonts w:hint="eastAsia" w:ascii="Cambria Math" w:hAnsi="Cambria Math" w:eastAsia="宋体" w:cs="宋体"/>
                    <w:color w:val="1F1F1F"/>
                    <w:rtl w:val="0"/>
                    <w:lang w:val="en-US" w:eastAsia="zh-CN"/>
                  </w:rPr>
                </m:ctrlPr>
              </m:bar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color w:val="1F1F1F"/>
                    <w:rtl w:val="0"/>
                    <w:lang w:val="en-US" w:eastAsia="zh-CN"/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color w:val="1F1F1F"/>
                    <w:rtl w:val="0"/>
                    <w:lang w:val="en-US" w:eastAsia="zh-CN"/>
                  </w:rPr>
                </m:ctrlPr>
              </m:e>
            </m:bar>
            <m:ctrlPr>
              <w:rPr>
                <w:rFonts w:hint="eastAsia" w:ascii="Cambria Math" w:hAnsi="Cambria Math" w:eastAsia="宋体" w:cs="宋体"/>
                <w:color w:val="1F1F1F"/>
                <w:rtl w:val="0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宋体"/>
                <w:color w:val="1F1F1F"/>
                <w:rtl w:val="0"/>
                <w:lang w:val="en-US" w:eastAsia="zh-CN"/>
              </w:rPr>
              <m:t>ref</m:t>
            </m:r>
            <m:ctrlPr>
              <w:rPr>
                <w:rFonts w:hint="eastAsia" w:ascii="Cambria Math" w:hAnsi="Cambria Math" w:eastAsia="宋体" w:cs="宋体"/>
                <w:color w:val="1F1F1F"/>
                <w:rtl w:val="0"/>
              </w:rPr>
            </m:ctrlPr>
          </m:sub>
        </m:sSub>
      </m:oMath>
      <w:r>
        <w:rPr>
          <w:rFonts w:hint="eastAsia" w:ascii="宋体" w:hAnsi="宋体" w:eastAsia="宋体" w:cs="宋体"/>
          <w:color w:val="1F1F1F"/>
          <w:rtl w:val="0"/>
        </w:rPr>
        <w:t>为测点实际温度平均值基准；</w:t>
      </w:r>
      <m:oMath>
        <m:r>
          <m:rPr/>
          <w:rPr>
            <w:rFonts w:ascii="Cambria Math" w:hAnsi="Cambria Math" w:cs="宋体"/>
            <w:color w:val="1F1F1F"/>
            <w:rtl w:val="0"/>
          </w:rPr>
          <m:t>ε</m:t>
        </m:r>
      </m:oMath>
      <w:r>
        <w:rPr>
          <w:rFonts w:hint="eastAsia" w:ascii="宋体" w:hAnsi="宋体" w:eastAsia="宋体" w:cs="宋体"/>
          <w:color w:val="1F1F1F"/>
          <w:rtl w:val="0"/>
        </w:rPr>
        <w:t xml:space="preserve">为微小的正实数（防分母零失效算子，此处取值 </w:t>
      </w:r>
      <m:oMath>
        <m:r>
          <m:rPr/>
          <w:rPr>
            <w:rFonts w:ascii="Cambria Math" w:hAnsi="Cambria Math" w:cs="宋体"/>
            <w:color w:val="1F1F1F"/>
            <w:rtl w:val="0"/>
          </w:rPr>
          <m:t>ε</m:t>
        </m:r>
        <m:r>
          <m:rPr/>
          <w:rPr>
            <w:rFonts w:hint="default" w:ascii="Cambria Math" w:hAnsi="Cambria Math" w:eastAsia="宋体" w:cs="宋体"/>
            <w:color w:val="1F1F1F"/>
            <w:rtl w:val="0"/>
            <w:lang w:val="en-US" w:eastAsia="zh-CN"/>
          </w:rPr>
          <m:t>=1.0K</m:t>
        </m:r>
      </m:oMath>
      <w:r>
        <w:rPr>
          <w:rFonts w:hint="eastAsia" w:ascii="宋体" w:hAnsi="宋体" w:eastAsia="宋体" w:cs="宋体"/>
          <w:color w:val="1F1F1F"/>
          <w:rtl w:val="0"/>
        </w:rPr>
        <w:t>）。技术要求目标为</w:t>
      </w:r>
      <m:oMath>
        <m:r>
          <m:rPr/>
          <w:rPr>
            <w:rFonts w:ascii="Cambria Math" w:hAnsi="Cambria Math" w:cs="宋体"/>
            <w:color w:val="1F1F1F"/>
            <w:rtl w:val="0"/>
          </w:rPr>
          <m:t>δ</m:t>
        </m:r>
        <m:r>
          <m:rPr/>
          <w:rPr>
            <w:rFonts w:hint="default" w:ascii="Cambria Math" w:hAnsi="Cambria Math" w:eastAsia="宋体" w:cs="宋体"/>
            <w:color w:val="1F1F1F"/>
            <w:rtl w:val="0"/>
            <w:lang w:val="en-US" w:eastAsia="zh-CN"/>
          </w:rPr>
          <m:t xml:space="preserve"> T </m:t>
        </m:r>
        <m:r>
          <m:rPr/>
          <w:rPr>
            <w:rFonts w:hint="default" w:ascii="Cambria Math" w:hAnsi="Cambria Math" w:eastAsia="宋体" w:cs="Cambria Math"/>
            <w:color w:val="1F1F1F"/>
            <w:rtl w:val="0"/>
            <w:lang w:val="en-US" w:eastAsia="zh-CN"/>
          </w:rPr>
          <m:t>≤</m:t>
        </m:r>
        <m:r>
          <m:rPr/>
          <w:rPr>
            <w:rFonts w:hint="default" w:ascii="Cambria Math" w:hAnsi="Cambria Math" w:eastAsia="宋体" w:cs="宋体"/>
            <w:color w:val="1F1F1F"/>
            <w:rtl w:val="0"/>
            <w:lang w:val="en-US" w:eastAsia="zh-CN"/>
          </w:rPr>
          <m:t>10</m:t>
        </m:r>
        <m:r>
          <m:rPr/>
          <w:rPr>
            <w:rFonts w:hint="default" w:ascii="Cambria Math" w:hAnsi="Cambria Math" w:eastAsia="宋体" w:cs="Cambria Math"/>
            <w:color w:val="1F1F1F"/>
            <w:rtl w:val="0"/>
            <w:lang w:val="en-US" w:eastAsia="zh-CN"/>
          </w:rPr>
          <m:t>%</m:t>
        </m:r>
      </m:oMath>
      <w:r>
        <w:rPr>
          <w:rFonts w:hint="eastAsia" w:ascii="宋体" w:hAnsi="宋体" w:eastAsia="宋体" w:cs="宋体"/>
          <w:color w:val="1F1F1F"/>
          <w:rtl w:val="0"/>
        </w:rPr>
        <w:t xml:space="preserve"> 。</w:t>
      </w:r>
    </w:p>
    <w:p w14:paraId="00000039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2. 推理计算效率加速比计算公式</w:t>
      </w:r>
    </w:p>
    <w:p w14:paraId="000000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72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</w:rPr>
        <w:drawing>
          <wp:inline distT="19050" distB="19050" distL="19050" distR="19050">
            <wp:extent cx="5905500" cy="553085"/>
            <wp:effectExtent l="0" t="0" r="0" b="0"/>
            <wp:docPr id="3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5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1F1F1F"/>
          <w:rtl w:val="0"/>
        </w:rPr>
        <w:t xml:space="preserve">其中 </w:t>
      </w:r>
      <m:oMath>
        <m:sSub>
          <m:sSubPr>
            <m:ctrlPr>
              <w:rPr>
                <w:rFonts w:hint="default" w:ascii="Cambria Math" w:hAnsi="Cambria Math" w:eastAsia="宋体" w:cs="宋体"/>
                <w:i/>
                <w:color w:val="1F1F1F"/>
                <w:sz w:val="22"/>
                <w:szCs w:val="22"/>
                <w:rtl w:val="0"/>
                <w:lang w:eastAsia="zh-CN"/>
              </w:rPr>
            </m:ctrlPr>
          </m:sSubPr>
          <m:e>
            <m:r>
              <m:rPr/>
              <w:rPr>
                <w:rFonts w:hint="default" w:ascii="Cambria Math" w:hAnsi="Cambria Math" w:eastAsia="宋体" w:cs="宋体"/>
                <w:color w:val="1F1F1F"/>
                <w:sz w:val="22"/>
                <w:szCs w:val="22"/>
                <w:rtl w:val="0"/>
                <w:lang w:val="en-US" w:eastAsia="zh-CN"/>
              </w:rPr>
              <m:t>t</m:t>
            </m:r>
            <m:ctrlPr>
              <w:rPr>
                <w:rFonts w:hint="default" w:ascii="Cambria Math" w:hAnsi="Cambria Math" w:eastAsia="宋体" w:cs="宋体"/>
                <w:i/>
                <w:color w:val="1F1F1F"/>
                <w:sz w:val="22"/>
                <w:szCs w:val="22"/>
                <w:rtl w:val="0"/>
                <w:lang w:eastAsia="zh-CN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color w:val="1F1F1F"/>
                <w:sz w:val="22"/>
                <w:szCs w:val="22"/>
                <w:rtl w:val="0"/>
                <w:lang w:val="en-US" w:eastAsia="zh-CN"/>
              </w:rPr>
              <m:t>traditional</m:t>
            </m:r>
            <m:ctrlPr>
              <w:rPr>
                <w:rFonts w:hint="default" w:ascii="Cambria Math" w:hAnsi="Cambria Math" w:eastAsia="宋体" w:cs="宋体"/>
                <w:i/>
                <w:color w:val="1F1F1F"/>
                <w:sz w:val="22"/>
                <w:szCs w:val="22"/>
                <w:rtl w:val="0"/>
                <w:lang w:eastAsia="zh-CN"/>
              </w:rPr>
            </m:ctrlPr>
          </m:sub>
        </m:sSub>
      </m:oMath>
      <w:r>
        <w:rPr>
          <w:rFonts w:hint="eastAsia" w:ascii="宋体" w:hAnsi="宋体" w:eastAsia="宋体" w:cs="宋体"/>
          <w:color w:val="1F1F1F"/>
          <w:rtl w:val="0"/>
        </w:rPr>
        <w:t xml:space="preserve"> 为传统物理算法（共轭梯度法、最速下降法或灵敏度法）在相同测试硬件平台下完成单点预测所需的最低平均耗时；</w:t>
      </w:r>
      <m:oMath>
        <m:sSub>
          <m:sSubPr>
            <m:ctrlPr>
              <w:rPr>
                <w:rFonts w:ascii="Cambria Math" w:hAnsi="Cambria Math" w:cs="宋体"/>
                <w:i/>
                <w:color w:val="1F1F1F"/>
                <w:rtl w:val="0"/>
              </w:rPr>
            </m:ctrlPr>
          </m:sSubPr>
          <m:e>
            <m:r>
              <m:rPr/>
              <w:rPr>
                <w:rFonts w:hint="default" w:ascii="Cambria Math" w:hAnsi="Cambria Math" w:eastAsia="宋体" w:cs="宋体"/>
                <w:color w:val="1F1F1F"/>
                <w:rtl w:val="0"/>
                <w:lang w:val="en-US" w:eastAsia="zh-CN"/>
              </w:rPr>
              <m:t>t</m:t>
            </m:r>
            <m:ctrlPr>
              <w:rPr>
                <w:rFonts w:ascii="Cambria Math" w:hAnsi="Cambria Math" w:cs="宋体"/>
                <w:i/>
                <w:color w:val="1F1F1F"/>
                <w:rtl w:val="0"/>
              </w:rPr>
            </m:ctrlPr>
          </m:e>
          <m:sub>
            <m:r>
              <m:rPr/>
              <w:rPr>
                <w:rFonts w:hint="default" w:ascii="Cambria Math" w:hAnsi="Cambria Math" w:eastAsia="宋体" w:cs="宋体"/>
                <w:color w:val="1F1F1F"/>
                <w:rtl w:val="0"/>
                <w:lang w:val="en-US" w:eastAsia="zh-CN"/>
              </w:rPr>
              <m:t>AI</m:t>
            </m:r>
            <m:ctrlPr>
              <w:rPr>
                <w:rFonts w:ascii="Cambria Math" w:hAnsi="Cambria Math" w:cs="宋体"/>
                <w:i/>
                <w:color w:val="1F1F1F"/>
                <w:rtl w:val="0"/>
              </w:rPr>
            </m:ctrlPr>
          </m:sub>
        </m:sSub>
      </m:oMath>
      <w:r>
        <w:rPr>
          <w:rFonts w:hint="eastAsia" w:ascii="宋体" w:hAnsi="宋体" w:eastAsia="宋体" w:cs="宋体"/>
          <w:color w:val="1F1F1F"/>
          <w:rtl w:val="0"/>
        </w:rPr>
        <w:t xml:space="preserve"> 为 AI 驱动模型完成单点预测的平均耗时。技术要求目标为 </w:t>
      </w:r>
      <m:oMath>
        <m:sSub>
          <m:sSubPr>
            <m:ctrlPr>
              <w:rPr>
                <w:rFonts w:hint="eastAsia" w:ascii="Cambria Math" w:hAnsi="Cambria Math" w:eastAsia="宋体" w:cs="宋体"/>
                <w:color w:val="1F1F1F"/>
                <w:rtl w:val="0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1F1F1F"/>
                <w:rtl w:val="0"/>
                <w:lang w:val="en-US" w:eastAsia="zh-CN"/>
              </w:rPr>
              <m:t>t</m:t>
            </m:r>
            <m:ctrlPr>
              <w:rPr>
                <w:rFonts w:hint="eastAsia" w:ascii="Cambria Math" w:hAnsi="Cambria Math" w:eastAsia="宋体" w:cs="宋体"/>
                <w:color w:val="1F1F1F"/>
                <w:rtl w:val="0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1F1F1F"/>
                <w:rtl w:val="0"/>
                <w:lang w:val="en-US" w:eastAsia="zh-CN"/>
              </w:rPr>
              <m:t>AI</m:t>
            </m:r>
            <m:ctrlPr>
              <w:rPr>
                <w:rFonts w:hint="eastAsia" w:ascii="Cambria Math" w:hAnsi="Cambria Math" w:eastAsia="宋体" w:cs="宋体"/>
                <w:color w:val="1F1F1F"/>
                <w:rtl w:val="0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Cambria Math"/>
            <w:color w:val="1F1F1F"/>
            <w:rtl w:val="0"/>
          </w:rPr>
          <m:t>≤</m:t>
        </m:r>
        <m:r>
          <m:rPr>
            <m:sty m:val="p"/>
          </m:rPr>
          <w:rPr>
            <w:rFonts w:hint="default" w:ascii="Cambria Math" w:hAnsi="Cambria Math" w:eastAsia="宋体" w:cs="宋体"/>
            <w:color w:val="1F1F1F"/>
            <w:rtl w:val="0"/>
            <w:lang w:val="en-US" w:eastAsia="zh-CN"/>
          </w:rPr>
          <m:t xml:space="preserve"> 1s/point</m:t>
        </m:r>
      </m:oMath>
      <w:r>
        <w:rPr>
          <w:rFonts w:hint="eastAsia" w:ascii="宋体" w:hAnsi="宋体" w:eastAsia="宋体" w:cs="宋体"/>
          <w:color w:val="1F1F1F"/>
          <w:rtl w:val="0"/>
        </w:rPr>
        <w:t xml:space="preserve">，且加速比 </w:t>
      </w:r>
      <m:oMath>
        <m:r>
          <m:rPr/>
          <w:rPr>
            <w:rFonts w:hint="default" w:ascii="Cambria Math" w:hAnsi="Cambria Math" w:eastAsia="宋体" w:cs="宋体"/>
            <w:color w:val="1F1F1F"/>
            <w:sz w:val="22"/>
            <w:szCs w:val="22"/>
            <w:rtl w:val="0"/>
            <w:lang w:val="en-US" w:eastAsia="zh-CN"/>
          </w:rPr>
          <m:t xml:space="preserve">Speedup </m:t>
        </m:r>
        <m:r>
          <m:rPr/>
          <w:rPr>
            <w:rFonts w:hint="default" w:ascii="Cambria Math" w:hAnsi="Cambria Math" w:eastAsia="宋体" w:cs="Cambria Math"/>
            <w:color w:val="1F1F1F"/>
            <w:sz w:val="22"/>
            <w:szCs w:val="22"/>
            <w:rtl w:val="0"/>
            <w:lang w:val="en-US" w:eastAsia="zh-CN"/>
          </w:rPr>
          <m:t>≥ 10</m:t>
        </m:r>
      </m:oMath>
      <w:r>
        <w:rPr>
          <w:rFonts w:hint="eastAsia" w:ascii="宋体" w:hAnsi="宋体" w:eastAsia="宋体" w:cs="宋体"/>
          <w:color w:val="1F1F1F"/>
          <w:rtl w:val="0"/>
        </w:rPr>
        <w:t>。</w:t>
      </w:r>
    </w:p>
    <w:p w14:paraId="36FFE25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  <w:rtl w:val="0"/>
        </w:rPr>
      </w:pPr>
    </w:p>
    <w:p w14:paraId="0000003B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3 测试准备</w:t>
      </w:r>
    </w:p>
    <w:p w14:paraId="0000003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3.1 环境配置准备</w:t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72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环境配置准备覆盖 AI 计算端服务器硬件条件、基础软件栈以及可视化调试工具。配置检查通过后形成环境冻结记录。</w:t>
      </w:r>
    </w:p>
    <w:p w14:paraId="0000003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表 3-1 环境配置准备表</w:t>
      </w:r>
    </w:p>
    <w:tbl>
      <w:tblPr>
        <w:tblStyle w:val="15"/>
        <w:tblW w:w="9360" w:type="dxa"/>
        <w:tblInd w:w="0" w:type="dxa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76C75492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准备项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规范化硬件/软件条件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检查记录要求</w:t>
            </w:r>
          </w:p>
        </w:tc>
      </w:tr>
      <w:tr w14:paraId="3E448456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AI 计算端 CPU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Intel Xeon 4210R 或同等及以上性能处理器。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记录 CPU 物理核心数及主频参数。</w:t>
            </w:r>
          </w:p>
        </w:tc>
      </w:tr>
      <w:tr w14:paraId="2B53721E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显卡加速单元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NVIDIA GeForce RTX 3090 GPU，显存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  <w:lang w:val="en-US" w:eastAsia="zh-CN"/>
              </w:rPr>
              <w:t>大于24GB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记录 CUDA 核心运行状态及驱动适配版本。</w:t>
            </w:r>
          </w:p>
        </w:tc>
      </w:tr>
      <w:tr w14:paraId="38CCD729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系统内存与 OS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内存容量容量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  <w:lang w:val="en-US" w:eastAsia="zh-CN"/>
              </w:rPr>
              <w:t>大于256G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，Windows 操作系统。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记录 Windows 具体构建版本号及可用运行内存。</w:t>
            </w:r>
          </w:p>
        </w:tc>
      </w:tr>
      <w:tr w14:paraId="593E936C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软件环境栈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Anaconda 环境，Python 版本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  <w:lang w:val="en-US" w:eastAsia="zh-CN"/>
              </w:rPr>
              <w:t>大于3.13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记录 Python 解释器路径。</w:t>
            </w:r>
          </w:p>
        </w:tc>
      </w:tr>
      <w:tr w14:paraId="292E4E85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依赖库配置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一致性审查 requirements.txt 中所列的所有 Python 依赖。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记录第三方计算库版本。</w:t>
            </w:r>
          </w:p>
        </w:tc>
      </w:tr>
      <w:tr w14:paraId="342B7978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默认相对路径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输入根目录固定为 database，输出根目录固定为 result。相对路径以 ai_model 包目录为基准解析。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记录绝对路径映射关系。</w:t>
            </w:r>
          </w:p>
        </w:tc>
      </w:tr>
    </w:tbl>
    <w:p w14:paraId="0000005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3.2 输入资料与标准工况准备</w:t>
      </w:r>
    </w:p>
    <w:p w14:paraId="000000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72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输入资料必须在测试执行前整理成集，并确认来源及单位。</w:t>
      </w:r>
    </w:p>
    <w:p w14:paraId="0000005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表 3-2 输入资料准备表</w:t>
      </w:r>
    </w:p>
    <w:tbl>
      <w:tblPr>
        <w:tblStyle w:val="16"/>
        <w:tblW w:w="9360" w:type="dxa"/>
        <w:tblInd w:w="0" w:type="dxa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333"/>
        <w:gridCol w:w="2907"/>
      </w:tblGrid>
      <w:tr w14:paraId="4C219EE5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资料类别</w:t>
            </w:r>
          </w:p>
        </w:tc>
        <w:tc>
          <w:tcPr>
            <w:tcW w:w="333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标准格式与准备要求</w:t>
            </w:r>
          </w:p>
        </w:tc>
        <w:tc>
          <w:tcPr>
            <w:tcW w:w="29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校验要点</w:t>
            </w:r>
          </w:p>
        </w:tc>
      </w:tr>
      <w:tr w14:paraId="61F7FBEE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超声波形数据</w:t>
            </w:r>
          </w:p>
        </w:tc>
        <w:tc>
          <w:tcPr>
            <w:tcW w:w="333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CSV 格式。至少包含时间列和超声信号幅值列；多通道数据需具备明确的通道、收发点和测点编号。</w:t>
            </w:r>
          </w:p>
        </w:tc>
        <w:tc>
          <w:tcPr>
            <w:tcW w:w="29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5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检查是否存在缺失行，验证多通道映射关系。</w:t>
            </w:r>
          </w:p>
        </w:tc>
      </w:tr>
      <w:tr w14:paraId="182A84F7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材料物性参数</w:t>
            </w:r>
          </w:p>
        </w:tc>
        <w:tc>
          <w:tcPr>
            <w:tcW w:w="333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 xml:space="preserve">涵盖材料类型、密度、弹性模量、泊松比随温度（室温至 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  <w:lang w:val="en-US" w:eastAsia="zh-CN"/>
              </w:rPr>
              <w:t>1500K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）变化的参数表。</w:t>
            </w:r>
          </w:p>
        </w:tc>
        <w:tc>
          <w:tcPr>
            <w:tcW w:w="29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核对插值插值拟合关系，数值单位换算为 SI 标准制。</w:t>
            </w:r>
          </w:p>
        </w:tc>
      </w:tr>
      <w:tr w14:paraId="22DB4F1B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试件几何参数</w:t>
            </w:r>
          </w:p>
        </w:tc>
        <w:tc>
          <w:tcPr>
            <w:tcW w:w="333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明确试件厚度、宽度、测点坐标、发射换能器与接收传感器物理坐标、反演维度。</w:t>
            </w:r>
          </w:p>
        </w:tc>
        <w:tc>
          <w:tcPr>
            <w:tcW w:w="29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校验几何参数与一维/二维分析方法的配对有效性。</w:t>
            </w:r>
          </w:p>
        </w:tc>
      </w:tr>
      <w:tr w14:paraId="7A78C166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测试工况配置</w:t>
            </w:r>
          </w:p>
        </w:tc>
        <w:tc>
          <w:tcPr>
            <w:tcW w:w="3333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JSON/YAML 格式配置文件。指定测试材料、反演类型（稳态/瞬态、1D/2D）、加载权重路径等。</w:t>
            </w:r>
          </w:p>
        </w:tc>
        <w:tc>
          <w:tcPr>
            <w:tcW w:w="2907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6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确认模型路径存在。</w:t>
            </w:r>
          </w:p>
        </w:tc>
      </w:tr>
    </w:tbl>
    <w:p w14:paraId="7577FE92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宋体" w:hAnsi="宋体" w:eastAsia="宋体" w:cs="宋体"/>
          <w:color w:val="1F1F1F"/>
          <w:rtl w:val="0"/>
          <w:lang w:eastAsia="zh-CN"/>
        </w:rPr>
      </w:pPr>
      <w:r>
        <w:rPr>
          <w:rFonts w:hint="eastAsia" w:ascii="宋体" w:hAnsi="宋体" w:eastAsia="宋体" w:cs="宋体"/>
          <w:color w:val="1F1F1F"/>
          <w:rtl w:val="0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34075" cy="3315335"/>
            <wp:effectExtent l="0" t="0" r="9525" b="6985"/>
            <wp:wrapTopAndBottom/>
            <wp:docPr id="41" name="图片 41" descr="wave_plot_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wave_plot_9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6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 测试检验场景</w:t>
      </w:r>
    </w:p>
    <w:p w14:paraId="0000006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4.1 场景一：精度评估测试场景</w:t>
      </w:r>
    </w:p>
    <w:p w14:paraId="000000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72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 xml:space="preserve">本场景主要用于在室温至 </w:t>
      </w: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>1500K</w:t>
      </w:r>
      <w:r>
        <w:rPr>
          <w:rFonts w:hint="eastAsia" w:ascii="宋体" w:hAnsi="宋体" w:eastAsia="宋体" w:cs="宋体"/>
          <w:color w:val="1F1F1F"/>
          <w:rtl w:val="0"/>
        </w:rPr>
        <w:t>温度变化范围内，检验 AI 温度场反演方法在多材料适配条件下一维、二维（稳态与瞬态）重构结果的计算准确性。</w:t>
      </w:r>
    </w:p>
    <w:p w14:paraId="0000006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4.1.1 试验测试的技术指标</w:t>
      </w:r>
    </w:p>
    <w:p w14:paraId="0000006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 xml:space="preserve">在室温至 </w:t>
      </w: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>1500K</w:t>
      </w:r>
      <w:r>
        <w:rPr>
          <w:rFonts w:hint="eastAsia" w:ascii="宋体" w:hAnsi="宋体" w:eastAsia="宋体" w:cs="宋体"/>
          <w:color w:val="1F1F1F"/>
          <w:rtl w:val="0"/>
        </w:rPr>
        <w:t xml:space="preserve"> 的温度变化范围内，一维/二维稳态和瞬态温度场反演的相对误差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1F1F1F"/>
            <w:rtl w:val="0"/>
          </w:rPr>
          <m:t>δ</m:t>
        </m:r>
        <m:r>
          <m:rPr>
            <m:sty m:val="p"/>
          </m:rPr>
          <w:rPr>
            <w:rFonts w:hint="eastAsia" w:ascii="Cambria Math" w:hAnsi="Cambria Math" w:eastAsia="宋体" w:cs="宋体"/>
            <w:color w:val="1F1F1F"/>
            <w:rtl w:val="0"/>
            <w:lang w:val="en-US" w:eastAsia="zh-CN"/>
          </w:rPr>
          <m:t xml:space="preserve"> T ≤10%</m:t>
        </m:r>
      </m:oMath>
      <w:r>
        <w:rPr>
          <w:rFonts w:hint="eastAsia" w:ascii="宋体" w:hAnsi="宋体" w:eastAsia="宋体" w:cs="宋体"/>
          <w:color w:val="1F1F1F"/>
          <w:rtl w:val="0"/>
        </w:rPr>
        <w:t>。</w:t>
      </w:r>
    </w:p>
    <w:p w14:paraId="0000006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测试点数据采用试件上选定的 5 个核心测点，以 5 点平均值计算判定相对误差。</w:t>
      </w:r>
    </w:p>
    <w:p w14:paraId="0000006F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4.1.2 测试场景构成</w:t>
      </w:r>
    </w:p>
    <w:p w14:paraId="00000070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输入资料</w:t>
      </w:r>
      <w:r>
        <w:rPr>
          <w:rFonts w:hint="eastAsia" w:ascii="宋体" w:hAnsi="宋体" w:eastAsia="宋体" w:cs="宋体"/>
          <w:color w:val="1F1F1F"/>
          <w:rtl w:val="0"/>
        </w:rPr>
        <w:t>：至少 20 组波形数据、对应被测材料及试件几何参数。</w:t>
      </w:r>
    </w:p>
    <w:p w14:paraId="00000071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计算对象</w:t>
      </w:r>
      <w:r>
        <w:rPr>
          <w:rFonts w:hint="eastAsia" w:ascii="宋体" w:hAnsi="宋体" w:eastAsia="宋体" w:cs="宋体"/>
          <w:color w:val="1F1F1F"/>
          <w:rtl w:val="0"/>
        </w:rPr>
        <w:t>：AI 温度场反演推理计算引擎（数据归一化、加载反演模型模型并完成重构推理）。</w:t>
      </w:r>
    </w:p>
    <w:p w14:paraId="00000072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输出证据</w:t>
      </w:r>
      <w:r>
        <w:rPr>
          <w:rFonts w:hint="eastAsia" w:ascii="宋体" w:hAnsi="宋体" w:eastAsia="宋体" w:cs="宋体"/>
          <w:color w:val="1F1F1F"/>
          <w:rtl w:val="0"/>
        </w:rPr>
        <w:t>：温度重构场、特定 5 个测点提取温度、相对误差结算判定表。</w:t>
      </w:r>
    </w:p>
    <w:p w14:paraId="0000007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4.1.3 测试条件</w:t>
      </w:r>
    </w:p>
    <w:p w14:paraId="0000007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硬件加速</w:t>
      </w:r>
      <w:r>
        <w:rPr>
          <w:rFonts w:hint="eastAsia" w:ascii="宋体" w:hAnsi="宋体" w:eastAsia="宋体" w:cs="宋体"/>
          <w:color w:val="1F1F1F"/>
          <w:rtl w:val="0"/>
        </w:rPr>
        <w:t>：RTX 3090 GPU 加速开启，在 Windows 下调用推理子进程。</w:t>
      </w:r>
    </w:p>
    <w:p w14:paraId="00000075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前置物理尺寸强约束校验</w:t>
      </w:r>
      <w:r>
        <w:rPr>
          <w:rFonts w:hint="eastAsia" w:ascii="宋体" w:hAnsi="宋体" w:eastAsia="宋体" w:cs="宋体"/>
          <w:color w:val="1F1F1F"/>
          <w:rtl w:val="0"/>
        </w:rPr>
        <w:t>：</w:t>
      </w:r>
    </w:p>
    <w:p w14:paraId="00000076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87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一维反演</w:t>
      </w:r>
      <w:r>
        <w:rPr>
          <w:rFonts w:hint="eastAsia" w:ascii="宋体" w:hAnsi="宋体" w:eastAsia="宋体" w:cs="宋体"/>
          <w:color w:val="1F1F1F"/>
          <w:rtl w:val="0"/>
        </w:rPr>
        <w:t>：多层材料厚度</w:t>
      </w: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>大于5mm</w:t>
      </w:r>
      <w:r>
        <w:rPr>
          <w:rFonts w:hint="eastAsia" w:ascii="宋体" w:hAnsi="宋体" w:eastAsia="宋体" w:cs="宋体"/>
          <w:color w:val="1F1F1F"/>
          <w:rtl w:val="0"/>
        </w:rPr>
        <w:t>；金属基复合材料厚度</w:t>
      </w: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>大于10mm</w:t>
      </w:r>
      <w:r>
        <w:rPr>
          <w:rFonts w:hint="eastAsia" w:ascii="宋体" w:hAnsi="宋体" w:eastAsia="宋体" w:cs="宋体"/>
          <w:color w:val="1F1F1F"/>
          <w:rtl w:val="0"/>
        </w:rPr>
        <w:t>；碳/硅基复合材料厚度介于</w:t>
      </w: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>5mm</w:t>
      </w:r>
      <w:r>
        <w:rPr>
          <w:rFonts w:hint="eastAsia" w:ascii="宋体" w:hAnsi="宋体" w:eastAsia="宋体" w:cs="宋体"/>
          <w:color w:val="1F1F1F"/>
          <w:rtl w:val="0"/>
        </w:rPr>
        <w:t>至</w:t>
      </w: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>8mm</w:t>
      </w:r>
      <w:r>
        <w:rPr>
          <w:rFonts w:hint="eastAsia" w:ascii="宋体" w:hAnsi="宋体" w:eastAsia="宋体" w:cs="宋体"/>
          <w:color w:val="1F1F1F"/>
          <w:rtl w:val="0"/>
        </w:rPr>
        <w:t>之间。不达标则终止精度场景测试。</w:t>
      </w:r>
    </w:p>
    <w:p w14:paraId="00000077">
      <w:pPr>
        <w:numPr>
          <w:ilvl w:val="1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87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二维反演</w:t>
      </w:r>
      <w:r>
        <w:rPr>
          <w:rFonts w:hint="eastAsia" w:ascii="宋体" w:hAnsi="宋体" w:eastAsia="宋体" w:cs="宋体"/>
          <w:color w:val="1F1F1F"/>
          <w:rtl w:val="0"/>
        </w:rPr>
        <w:t>：测试样件物理宽度均</w:t>
      </w: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>大于50mm</w:t>
      </w:r>
      <w:r>
        <w:rPr>
          <w:rFonts w:hint="eastAsia" w:ascii="宋体" w:hAnsi="宋体" w:eastAsia="宋体" w:cs="宋体"/>
          <w:color w:val="1F1F1F"/>
          <w:rtl w:val="0"/>
        </w:rPr>
        <w:t>，不达标则终止二维精度场景测试。</w:t>
      </w:r>
    </w:p>
    <w:p w14:paraId="0000007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4.1.4 测试流程</w:t>
      </w:r>
    </w:p>
    <w:p w14:paraId="0000007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表 4-1 精度评估测试流程表</w:t>
      </w:r>
    </w:p>
    <w:tbl>
      <w:tblPr>
        <w:tblStyle w:val="17"/>
        <w:tblW w:w="9360" w:type="dxa"/>
        <w:tblInd w:w="0" w:type="dxa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171F00F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步骤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拟开展工作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记录与输出</w:t>
            </w:r>
          </w:p>
        </w:tc>
      </w:tr>
      <w:tr w14:paraId="5FF18F3A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1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前置数据及环境校验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：确认 GPU 驱动正常，核对输入样件几何参数、厚度和宽度尺寸，确认分析维度方案并记录检测结果。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7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几何尺寸与环境校验状态记录、运行日志。</w:t>
            </w:r>
          </w:p>
        </w:tc>
      </w:tr>
      <w:tr w14:paraId="47B263F3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2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启动 GUI 校验路径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：通过后台指令 python -m ai_model.window 初始化可视化调试窗口，确认主页签、运行日志面板正常，核实 database 与 result 目录。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GUI 状态记录与子进程路径配置文件。</w:t>
            </w:r>
          </w:p>
        </w:tc>
      </w:tr>
      <w:tr w14:paraId="1B51A2C2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3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数据集与模型权重载入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：导入包含至少 20 组测试波形的数据集，部署预训练反演模型，完成推理超参数初始化。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超参数加载日志。</w:t>
            </w:r>
          </w:p>
        </w:tc>
      </w:tr>
      <w:tr w14:paraId="750DBA73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4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GPU 推理及场量重构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：运行反演模型，由 GPU 进行加速。模型执行归一化、测点温度提取和自动分析。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温度场推理特征场数据文件。</w:t>
            </w:r>
          </w:p>
        </w:tc>
      </w:tr>
      <w:tr w14:paraId="19B9C602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5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精度计算与偏差判定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：在输出温度重构场中提取 5 个固定测点，求取其反演平均值与实测平均值，计算相对误差。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8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5 测点均值提取数据、相对误差判定判定表。</w:t>
            </w:r>
          </w:p>
        </w:tc>
      </w:tr>
    </w:tbl>
    <w:p w14:paraId="0000008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4.2 场景二：效率评估测试场景</w:t>
      </w:r>
    </w:p>
    <w:p w14:paraId="000000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72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本场景用于评估 AI 驱动的温度场快速反演模型的计算时效性。通过与传统物理经典迭代算法的数值性能比对，考核其效率。</w:t>
      </w:r>
    </w:p>
    <w:p w14:paraId="0000008E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4.2.1 试验测试的技术指标</w:t>
      </w:r>
    </w:p>
    <w:p w14:paraId="0000008F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 xml:space="preserve">单个温度场计算点的平均预测耗时 </w:t>
      </w:r>
      <m:oMath>
        <m:sSub>
          <m:sSubPr>
            <m:ctrlPr>
              <w:rPr>
                <w:rFonts w:hint="eastAsia" w:ascii="Cambria Math" w:hAnsi="Cambria Math" w:eastAsia="宋体" w:cs="宋体"/>
                <w:color w:val="1F1F1F"/>
                <w:rtl w:val="0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1F1F1F"/>
                <w:rtl w:val="0"/>
                <w:lang w:val="en-US" w:eastAsia="zh-CN"/>
              </w:rPr>
              <m:t>t</m:t>
            </m:r>
            <m:ctrlPr>
              <w:rPr>
                <w:rFonts w:hint="eastAsia" w:ascii="Cambria Math" w:hAnsi="Cambria Math" w:eastAsia="宋体" w:cs="宋体"/>
                <w:color w:val="1F1F1F"/>
                <w:rtl w:val="0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宋体"/>
                <w:color w:val="1F1F1F"/>
                <w:rtl w:val="0"/>
                <w:lang w:val="en-US" w:eastAsia="zh-CN"/>
              </w:rPr>
              <m:t>AI</m:t>
            </m:r>
            <m:ctrlPr>
              <w:rPr>
                <w:rFonts w:hint="eastAsia" w:ascii="Cambria Math" w:hAnsi="Cambria Math" w:eastAsia="宋体" w:cs="宋体"/>
                <w:color w:val="1F1F1F"/>
                <w:rtl w:val="0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color w:val="1F1F1F"/>
            <w:rtl w:val="0"/>
          </w:rPr>
          <m:t>≤</m:t>
        </m:r>
        <m:r>
          <m:rPr>
            <m:sty m:val="p"/>
          </m:rPr>
          <w:rPr>
            <w:rFonts w:hint="eastAsia" w:ascii="Cambria Math" w:hAnsi="Cambria Math" w:eastAsia="宋体" w:cs="宋体"/>
            <w:color w:val="1F1F1F"/>
            <w:rtl w:val="0"/>
            <w:lang w:val="en-US" w:eastAsia="zh-CN"/>
          </w:rPr>
          <m:t xml:space="preserve"> 1s/point</m:t>
        </m:r>
      </m:oMath>
      <w:r>
        <w:rPr>
          <w:rFonts w:hint="eastAsia" w:ascii="宋体" w:hAnsi="宋体" w:eastAsia="宋体" w:cs="宋体"/>
          <w:color w:val="1F1F1F"/>
          <w:rtl w:val="0"/>
        </w:rPr>
        <w:t>。</w:t>
      </w:r>
    </w:p>
    <w:p w14:paraId="00000090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 xml:space="preserve">相较传统数值算法（共轭梯度法、最速下降法、灵敏度法中的至少一种），反演加速比 </w:t>
      </w:r>
      <m:oMath>
        <m:r>
          <m:rPr>
            <m:sty m:val="p"/>
          </m:rPr>
          <w:rPr>
            <w:rFonts w:hint="eastAsia" w:ascii="Cambria Math" w:hAnsi="Cambria Math" w:eastAsia="宋体" w:cs="宋体"/>
            <w:color w:val="1F1F1F"/>
            <w:rtl w:val="0"/>
            <w:lang w:val="en-US" w:eastAsia="zh-CN"/>
          </w:rPr>
          <m:t>Speedup ≥ 10</m:t>
        </m:r>
      </m:oMath>
      <w:r>
        <w:rPr>
          <w:rFonts w:hint="eastAsia" w:ascii="宋体" w:hAnsi="宋体" w:eastAsia="宋体" w:cs="宋体"/>
          <w:color w:val="1F1F1F"/>
          <w:rtl w:val="0"/>
        </w:rPr>
        <w:t>（即效率提升至少一个数量级）。</w:t>
      </w:r>
    </w:p>
    <w:p w14:paraId="00000091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4.2.2 测试场景构成</w:t>
      </w:r>
    </w:p>
    <w:p w14:paraId="00000092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输入资料</w:t>
      </w:r>
      <w:r>
        <w:rPr>
          <w:rFonts w:hint="eastAsia" w:ascii="宋体" w:hAnsi="宋体" w:eastAsia="宋体" w:cs="宋体"/>
          <w:color w:val="1F1F1F"/>
          <w:rtl w:val="0"/>
        </w:rPr>
        <w:t>：高保真超声波形信号集、测试工况配置文件、基准物理对照算法程序包。</w:t>
      </w:r>
    </w:p>
    <w:p w14:paraId="0000009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计算对象</w:t>
      </w:r>
      <w:r>
        <w:rPr>
          <w:rFonts w:hint="eastAsia" w:ascii="宋体" w:hAnsi="宋体" w:eastAsia="宋体" w:cs="宋体"/>
          <w:color w:val="1F1F1F"/>
          <w:rtl w:val="0"/>
        </w:rPr>
        <w:t>：AI 温度场重构推理组件，共轭梯度法、最速下降法及灵敏度法计算模块。</w:t>
      </w:r>
    </w:p>
    <w:p w14:paraId="00000094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输出证据</w:t>
      </w:r>
      <w:r>
        <w:rPr>
          <w:rFonts w:hint="eastAsia" w:ascii="宋体" w:hAnsi="宋体" w:eastAsia="宋体" w:cs="宋体"/>
          <w:color w:val="1F1F1F"/>
          <w:rtl w:val="0"/>
        </w:rPr>
        <w:t>：AI 算法单点预测耗时日志、传统物理算法预测耗时日志、加速比比对判定表。</w:t>
      </w:r>
    </w:p>
    <w:p w14:paraId="00000095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4.2.3 测试条件</w:t>
      </w:r>
    </w:p>
    <w:p w14:paraId="00000096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硬件环境</w:t>
      </w:r>
      <w:r>
        <w:rPr>
          <w:rFonts w:hint="eastAsia" w:ascii="宋体" w:hAnsi="宋体" w:eastAsia="宋体" w:cs="宋体"/>
          <w:color w:val="1F1F1F"/>
          <w:rtl w:val="0"/>
        </w:rPr>
        <w:t>：Intel Xeon 4210R CPU，NVIDIA RTX 3090 GPU（AI 模型使用）。</w:t>
      </w:r>
    </w:p>
    <w:p w14:paraId="00000097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工况一致性</w:t>
      </w:r>
      <w:r>
        <w:rPr>
          <w:rFonts w:hint="eastAsia" w:ascii="宋体" w:hAnsi="宋体" w:eastAsia="宋体" w:cs="宋体"/>
          <w:color w:val="1F1F1F"/>
          <w:rtl w:val="0"/>
        </w:rPr>
        <w:t>：使用完全相同的物理边界工况、时延波形输入，在相同的操作系统环境下开展并行测试。</w:t>
      </w:r>
    </w:p>
    <w:p w14:paraId="0000009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4.2.4 测试流程</w:t>
      </w:r>
    </w:p>
    <w:p w14:paraId="0000009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表 4-2 效率评估测试流程表</w:t>
      </w:r>
    </w:p>
    <w:tbl>
      <w:tblPr>
        <w:tblStyle w:val="18"/>
        <w:tblW w:w="9360" w:type="dxa"/>
        <w:tblInd w:w="0" w:type="dxa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235"/>
        <w:gridCol w:w="3005"/>
      </w:tblGrid>
      <w:tr w14:paraId="7897F7E3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步骤</w:t>
            </w:r>
          </w:p>
        </w:tc>
        <w:tc>
          <w:tcPr>
            <w:tcW w:w="32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拟开展工作</w:t>
            </w:r>
          </w:p>
        </w:tc>
        <w:tc>
          <w:tcPr>
            <w:tcW w:w="300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记录与输出</w:t>
            </w:r>
          </w:p>
        </w:tc>
      </w:tr>
      <w:tr w14:paraId="75A3F4BA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lang w:val="en-US" w:eastAsia="zh-CN"/>
              </w:rPr>
              <w:t>1</w:t>
            </w:r>
          </w:p>
        </w:tc>
        <w:tc>
          <w:tcPr>
            <w:tcW w:w="32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记录 AI 算法耗时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：运行 AI 推理计算，在 GPU 加速下完整记录单点重构反演耗时。</w:t>
            </w:r>
          </w:p>
        </w:tc>
        <w:tc>
          <w:tcPr>
            <w:tcW w:w="300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单点 AI 反演耗时记录日志。</w:t>
            </w:r>
          </w:p>
        </w:tc>
      </w:tr>
      <w:tr w14:paraId="2CA21695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lang w:val="en-US" w:eastAsia="zh-CN"/>
              </w:rPr>
              <w:t>2</w:t>
            </w:r>
          </w:p>
        </w:tc>
        <w:tc>
          <w:tcPr>
            <w:tcW w:w="32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运行传统迭代对照组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：在同等硬软件环境下分别调用传统的共轭梯度法、灵敏度法与最速下降法反演同一温度场。</w:t>
            </w:r>
          </w:p>
        </w:tc>
        <w:tc>
          <w:tcPr>
            <w:tcW w:w="300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各传统对照算法时间戳记录。</w:t>
            </w:r>
          </w:p>
        </w:tc>
      </w:tr>
      <w:tr w14:paraId="7840B980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lang w:val="en-US" w:eastAsia="zh-CN"/>
              </w:rPr>
              <w:t>3</w:t>
            </w:r>
          </w:p>
        </w:tc>
        <w:tc>
          <w:tcPr>
            <w:tcW w:w="32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计算整体加速比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：提取传统方法中最短单点时间，与 AI 重构模型单点推理耗时进行除法运算，计算加速比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  <w:lang w:val="en-US" w:eastAsia="zh-CN"/>
              </w:rPr>
              <w:t>Speedup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。</w:t>
            </w:r>
          </w:p>
        </w:tc>
        <w:tc>
          <w:tcPr>
            <w:tcW w:w="300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效率比对计算记录表。</w:t>
            </w:r>
          </w:p>
        </w:tc>
      </w:tr>
      <w:tr w14:paraId="4FBBB224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lang w:val="en-US" w:eastAsia="zh-CN"/>
              </w:rPr>
              <w:t>4</w:t>
            </w:r>
          </w:p>
        </w:tc>
        <w:tc>
          <w:tcPr>
            <w:tcW w:w="323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判定耗时及加速结论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：核查 AI 反演单点预测时程是否小于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  <w:lang w:val="en-US" w:eastAsia="zh-CN"/>
              </w:rPr>
              <w:t>1s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，整体加速比是否大于等于 10 倍，判定该场景合格性。</w:t>
            </w:r>
          </w:p>
        </w:tc>
        <w:tc>
          <w:tcPr>
            <w:tcW w:w="3005" w:type="dxa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加速性能判定通过记录文件。</w:t>
            </w:r>
          </w:p>
        </w:tc>
      </w:tr>
    </w:tbl>
    <w:p w14:paraId="000000A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48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304800</wp:posOffset>
            </wp:positionV>
            <wp:extent cx="5873115" cy="2494280"/>
            <wp:effectExtent l="0" t="0" r="9525" b="5080"/>
            <wp:wrapTopAndBottom/>
            <wp:docPr id="43" name="图片 43" descr="PINN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PINN_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3115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color w:val="1F1F1F"/>
          <w:rtl w:val="0"/>
        </w:rPr>
        <w:t>4.3 场景三：高级功能（增量训练与迁移学习）验证场景</w:t>
      </w:r>
    </w:p>
    <w:p w14:paraId="000000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72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本场景用于验证 AI 模型在应对新输入场景时的动态自适应调节功能（在线更新能力）和针对不同材料体系的迁移泛化性能。</w:t>
      </w:r>
    </w:p>
    <w:p w14:paraId="000000AE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4.3.1 试验测试的技术指标</w:t>
      </w:r>
    </w:p>
    <w:p w14:paraId="000000AF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增量训练合格判据</w:t>
      </w:r>
      <w:r>
        <w:rPr>
          <w:rFonts w:hint="eastAsia" w:ascii="宋体" w:hAnsi="宋体" w:eastAsia="宋体" w:cs="宋体"/>
          <w:color w:val="1F1F1F"/>
          <w:rtl w:val="0"/>
        </w:rPr>
        <w:t>：注入全新波形数据并调用“在线增量训练”后，模型能触发反向传播与训练循环。训练结束后，提取权重文件（Checkpoints）对比，其模型权重数值必须发生实效性更新。</w:t>
      </w:r>
    </w:p>
    <w:p w14:paraId="000000B0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迁移学习合格判据</w:t>
      </w:r>
      <w:r>
        <w:rPr>
          <w:rFonts w:hint="eastAsia" w:ascii="宋体" w:hAnsi="宋体" w:eastAsia="宋体" w:cs="宋体"/>
          <w:color w:val="1F1F1F"/>
          <w:rtl w:val="0"/>
        </w:rPr>
        <w:t>：不同材料（多层、金属基、碳/硅基）的模型参数配置文件实现存储与调用路径的分离；代码静态检查证明“参数冻结（Parameter Freezing）”机制存在并生效。</w:t>
      </w:r>
    </w:p>
    <w:p w14:paraId="000000B1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4.3.2 测试场景构成</w:t>
      </w:r>
    </w:p>
    <w:p w14:paraId="000000B2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输入资料</w:t>
      </w:r>
      <w:r>
        <w:rPr>
          <w:rFonts w:hint="eastAsia" w:ascii="宋体" w:hAnsi="宋体" w:eastAsia="宋体" w:cs="宋体"/>
          <w:color w:val="1F1F1F"/>
          <w:rtl w:val="0"/>
        </w:rPr>
        <w:t>：全新的超声增量波形数据集、材料参数配置文件、模型权重文件（Checkpoints）、底层反向传播逻辑及冻结机制源代码。</w:t>
      </w:r>
    </w:p>
    <w:p w14:paraId="000000B3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计算对象</w:t>
      </w:r>
      <w:r>
        <w:rPr>
          <w:rFonts w:hint="eastAsia" w:ascii="宋体" w:hAnsi="宋体" w:eastAsia="宋体" w:cs="宋体"/>
          <w:color w:val="1F1F1F"/>
          <w:rtl w:val="0"/>
        </w:rPr>
        <w:t>：在线动态增量训练模块、多材料调用分离存储模块、参数冻结静态逻辑。</w:t>
      </w:r>
    </w:p>
    <w:p w14:paraId="000000B4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1F1F1F"/>
          <w:rtl w:val="0"/>
        </w:rPr>
        <w:t>输出证据</w:t>
      </w:r>
      <w:r>
        <w:rPr>
          <w:rFonts w:hint="eastAsia" w:ascii="宋体" w:hAnsi="宋体" w:eastAsia="宋体" w:cs="宋体"/>
          <w:color w:val="1F1F1F"/>
          <w:rtl w:val="0"/>
        </w:rPr>
        <w:t>：在线训练控制台监控日志、权重更新前后 Checkpoints 参数值差异比对表、代码参数冻结机制审计报告。</w:t>
      </w:r>
    </w:p>
    <w:p w14:paraId="000000B5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4.3.3 测试条件</w:t>
      </w:r>
    </w:p>
    <w:p w14:paraId="000000B6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服务器内存</w:t>
      </w:r>
      <w:r>
        <w:rPr>
          <w:rFonts w:hint="eastAsia" w:ascii="宋体" w:hAnsi="宋体" w:eastAsia="宋体" w:cs="宋体"/>
          <w:color w:val="1F1F1F"/>
          <w:rtl w:val="0"/>
          <w:lang w:val="en-US" w:eastAsia="zh-CN"/>
        </w:rPr>
        <w:t>大于256GB</w:t>
      </w:r>
      <w:r>
        <w:rPr>
          <w:rFonts w:hint="eastAsia" w:ascii="宋体" w:hAnsi="宋体" w:eastAsia="宋体" w:cs="宋体"/>
          <w:color w:val="1F1F1F"/>
          <w:rtl w:val="0"/>
        </w:rPr>
        <w:t>，RTX 3090 GPU 处于未被其他高占显存进程抢占的就绪状态，以保障反向传播及梯度迭代正常进行。</w:t>
      </w:r>
    </w:p>
    <w:p w14:paraId="000000B7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65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1F1F1F"/>
          <w:rtl w:val="0"/>
        </w:rPr>
        <w:t>具有完整读写权限的工作包解析路径。</w:t>
      </w:r>
    </w:p>
    <w:p w14:paraId="000000B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2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4.3.4 测试流程</w:t>
      </w:r>
    </w:p>
    <w:p w14:paraId="000000B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120" w:line="275" w:lineRule="auto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rtl w:val="0"/>
        </w:rPr>
        <w:t>表 4-3 高级功能验证测试流程表</w:t>
      </w:r>
    </w:p>
    <w:tbl>
      <w:tblPr>
        <w:tblStyle w:val="19"/>
        <w:tblW w:w="9360" w:type="dxa"/>
        <w:tblInd w:w="0" w:type="dxa"/>
        <w:tblBorders>
          <w:top w:val="single" w:color="C4C7C5" w:sz="6" w:space="0"/>
          <w:left w:val="single" w:color="C4C7C5" w:sz="6" w:space="0"/>
          <w:bottom w:val="single" w:color="C4C7C5" w:sz="6" w:space="0"/>
          <w:right w:val="single" w:color="C4C7C5" w:sz="6" w:space="0"/>
          <w:insideH w:val="single" w:color="C4C7C5" w:sz="6" w:space="0"/>
          <w:insideV w:val="single" w:color="C4C7C5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3CDC8897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步骤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拟开展工作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记录与输出</w:t>
            </w:r>
          </w:p>
        </w:tc>
      </w:tr>
      <w:tr w14:paraId="7D5B288C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1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增量数据接口加载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：在原始预训练模型就绪的状态下，调用数据接口额外注入全新的超声波形特征数据集。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B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数据注入接口记录日志。</w:t>
            </w:r>
          </w:p>
        </w:tc>
      </w:tr>
      <w:tr w14:paraId="4D45A3E5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2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在线增量训练监控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：手动触发“在线增量训练”模块，全程记录控制台训练日志，监控 GPU 显存变化，确保成功进入反向传播。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控制台训练日志、显存波动日志。</w:t>
            </w:r>
          </w:p>
        </w:tc>
      </w:tr>
      <w:tr w14:paraId="6B7E1CB8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3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权重文件更新比对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：在线训练完成后，提取最新模型权重参数（Checkpoints），对比分析训练前后的权重数值变化。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训练前后权重对比明细表、增量功能判定书。</w:t>
            </w:r>
          </w:p>
        </w:tc>
      </w:tr>
      <w:tr w14:paraId="3CCD1FC8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4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跨材料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  <w:lang w:val="en-US" w:eastAsia="zh-CN"/>
              </w:rPr>
              <w:t>模型参数</w:t>
            </w: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独立性核查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：调阅 AI 模块数据库及配置文件，校验不同材料下的模型参数配置和权重文件存放路径是否物理隔离。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多材料参数配置文件分布审计单。</w:t>
            </w:r>
          </w:p>
        </w:tc>
      </w:tr>
      <w:tr w14:paraId="338CC262">
        <w:tblPrEx>
          <w:tblBorders>
            <w:top w:val="single" w:color="C4C7C5" w:sz="6" w:space="0"/>
            <w:left w:val="single" w:color="C4C7C5" w:sz="6" w:space="0"/>
            <w:bottom w:val="single" w:color="C4C7C5" w:sz="6" w:space="0"/>
            <w:right w:val="single" w:color="C4C7C5" w:sz="6" w:space="0"/>
            <w:insideH w:val="single" w:color="C4C7C5" w:sz="6" w:space="0"/>
            <w:insideV w:val="single" w:color="C4C7C5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5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shd w:val="clear" w:fill="auto"/>
                <w:rtl w:val="0"/>
              </w:rPr>
              <w:t>冻结机制代码审计</w:t>
            </w: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：对底层代码逻辑开展静态检查，审查迁移学习相关的“参数冻结”机制，确认其采用基于关系的迁移学习策略。</w:t>
            </w:r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00000C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color w:val="1F1F1F"/>
                <w:shd w:val="clear" w:fill="auto"/>
              </w:rPr>
            </w:pPr>
            <w:r>
              <w:rPr>
                <w:rFonts w:hint="eastAsia" w:ascii="宋体" w:hAnsi="宋体" w:eastAsia="宋体" w:cs="宋体"/>
                <w:color w:val="1F1F1F"/>
                <w:shd w:val="clear" w:fill="auto"/>
                <w:rtl w:val="0"/>
              </w:rPr>
              <w:t>冻结机制代码审计结论、高级功能最终验证结论。</w:t>
            </w:r>
          </w:p>
        </w:tc>
      </w:tr>
    </w:tbl>
    <w:p w14:paraId="000000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eastAsia" w:ascii="宋体" w:hAnsi="宋体" w:eastAsia="宋体" w:cs="宋体"/>
          <w:color w:val="1F1F1F"/>
          <w:shd w:val="clear" w:fill="auto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DB8D8A8C-1221-465E-8983-AF8F17D7D39F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C803EBD8-D345-4591-9E25-730EA8AD66D9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EF287117-8B4E-4194-BD3D-45001005E92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562EB0E-993B-4140-89A2-99C99D84B697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B6E46E2-033D-41CF-B8AE-B6B62136F674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58D1282F-C41F-4371-96F8-BC95D4C004D3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3D0A3137-2A6A-4E24-AE73-A2009BBBE773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10"/>
  </w:num>
  <w:num w:numId="9">
    <w:abstractNumId w:val="5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6A6185F"/>
    <w:rsid w:val="334B5242"/>
    <w:rsid w:val="598A13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uiPriority w:val="0"/>
  </w:style>
  <w:style w:type="table" w:customStyle="1" w:styleId="16">
    <w:name w:val="_Style 13"/>
    <w:basedOn w:val="12"/>
    <w:qFormat/>
    <w:uiPriority w:val="0"/>
  </w:style>
  <w:style w:type="table" w:customStyle="1" w:styleId="17">
    <w:name w:val="_Style 14"/>
    <w:basedOn w:val="12"/>
    <w:qFormat/>
    <w:uiPriority w:val="0"/>
  </w:style>
  <w:style w:type="table" w:customStyle="1" w:styleId="18">
    <w:name w:val="_Style 15"/>
    <w:basedOn w:val="12"/>
    <w:uiPriority w:val="0"/>
  </w:style>
  <w:style w:type="table" w:customStyle="1" w:styleId="19">
    <w:name w:val="_Style 16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4338</Words>
  <Characters>4840</Characters>
  <TotalTime>0</TotalTime>
  <ScaleCrop>false</ScaleCrop>
  <LinksUpToDate>false</LinksUpToDate>
  <CharactersWithSpaces>5052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2026-06-11T13:15:00Z</dcterms:created>
  <dc:creator>xyy</dc:creator>
  <cp:lastModifiedBy>xyycyc</cp:lastModifiedBy>
  <dcterms:modified xsi:type="dcterms:W3CDTF">2026-06-11T14:00:13Z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eyJoZGlkIjoiMTYwMzdhOTk5NDRiZTY2NjM3YWU2NjBkN2MyYTVhYjMiLCJ1c2VySWQiOiIxMTIwMzAyNzE0In0=</vt:lpwstr>
  </property>
  <property fmtid="{D5CDD505-2E9C-101B-9397-08002B2CF9AE}" pid="3" name="KSOProductBuildVer">
    <vt:lpwstr>2052-12.1.0.26895</vt:lpwstr>
  </property>
  <property fmtid="{D5CDD505-2E9C-101B-9397-08002B2CF9AE}" pid="4" name="ICV">
    <vt:lpwstr>607EEC8CB163414F932F754C111606C5_12</vt:lpwstr>
  </property>
</Properties>
</file>