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360" w:after="400"/>
        <w:jc w:val="center"/>
      </w:pPr>
      <w:r>
        <w:rPr>
          <w:rFonts w:ascii="Times New Roman" w:hAnsi="Times New Roman" w:eastAsia="微软雅黑"/>
          <w:b/>
          <w:sz w:val="50"/>
        </w:rPr>
        <w:t>V5 条件扩散模型</w:t>
      </w:r>
    </w:p>
    <w:p>
      <w:pPr>
        <w:jc w:val="center"/>
      </w:pPr>
      <w:r>
        <w:rPr>
          <w:rFonts w:ascii="Times New Roman" w:hAnsi="Times New Roman" w:eastAsia="微软雅黑"/>
          <w:b/>
          <w:sz w:val="42"/>
        </w:rPr>
        <w:t>Stage-1 对比算例与消融实验报告</w:t>
      </w:r>
    </w:p>
    <w:p>
      <w:pPr>
        <w:spacing w:before="240"/>
        <w:jc w:val="center"/>
      </w:pPr>
      <w:r>
        <w:rPr>
          <w:rFonts w:ascii="Times New Roman" w:hAnsi="Times New Roman" w:eastAsia="微软雅黑"/>
          <w:b w:val="0"/>
          <w:color w:val="555555"/>
          <w:sz w:val="25"/>
        </w:rPr>
        <w:t>V4-RS / V5-T / V5-TF · 山东数据集 · 验证集阶段</w:t>
      </w:r>
    </w:p>
    <w:p>
      <w:pPr>
        <w:spacing w:after="1000"/>
      </w:pPr>
    </w:p>
    <w:tbl>
      <w:tblPr>
        <w:tblStyle w:val="a9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87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691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报告性质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模型开发阶段的对比算例、消融实验与物理可行性审计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数据范围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验证集 553 个窗口；每窗 168 h；风电/光伏/负荷 3 变量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场景设置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20 条场景；posterior 反向方差；500 步采样；固定 seed=424242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结果口径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主表采用物理投影后结果；原始生成结果单独保留并列示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版本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代码提交 7321265d；报告日期 2026-07-23</w:t>
            </w:r>
          </w:p>
        </w:tc>
      </w:tr>
    </w:tbl>
    <w:p>
      <w:pPr>
        <w:spacing w:after="0"/>
      </w:pPr>
    </w:p>
    <w:p>
      <w:pPr>
        <w:spacing w:before="1000"/>
        <w:jc w:val="center"/>
      </w:pPr>
      <w:r>
        <w:rPr>
          <w:rFonts w:ascii="Times New Roman" w:hAnsi="Times New Roman" w:eastAsia="微软雅黑"/>
          <w:b w:val="0"/>
          <w:color w:val="777777"/>
          <w:sz w:val="24"/>
        </w:rPr>
        <w:t>项目汇报用</w:t>
      </w:r>
      <w:r>
        <w:br w:type="page"/>
      </w:r>
    </w:p>
    <w:p>
      <w:pPr>
        <w:pStyle w:val="1"/>
        <w:keepNext/>
        <w:spacing w:before="200" w:after="80"/>
      </w:pPr>
      <w:r>
        <w:rPr>
          <w:rFonts w:ascii="Times New Roman" w:hAnsi="Times New Roman" w:eastAsia="微软雅黑"/>
          <w:b/>
          <w:sz w:val="34"/>
        </w:rPr>
        <w:t>摘要与结论先行</w:t>
      </w:r>
    </w:p>
    <w:tbl>
      <w:tblPr>
        <w:tblStyle w:val="a9"/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  <w:cantSplit/>
        </w:trPr>
        <w:tc>
          <w:tcPr>
            <w:tcW w:type="dxa" w:w="9878"/>
            <w:shd w:fill="E2F0D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2"/>
              </w:rPr>
              <w:t>结论：当前不需要因“太阳能小于 0”重新训练。</w:t>
            </w:r>
          </w:p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负值来自扩散模型在无界标准化残差空间中的随机生成，而不是数据清洗遗漏。现已增加可审计的物理可行域投影：保留原始输出，同时生成约束后场景。约束后所有模型的物理越界率均为 0%，因此可以进入 Stage-1 结果分析与项目汇报。</w:t>
            </w:r>
          </w:p>
        </w:tc>
      </w:tr>
    </w:tbl>
    <w:p>
      <w:pPr>
        <w:spacing w:after="0"/>
      </w:pP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在统一训练/验证划分、统一 20 场景、统一采样种子与 posterior 采样协议下，V5-TF Rank-1（epoch 8）取得最佳综合结果。物理投影后，其总 CRPS 为 728.39，较 V4-RS 降低 12.07%；MVES 为 23,970.88；ACF 误差为 0.01096；净负荷 MAE 为 1,943.59 MW。</w:t>
      </w: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V5-T 只修正扩散时间步条件，但不使用 forecast/calendar 外部条件，结果并未优于 V4-RS。V5-TF 在此基础上加入多尺度 forecast/calendar 编码与 FiLM 调制后明显领先，说明性能增益主要来自“正确扩散时间步 + 外部条件调制”的组合，而不是简单增加模型参数。</w:t>
      </w: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当前结论属于 Stage-1 验证集结论，足以用于模型路线选择和项目阶段汇报，但不应写成最终测试集泛化结论。正式定版前建议补做多随机种子复验，再锁定模型并一次性评估测试集。</w:t>
      </w:r>
    </w:p>
    <w:p>
      <w:pPr>
        <w:pStyle w:val="1"/>
        <w:keepNext/>
        <w:spacing w:before="200" w:after="80"/>
      </w:pPr>
      <w:r>
        <w:rPr>
          <w:rFonts w:ascii="Times New Roman" w:hAnsi="Times New Roman" w:eastAsia="微软雅黑"/>
          <w:b/>
          <w:sz w:val="34"/>
        </w:rPr>
        <w:t>1. 报告定位：模型、实验与算例的区别</w:t>
      </w: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模型是可训练的数学结构及其推理规则；实验是为了验证某个假设而设计的受控流程；算例是把模型和实验落到一组具体数据、参数、工况与结果上的完整实例。本报告可称为“V5 Stage-1 对比算例”，其中包含一组主对比实验、两组条件消融实验，以及一组物理投影前后审计。</w:t>
      </w:r>
    </w:p>
    <w:tbl>
      <w:tblPr>
        <w:tblStyle w:val="a9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0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概念</w:t>
            </w:r>
          </w:p>
        </w:tc>
        <w:tc>
          <w:tcPr>
            <w:tcW w:type="dxa" w:w="460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本项目中的对应内容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模型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V4-RS、V5-T、V5-TF 三种条件扩散架构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规定输入、条件注入方式和去噪网络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实验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统一协议下的训练、Top-3 验证生成、条件消融、投影前后比较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隔离变量并验证模型设计是否有效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算例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山东验证集 553×168 h、20 场景、固定种子及完整指标/曲线</w:t>
            </w:r>
          </w:p>
        </w:tc>
        <w:tc>
          <w:tcPr>
            <w:tcW w:type="dxa" w:w="31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形成可复现、可展示、可审计的项目结果</w:t>
            </w:r>
          </w:p>
        </w:tc>
      </w:tr>
    </w:tbl>
    <w:p>
      <w:pPr>
        <w:spacing w:after="0"/>
      </w:pPr>
    </w:p>
    <w:p>
      <w:pPr>
        <w:pStyle w:val="1"/>
        <w:keepNext/>
        <w:spacing w:before="200" w:after="80"/>
      </w:pPr>
      <w:r>
        <w:rPr>
          <w:rFonts w:ascii="Times New Roman" w:hAnsi="Times New Roman" w:eastAsia="微软雅黑"/>
          <w:b/>
          <w:sz w:val="34"/>
        </w:rPr>
        <w:t>2. 数据、任务与统一评估协议</w:t>
      </w: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三种模型均学习日前预测误差的条件分布。残差定义为 residual = forecast − actual；扩散模型生成残差场景后，按 actual_scenario = forecast − residual_scenario 重构风电、光伏和负荷场景。这样可以把确定性日前预测作为中心信息，让生成模型重点学习预测误差的不确定性。</w:t>
      </w:r>
    </w:p>
    <w:p>
      <w:pPr>
        <w:keepLines/>
        <w:spacing w:before="80" w:after="40"/>
        <w:jc w:val="center"/>
      </w:pPr>
      <w:r>
        <w:rPr>
          <w:rFonts w:ascii="Cambria Math" w:hAnsi="Cambria Math" w:eastAsia="Cambria Math"/>
          <w:sz w:val="23"/>
        </w:rPr>
        <w:t>r₀ = f − y，    ŷ⁽ˢ⁾ = f − r̂₀⁽ˢ⁾    （1）</w:t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666666"/>
          <w:sz w:val="19"/>
        </w:rPr>
        <w:t>其中 f 为日前预测，y 为实测值，r₀ 为真实残差，s 表示第 s 条随机场景。</w:t>
      </w:r>
    </w:p>
    <w:tbl>
      <w:tblPr>
        <w:tblStyle w:val="a9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94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691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统一设置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数据切分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仅使用验证集进行 Stage-1 比较；测试集未参与模型选择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验证规模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553 个独立窗口，每个窗口 168 h，3 个变量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生成规模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每个窗口 20 条场景，共 11,060 条多变量场景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采样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posterior 方差，500 个反向扩散步，generation seed=424242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Checkpoint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每个架构按 validation epsilon-MSE 选 Top-3，再统一生成评估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主报告口径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Rank-1 + 物理投影后；原始输出和 Rank-2/3 留作稳定性审计</w:t>
            </w:r>
          </w:p>
        </w:tc>
      </w:tr>
    </w:tbl>
    <w:p>
      <w:pPr>
        <w:spacing w:after="0"/>
      </w:pPr>
    </w:p>
    <w:p>
      <w:pPr>
        <w:pStyle w:val="1"/>
        <w:keepNext/>
        <w:spacing w:before="200" w:after="80"/>
      </w:pPr>
      <w:r>
        <w:rPr>
          <w:rFonts w:ascii="Times New Roman" w:hAnsi="Times New Roman" w:eastAsia="微软雅黑"/>
          <w:b/>
          <w:sz w:val="34"/>
        </w:rPr>
        <w:t>3. 三种架构及新增原理</w:t>
      </w:r>
    </w:p>
    <w:p>
      <w:pPr>
        <w:pStyle w:val="2"/>
        <w:keepNext/>
        <w:spacing w:before="140" w:after="80"/>
      </w:pPr>
      <w:r>
        <w:rPr>
          <w:rFonts w:ascii="Times New Roman" w:hAnsi="Times New Roman" w:eastAsia="微软雅黑"/>
          <w:b/>
          <w:sz w:val="26"/>
        </w:rPr>
        <w:t>3.1 V4-RS：旧版残差扩散基线</w:t>
      </w: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V4-RS 使用 14 通道拼接输入：当前噪声状态 3 通道、日前预测 3 通道、日历/时间编码 8 通道。条件信息直接拼接到 U-Net 输入。实现审计表明，该旧版去噪器没有把扩散时间步 t 作为独立输入显式送入残差块；因此日历时间特征存在，但“当前处于第几个扩散去噪步骤”的信息表达不充分。</w:t>
      </w:r>
    </w:p>
    <w:p>
      <w:pPr>
        <w:keepLines/>
        <w:spacing w:before="80" w:after="40"/>
        <w:jc w:val="center"/>
      </w:pPr>
      <w:r>
        <w:rPr>
          <w:rFonts w:ascii="Cambria Math" w:hAnsi="Cambria Math" w:eastAsia="Cambria Math"/>
          <w:sz w:val="23"/>
        </w:rPr>
        <w:t>u_V4 = Concat(xₜ, f, k) ∈ ℝ¹⁴×ᴸ    （2）</w:t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666666"/>
          <w:sz w:val="19"/>
        </w:rPr>
        <w:t>xₜ、f、k 分别为 3 通道噪声状态、3 通道日前预测和 8 通道日历编码；L=168。</w:t>
      </w:r>
    </w:p>
    <w:p>
      <w:pPr>
        <w:pStyle w:val="2"/>
        <w:keepNext/>
        <w:spacing w:before="140" w:after="80"/>
      </w:pPr>
      <w:r>
        <w:rPr>
          <w:rFonts w:ascii="Times New Roman" w:hAnsi="Times New Roman" w:eastAsia="微软雅黑"/>
          <w:b/>
          <w:sz w:val="26"/>
        </w:rPr>
        <w:t>3.2 V5-T：只补齐扩散时间步条件</w:t>
      </w: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V5-T 的状态输入保持 3 通道，仅接收带噪目标 x_t；扩散时间步 t 经过正弦位置编码和 MLP，再调制各残差块。该模型不接收 forecast 和 calendar，用来隔离检验“正确扩散时间步条件”本身的作用。结果表明，只加入 t 并不足以获得最优场景。</w:t>
      </w:r>
    </w:p>
    <w:p>
      <w:pPr>
        <w:keepLines/>
        <w:spacing w:before="80" w:after="40"/>
        <w:jc w:val="center"/>
      </w:pPr>
      <w:r>
        <w:rPr>
          <w:rFonts w:ascii="Cambria Math" w:hAnsi="Cambria Math" w:eastAsia="Cambria Math"/>
          <w:sz w:val="23"/>
        </w:rPr>
        <w:t>eₜ,₂ₖ = sin(t / 10000²ᵏ⁄ᵈ)，    eₜ,₂ₖ₊₁ = cos(t / 10000²ᵏ⁄ᵈ)    （3）</w:t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666666"/>
          <w:sz w:val="19"/>
        </w:rPr>
        <w:t>正弦/余弦编码把离散扩散步 t 映射为连续向量，再经 MLP 生成各残差块所需的调制参数。</w:t>
      </w:r>
    </w:p>
    <w:p>
      <w:pPr>
        <w:pStyle w:val="2"/>
        <w:keepNext/>
        <w:spacing w:before="140" w:after="80"/>
      </w:pPr>
      <w:r>
        <w:rPr>
          <w:rFonts w:ascii="Times New Roman" w:hAnsi="Times New Roman" w:eastAsia="微软雅黑"/>
          <w:b/>
          <w:sz w:val="26"/>
        </w:rPr>
        <w:t>3.3 V5-TF：时间步 + forecast/calendar 的 FiLM 条件调制</w:t>
      </w: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V5-TF 将 forecast 3 通道、calendar 8 通道和相对位置分别编码，并在编码器、瓶颈和解码器的多个尺度融合。条件不再粗暴拼接进状态主干，而是通过 FiLM（Feature-wise Linear Modulation，逐特征线性调制）控制中间特征：</w:t>
      </w:r>
    </w:p>
    <w:p>
      <w:pPr>
        <w:keepLines/>
        <w:spacing w:before="80" w:after="40"/>
        <w:jc w:val="center"/>
      </w:pPr>
      <w:r>
        <w:rPr>
          <w:rFonts w:ascii="Cambria Math" w:hAnsi="Cambria Math" w:eastAsia="Cambria Math"/>
          <w:sz w:val="23"/>
        </w:rPr>
        <w:t>c = Fuse(E_f(f), E_cal(k), E_pos(p))    （4）</w:t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666666"/>
          <w:sz w:val="19"/>
        </w:rPr>
        <w:t>E_f、E_cal、E_pos 分别编码日前预测、日历特征和 168 h 相对位置，Fuse 表示多尺度融合。</w:t>
      </w:r>
    </w:p>
    <w:p>
      <w:pPr>
        <w:keepLines/>
        <w:spacing w:before="80" w:after="40"/>
        <w:jc w:val="center"/>
      </w:pPr>
      <w:r>
        <w:rPr>
          <w:rFonts w:ascii="Cambria Math" w:hAnsi="Cambria Math" w:eastAsia="Cambria Math"/>
          <w:sz w:val="23"/>
        </w:rPr>
        <w:t>γ = γₜ + γ_c，    β = βₜ + β_c    （5）</w:t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666666"/>
          <w:sz w:val="19"/>
        </w:rPr>
        <w:t>时间步分支与外部条件分支分别产生缩放和偏移参数，再做加性融合。</w:t>
      </w:r>
    </w:p>
    <w:p>
      <w:pPr>
        <w:keepLines/>
        <w:spacing w:before="80" w:after="40"/>
        <w:jc w:val="center"/>
      </w:pPr>
      <w:r>
        <w:rPr>
          <w:rFonts w:ascii="Cambria Math" w:hAnsi="Cambria Math" w:eastAsia="Cambria Math"/>
          <w:sz w:val="23"/>
        </w:rPr>
        <w:t>h′ = (1 + γ) ⊙ Norm(h) + β    （6）</w:t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666666"/>
          <w:sz w:val="19"/>
        </w:rPr>
        <w:t>γ 控制逐通道缩放，β 控制逐通道平移，⊙ 为逐元素乘法；该操作部署在编码器、瓶颈和解码器。</w:t>
      </w: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这一设计把“扩散过程走到哪一步”和“当前气象/日历条件是什么”分开编码，再在多尺度特征上组合，既保持 3 通道状态空间语义稳定，也让外部条件直接影响每一级去噪。</w:t>
      </w: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式（6）中的“1 + γ”具有明确含义：当 γ=0、β=0 时，FiLM 退化为普通归一化特征，不会在训练初期强行改变主干网络；随着训练进行，网络再学习不同条件下各通道应放大、抑制或平移多少。换言之，FiLM 学到的是条件映射 (t,f,k,p) → (γ,β)，同一个带噪状态 xₜ 在不同日前预测和日历条件下会得到不同的去噪方向。</w:t>
      </w:r>
    </w:p>
    <w:p>
      <w:pPr>
        <w:pStyle w:val="2"/>
        <w:keepNext/>
        <w:spacing w:before="140" w:after="80"/>
      </w:pPr>
      <w:r>
        <w:rPr>
          <w:rFonts w:ascii="Times New Roman" w:hAnsi="Times New Roman" w:eastAsia="微软雅黑"/>
          <w:b/>
          <w:sz w:val="26"/>
        </w:rPr>
        <w:t>3.4 条件扩散的训练与反向生成</w:t>
      </w: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训练阶段先向标准化残差 x₀ 逐步加入高斯噪声。由于累积噪声过程具有闭式表达，可在任意时间步 t 直接构造 xₜ：</w:t>
      </w:r>
    </w:p>
    <w:p>
      <w:pPr>
        <w:keepLines/>
        <w:spacing w:before="80" w:after="40"/>
        <w:jc w:val="center"/>
      </w:pPr>
      <w:r>
        <w:rPr>
          <w:rFonts w:ascii="Cambria Math" w:hAnsi="Cambria Math" w:eastAsia="Cambria Math"/>
          <w:sz w:val="23"/>
        </w:rPr>
        <w:t>q(xₜ | x₀) = 𝒩(√ᾱₜ x₀, (1 − ᾱₜ)I)，    xₜ = √ᾱₜ x₀ + √(1 − ᾱₜ) ε    （7）</w:t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666666"/>
          <w:sz w:val="19"/>
        </w:rPr>
        <w:t>ᾱₜ 为截至 t 的累计保真系数，ε ~ 𝒩(0,I)。t 越大，xₜ 中原始残差信息越少。</w:t>
      </w: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去噪网络学习在给定 xₜ、扩散步 t 和条件 c 时预测所加入的噪声。三种模型的主要区别，就体现在条件 c 的构造与注入方式。</w:t>
      </w:r>
    </w:p>
    <w:p>
      <w:pPr>
        <w:keepLines/>
        <w:spacing w:before="80" w:after="40"/>
        <w:jc w:val="center"/>
      </w:pPr>
      <w:r>
        <w:rPr>
          <w:rFonts w:ascii="Cambria Math" w:hAnsi="Cambria Math" w:eastAsia="Cambria Math"/>
          <w:sz w:val="23"/>
        </w:rPr>
        <w:t>L_simple(θ) = 𝔼ₓ₀,ₜ,ε [ ‖ε − ε_θ(xₜ, t, c)‖₂² ]    （8）</w:t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666666"/>
          <w:sz w:val="19"/>
        </w:rPr>
        <w:t>V4-RS 用输入拼接形成 c；V5-T 仅使用 t；V5-TF 同时使用 t、forecast、calendar 和相对位置。</w:t>
      </w: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生成阶段从标准高斯噪声 x_T 开始，按 posterior 方差逐步采样 x_{t−1}，直到得到残差场景 x₀。随后通过式（1）还原实际功率场景。</w:t>
      </w:r>
    </w:p>
    <w:p>
      <w:pPr>
        <w:keepLines/>
        <w:spacing w:before="80" w:after="40"/>
        <w:jc w:val="center"/>
      </w:pPr>
      <w:r>
        <w:rPr>
          <w:rFonts w:ascii="Cambria Math" w:hAnsi="Cambria Math" w:eastAsia="Cambria Math"/>
          <w:sz w:val="23"/>
        </w:rPr>
        <w:t>xₜ₋₁ = μ_θ(xₜ,t,c) + σₜ z，    z ~ 𝒩(0,I)    （9）</w:t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666666"/>
          <w:sz w:val="19"/>
        </w:rPr>
        <w:t>本算例使用 500 个反向扩散步；随机项 z 使同一条件下能够生成多条具有差异的场景轨迹。</w:t>
      </w:r>
    </w:p>
    <w:tbl>
      <w:tblPr>
        <w:tblStyle w:val="a9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58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维度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V4-RS</w:t>
            </w:r>
          </w:p>
        </w:tc>
        <w:tc>
          <w:tcPr>
            <w:tcW w:type="dxa" w:w="216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V5-T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V5-TF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状态输入</w:t>
            </w:r>
          </w:p>
        </w:tc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x_t + 条件拼接，共 14 通道</w:t>
            </w:r>
          </w:p>
        </w:tc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仅 x_t，3 通道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仅 x_t，3 通道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扩散时间步 t</w:t>
            </w:r>
          </w:p>
        </w:tc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未独立显式注入</w:t>
            </w:r>
          </w:p>
        </w:tc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正弦嵌入 + MLP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正弦嵌入 + MLP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日前预测</w:t>
            </w:r>
          </w:p>
        </w:tc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输入拼接</w:t>
            </w:r>
          </w:p>
        </w:tc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不使用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独立编码，多尺度 FiLM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日历/时间条件</w:t>
            </w:r>
          </w:p>
        </w:tc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输入拼接</w:t>
            </w:r>
          </w:p>
        </w:tc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不使用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独立编码，多尺度 FiLM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条件作用位置</w:t>
            </w:r>
          </w:p>
        </w:tc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U-Net 输入端</w:t>
            </w:r>
          </w:p>
        </w:tc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所有残差块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编码器/瓶颈/解码器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参数量</w:t>
            </w:r>
          </w:p>
        </w:tc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2.000 M</w:t>
            </w:r>
          </w:p>
        </w:tc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1.734 M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2.532 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实验角色</w:t>
            </w:r>
          </w:p>
        </w:tc>
        <w:tc>
          <w:tcPr>
            <w:tcW w:type="dxa" w:w="2448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旧版基线</w:t>
            </w:r>
          </w:p>
        </w:tc>
        <w:tc>
          <w:tcPr>
            <w:tcW w:type="dxa" w:w="2160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时间步消融</w:t>
            </w:r>
          </w:p>
        </w:tc>
        <w:tc>
          <w:tcPr>
            <w:tcW w:type="dxa" w:w="2592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完整候选模型</w:t>
            </w:r>
          </w:p>
        </w:tc>
      </w:tr>
    </w:tbl>
    <w:p>
      <w:pPr>
        <w:spacing w:after="0"/>
      </w:pPr>
    </w:p>
    <w:p>
      <w:pPr>
        <w:pStyle w:val="1"/>
        <w:keepNext/>
        <w:spacing w:before="200" w:after="80"/>
      </w:pPr>
      <w:r>
        <w:rPr>
          <w:rFonts w:ascii="Times New Roman" w:hAnsi="Times New Roman" w:eastAsia="微软雅黑"/>
          <w:b/>
          <w:sz w:val="34"/>
        </w:rPr>
        <w:t>4. 训练收敛与 Checkpoint 选择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290767"/>
            <wp:docPr id="1" name="Picture 1" descr="图 1　三种架构的训练/验证损失与 Rank-1 checkpoint" title="图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training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90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555555"/>
          <w:sz w:val="19"/>
        </w:rPr>
        <w:t>图 1　三种架构的训练/验证损失与 Rank-1 checkpoint</w:t>
      </w:r>
    </w:p>
    <w:tbl>
      <w:tblPr>
        <w:tblStyle w:val="a9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158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模型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Rank-1 epoch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验证 ε-MSE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训练耗时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生成耗时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V4-RS</w:t>
            </w:r>
          </w:p>
        </w:tc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11</w:t>
            </w:r>
          </w:p>
        </w:tc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0.14627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25.9 min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6.4 min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V5-T</w:t>
            </w:r>
          </w:p>
        </w:tc>
        <w:tc>
          <w:tcPr>
            <w:tcW w:type="dxa" w:w="15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29</w:t>
            </w:r>
          </w:p>
        </w:tc>
        <w:tc>
          <w:tcPr>
            <w:tcW w:type="dxa" w:w="20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0.14264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2.7 min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6.7 min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V5-TF</w:t>
            </w:r>
          </w:p>
        </w:tc>
        <w:tc>
          <w:tcPr>
            <w:tcW w:type="dxa" w:w="1584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2016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0.13055</w:t>
            </w:r>
          </w:p>
        </w:tc>
        <w:tc>
          <w:tcPr>
            <w:tcW w:type="dxa" w:w="1728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2.1 min</w:t>
            </w:r>
          </w:p>
        </w:tc>
        <w:tc>
          <w:tcPr>
            <w:tcW w:type="dxa" w:w="1728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8.3 min</w:t>
            </w:r>
          </w:p>
        </w:tc>
      </w:tr>
    </w:tbl>
    <w:p>
      <w:pPr>
        <w:spacing w:after="0"/>
      </w:pP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V5-TF 在较早的 epoch 8 即达到最低验证 ε-MSE（0.13055），优于 V5-T 的 0.14264 和 V4-RS 的 0.14627。训练损失继续下降并不等价于场景质量持续提升，因此本阶段坚持使用验证指标选择 checkpoint，而不是直接取最后一轮。</w:t>
      </w:r>
    </w:p>
    <w:p>
      <w:pPr>
        <w:pStyle w:val="1"/>
        <w:keepNext/>
        <w:spacing w:before="200" w:after="80"/>
      </w:pPr>
      <w:r>
        <w:rPr>
          <w:rFonts w:ascii="Times New Roman" w:hAnsi="Times New Roman" w:eastAsia="微软雅黑"/>
          <w:b/>
          <w:sz w:val="34"/>
        </w:rPr>
        <w:t>5. Rank-1 完整对比结果</w:t>
      </w:r>
    </w:p>
    <w:tbl>
      <w:tblPr>
        <w:tblStyle w:val="a9"/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  <w:cantSplit/>
        </w:trPr>
        <w:tc>
          <w:tcPr>
            <w:tcW w:type="dxa" w:w="9878"/>
            <w:shd w:fill="EAF3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2"/>
              </w:rPr>
              <w:t>主表口径</w:t>
            </w:r>
          </w:p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以下均为物理投影后的验证集结果。CRPS、MVES、ACF 误差、净负荷 MAE 和爬坡 MAE 均为越低越好；90% 覆盖率越接近 90% 越好。</w:t>
            </w:r>
          </w:p>
        </w:tc>
      </w:tr>
    </w:tbl>
    <w:p>
      <w:pPr>
        <w:spacing w:after="0"/>
      </w:pPr>
    </w:p>
    <w:tbl>
      <w:tblPr>
        <w:tblStyle w:val="a9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  <w:cantSplit/>
        </w:trPr>
        <w:tc>
          <w:tcPr>
            <w:tcW w:type="dxa" w:w="1037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模型</w:t>
            </w:r>
          </w:p>
        </w:tc>
        <w:tc>
          <w:tcPr>
            <w:tcW w:type="dxa" w:w="1037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CRPS</w:t>
            </w:r>
          </w:p>
        </w:tc>
        <w:tc>
          <w:tcPr>
            <w:tcW w:type="dxa" w:w="1123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MVES</w:t>
            </w:r>
          </w:p>
        </w:tc>
        <w:tc>
          <w:tcPr>
            <w:tcW w:type="dxa" w:w="1037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ACF误差</w:t>
            </w:r>
          </w:p>
        </w:tc>
        <w:tc>
          <w:tcPr>
            <w:tcW w:type="dxa" w:w="1181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90%覆盖/%</w:t>
            </w:r>
          </w:p>
        </w:tc>
        <w:tc>
          <w:tcPr>
            <w:tcW w:type="dxa" w:w="1037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90%宽度</w:t>
            </w:r>
          </w:p>
        </w:tc>
        <w:tc>
          <w:tcPr>
            <w:tcW w:type="dxa" w:w="12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净负荷MAE</w:t>
            </w:r>
          </w:p>
        </w:tc>
        <w:tc>
          <w:tcPr>
            <w:tcW w:type="dxa" w:w="1267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6h爬坡MAE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V4-RS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828.33</w:t>
            </w:r>
          </w:p>
        </w:tc>
        <w:tc>
          <w:tcPr>
            <w:tcW w:type="dxa" w:w="112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27,021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0.01995</w:t>
            </w:r>
          </w:p>
        </w:tc>
        <w:tc>
          <w:tcPr>
            <w:tcW w:type="dxa" w:w="11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76.47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15.09</w:t>
            </w:r>
          </w:p>
        </w:tc>
        <w:tc>
          <w:tcPr>
            <w:tcW w:type="dxa" w:w="12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2,631</w:t>
            </w:r>
          </w:p>
        </w:tc>
        <w:tc>
          <w:tcPr>
            <w:tcW w:type="dxa" w:w="12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2,751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V5-T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938.59</w:t>
            </w:r>
          </w:p>
        </w:tc>
        <w:tc>
          <w:tcPr>
            <w:tcW w:type="dxa" w:w="112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30,603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0.02682</w:t>
            </w:r>
          </w:p>
        </w:tc>
        <w:tc>
          <w:tcPr>
            <w:tcW w:type="dxa" w:w="11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82.67</w:t>
            </w:r>
          </w:p>
        </w:tc>
        <w:tc>
          <w:tcPr>
            <w:tcW w:type="dxa" w:w="103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17.60</w:t>
            </w:r>
          </w:p>
        </w:tc>
        <w:tc>
          <w:tcPr>
            <w:tcW w:type="dxa" w:w="123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2,931</w:t>
            </w:r>
          </w:p>
        </w:tc>
        <w:tc>
          <w:tcPr>
            <w:tcW w:type="dxa" w:w="12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3,936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V5-TF</w:t>
            </w:r>
          </w:p>
        </w:tc>
        <w:tc>
          <w:tcPr>
            <w:tcW w:type="dxa" w:w="1037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728.39</w:t>
            </w:r>
          </w:p>
        </w:tc>
        <w:tc>
          <w:tcPr>
            <w:tcW w:type="dxa" w:w="1123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23,971</w:t>
            </w:r>
          </w:p>
        </w:tc>
        <w:tc>
          <w:tcPr>
            <w:tcW w:type="dxa" w:w="1037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0.01096</w:t>
            </w:r>
          </w:p>
        </w:tc>
        <w:tc>
          <w:tcPr>
            <w:tcW w:type="dxa" w:w="1181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81.60</w:t>
            </w:r>
          </w:p>
        </w:tc>
        <w:tc>
          <w:tcPr>
            <w:tcW w:type="dxa" w:w="1037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13.30</w:t>
            </w:r>
          </w:p>
        </w:tc>
        <w:tc>
          <w:tcPr>
            <w:tcW w:type="dxa" w:w="1238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1,944</w:t>
            </w:r>
          </w:p>
        </w:tc>
        <w:tc>
          <w:tcPr>
            <w:tcW w:type="dxa" w:w="1267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2,632</w:t>
            </w:r>
          </w:p>
        </w:tc>
      </w:tr>
    </w:tbl>
    <w:p>
      <w:pPr>
        <w:spacing w:after="0"/>
      </w:pPr>
    </w:p>
    <w:tbl>
      <w:tblPr>
        <w:tblStyle w:val="a9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16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指标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V4-RS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V5-TF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相对改善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CRPS</w:t>
            </w:r>
          </w:p>
        </w:tc>
        <w:tc>
          <w:tcPr>
            <w:tcW w:type="dxa" w:w="1944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828.33</w:t>
            </w:r>
          </w:p>
        </w:tc>
        <w:tc>
          <w:tcPr>
            <w:tcW w:type="dxa" w:w="1944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728.39</w:t>
            </w:r>
          </w:p>
        </w:tc>
        <w:tc>
          <w:tcPr>
            <w:tcW w:type="dxa" w:w="1944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12.07%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MVES</w:t>
            </w:r>
          </w:p>
        </w:tc>
        <w:tc>
          <w:tcPr>
            <w:tcW w:type="dxa" w:w="1944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27,021</w:t>
            </w:r>
          </w:p>
        </w:tc>
        <w:tc>
          <w:tcPr>
            <w:tcW w:type="dxa" w:w="1944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23,971</w:t>
            </w:r>
          </w:p>
        </w:tc>
        <w:tc>
          <w:tcPr>
            <w:tcW w:type="dxa" w:w="1944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11.29%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ACF 误差</w:t>
            </w:r>
          </w:p>
        </w:tc>
        <w:tc>
          <w:tcPr>
            <w:tcW w:type="dxa" w:w="1944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0.01995</w:t>
            </w:r>
          </w:p>
        </w:tc>
        <w:tc>
          <w:tcPr>
            <w:tcW w:type="dxa" w:w="1944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0.01096</w:t>
            </w:r>
          </w:p>
        </w:tc>
        <w:tc>
          <w:tcPr>
            <w:tcW w:type="dxa" w:w="1944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45.07%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净负荷 MAE</w:t>
            </w:r>
          </w:p>
        </w:tc>
        <w:tc>
          <w:tcPr>
            <w:tcW w:type="dxa" w:w="1944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2,631</w:t>
            </w:r>
          </w:p>
        </w:tc>
        <w:tc>
          <w:tcPr>
            <w:tcW w:type="dxa" w:w="1944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1,944</w:t>
            </w:r>
          </w:p>
        </w:tc>
        <w:tc>
          <w:tcPr>
            <w:tcW w:type="dxa" w:w="1944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26.13%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6h 爬坡 MAE</w:t>
            </w:r>
          </w:p>
        </w:tc>
        <w:tc>
          <w:tcPr>
            <w:tcW w:type="dxa" w:w="1944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2,751</w:t>
            </w:r>
          </w:p>
        </w:tc>
        <w:tc>
          <w:tcPr>
            <w:tcW w:type="dxa" w:w="1944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2,632</w:t>
            </w:r>
          </w:p>
        </w:tc>
        <w:tc>
          <w:tcPr>
            <w:tcW w:type="dxa" w:w="1944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4.32%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908285"/>
            <wp:docPr id="2" name="Picture 2" descr="图 2　物理投影后 Rank-1 指标相对 V4-RS 的比值" title="图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metric_rati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0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555555"/>
          <w:sz w:val="19"/>
        </w:rPr>
        <w:t>图 2　物理投影后 Rank-1 指标相对 V4-RS 的比值</w:t>
      </w: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V5-TF 在五个主要“越低越好”指标上均优于 V4-RS。V5-T 的 90% 覆盖率最高，但其区间更宽、CRPS/MVES/爬坡误差更差，说明较高覆盖率主要来自分布过宽，而非整体概率质量更好。</w:t>
      </w:r>
    </w:p>
    <w:p>
      <w:pPr>
        <w:pStyle w:val="1"/>
        <w:keepNext/>
        <w:spacing w:before="200" w:after="80"/>
      </w:pPr>
      <w:r>
        <w:rPr>
          <w:rFonts w:ascii="Times New Roman" w:hAnsi="Times New Roman" w:eastAsia="微软雅黑"/>
          <w:b/>
          <w:sz w:val="34"/>
        </w:rPr>
        <w:t>6. 场景曲线与概率包络</w:t>
      </w: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代表性窗口采用预先固定的客观规则选择：净负荷日前预测 MAE 最接近 553 个验证窗口的中位数。选中的是第 436 个窗口（零基索引 435），其日前净负荷 MAE 为 2714.49 MW。该规则用于展示典型而非极端样本。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4538688"/>
            <wp:docPr id="3" name="Picture 3" descr="图 3　三种模型在同一代表性窗口上的 90% 场景包络" title="图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envelope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53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555555"/>
          <w:sz w:val="19"/>
        </w:rPr>
        <w:t>图 3　三种模型在同一代表性窗口上的 90% 场景包络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138133"/>
            <wp:docPr id="4" name="Picture 4" descr="图 4　V5-TF Rank-1 的 20 条场景曲线、90% 包络和中位数" title="图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v5tf_scenario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38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555555"/>
          <w:sz w:val="19"/>
        </w:rPr>
        <w:t>图 4　V5-TF Rank-1 的 20 条场景曲线、90% 包络和中位数</w:t>
      </w: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三种模型均能跟随风电、光伏和负荷的主趋势。V5-T 在风电和负荷部分时段表现出偏宽包络；V5-TF 的场景中位数整体更贴近实测，同时保留必要离散度。光伏的昼夜周期在投影后严格非负，近夜间点被置零。</w:t>
      </w:r>
    </w:p>
    <w:p>
      <w:pPr>
        <w:pStyle w:val="1"/>
        <w:keepNext/>
        <w:spacing w:before="200" w:after="80"/>
      </w:pPr>
      <w:r>
        <w:rPr>
          <w:rFonts w:ascii="Times New Roman" w:hAnsi="Times New Roman" w:eastAsia="微软雅黑"/>
          <w:b/>
          <w:sz w:val="34"/>
        </w:rPr>
        <w:t>7. 概率校准与变量分项结果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3800190"/>
            <wp:docPr id="5" name="Picture 5" descr="图 5　物理投影后的 80%/90%/95% 区间校准曲线" title="图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calib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0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555555"/>
          <w:sz w:val="19"/>
        </w:rPr>
        <w:t>图 5　物理投影后的 80%/90%/95% 区间校准曲线</w:t>
      </w:r>
    </w:p>
    <w:tbl>
      <w:tblPr>
        <w:tblStyle w:val="a9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模型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80%覆盖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90%覆盖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95%覆盖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90%宽度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V4-RS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68.46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76.47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81.89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15.09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V5-T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74.36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82.67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87.94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17.60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V5-TF</w:t>
            </w:r>
          </w:p>
        </w:tc>
        <w:tc>
          <w:tcPr>
            <w:tcW w:type="dxa" w:w="1728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73.25</w:t>
            </w:r>
          </w:p>
        </w:tc>
        <w:tc>
          <w:tcPr>
            <w:tcW w:type="dxa" w:w="1728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81.60</w:t>
            </w:r>
          </w:p>
        </w:tc>
        <w:tc>
          <w:tcPr>
            <w:tcW w:type="dxa" w:w="1728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86.89</w:t>
            </w:r>
          </w:p>
        </w:tc>
        <w:tc>
          <w:tcPr>
            <w:tcW w:type="dxa" w:w="1728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13.30</w:t>
            </w:r>
          </w:p>
        </w:tc>
      </w:tr>
    </w:tbl>
    <w:p>
      <w:pPr>
        <w:spacing w:after="0"/>
      </w:pP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三种模型均存在不同程度的欠覆盖。V5-TF 的 90% 实测覆盖率为 81.60%，比 V4-RS 高 5.12 个百分点，但仍低于名义 90%。因此 V5-TF 已显著改善概率质量，却仍需要后续校准（例如验证集上的分位数扩张或 conformal 校准），不能把当前包络解释为已经完全校准。</w:t>
      </w:r>
    </w:p>
    <w:tbl>
      <w:tblPr>
        <w:tblStyle w:val="a9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  <w:cantSplit/>
        </w:trPr>
        <w:tc>
          <w:tcPr>
            <w:tcW w:type="dxa" w:w="122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模型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风电CRPS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光伏CRPS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负荷CRPS</w:t>
            </w:r>
          </w:p>
        </w:tc>
        <w:tc>
          <w:tcPr>
            <w:tcW w:type="dxa" w:w="1181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风电ACF</w:t>
            </w:r>
          </w:p>
        </w:tc>
        <w:tc>
          <w:tcPr>
            <w:tcW w:type="dxa" w:w="1181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光伏ACF</w:t>
            </w:r>
          </w:p>
        </w:tc>
        <w:tc>
          <w:tcPr>
            <w:tcW w:type="dxa" w:w="1181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负荷ACF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V4-RS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1,326.18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395.07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763.76</w:t>
            </w:r>
          </w:p>
        </w:tc>
        <w:tc>
          <w:tcPr>
            <w:tcW w:type="dxa" w:w="11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0.01990</w:t>
            </w:r>
          </w:p>
        </w:tc>
        <w:tc>
          <w:tcPr>
            <w:tcW w:type="dxa" w:w="11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0.01849</w:t>
            </w:r>
          </w:p>
        </w:tc>
        <w:tc>
          <w:tcPr>
            <w:tcW w:type="dxa" w:w="11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0.02148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V5-T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1,488.00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481.83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845.93</w:t>
            </w:r>
          </w:p>
        </w:tc>
        <w:tc>
          <w:tcPr>
            <w:tcW w:type="dxa" w:w="11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0.03738</w:t>
            </w:r>
          </w:p>
        </w:tc>
        <w:tc>
          <w:tcPr>
            <w:tcW w:type="dxa" w:w="11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0.02884</w:t>
            </w:r>
          </w:p>
        </w:tc>
        <w:tc>
          <w:tcPr>
            <w:tcW w:type="dxa" w:w="11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0.01426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V5-TF</w:t>
            </w:r>
          </w:p>
        </w:tc>
        <w:tc>
          <w:tcPr>
            <w:tcW w:type="dxa" w:w="1296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1,135.64</w:t>
            </w:r>
          </w:p>
        </w:tc>
        <w:tc>
          <w:tcPr>
            <w:tcW w:type="dxa" w:w="1296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368.91</w:t>
            </w:r>
          </w:p>
        </w:tc>
        <w:tc>
          <w:tcPr>
            <w:tcW w:type="dxa" w:w="1296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680.62</w:t>
            </w:r>
          </w:p>
        </w:tc>
        <w:tc>
          <w:tcPr>
            <w:tcW w:type="dxa" w:w="1181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0.01697</w:t>
            </w:r>
          </w:p>
        </w:tc>
        <w:tc>
          <w:tcPr>
            <w:tcW w:type="dxa" w:w="1181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0.00782</w:t>
            </w:r>
          </w:p>
        </w:tc>
        <w:tc>
          <w:tcPr>
            <w:tcW w:type="dxa" w:w="1181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0.00811</w:t>
            </w:r>
          </w:p>
        </w:tc>
      </w:tr>
    </w:tbl>
    <w:p>
      <w:pPr>
        <w:spacing w:after="0"/>
      </w:pP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V5-TF 的总 CRPS 优势主要来自光伏和负荷，同时其风电 CRPS 也优于 V4-RS。分项 ACF 显示 V5-TF 在光伏和负荷上拟合较好；风电的短时相关结构仍有进一步优化空间。</w:t>
      </w:r>
    </w:p>
    <w:p>
      <w:pPr>
        <w:pStyle w:val="1"/>
        <w:keepNext/>
        <w:spacing w:before="200" w:after="80"/>
      </w:pPr>
      <w:r>
        <w:rPr>
          <w:rFonts w:ascii="Times New Roman" w:hAnsi="Times New Roman" w:eastAsia="微软雅黑"/>
          <w:b/>
          <w:sz w:val="34"/>
        </w:rPr>
        <w:t>8. 时间相关性与爬坡特性</w:t>
      </w: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时间相关性不是单点误差，而是场景轨迹的连续性和周期性。这里采用三类参数：① ACF MAE，衡量 1–24 h 自相关函数与实测的偏差；② 1 h/6 h 净负荷爬坡 MAE，衡量相邻或跨 6 h 变化量；③ cross-variable correlation MAE，衡量风、光、荷三变量相关矩阵的偏差。</w:t>
      </w:r>
    </w:p>
    <w:p>
      <w:pPr>
        <w:keepLines/>
        <w:spacing w:before="80" w:after="40"/>
        <w:jc w:val="center"/>
      </w:pPr>
      <w:r>
        <w:rPr>
          <w:rFonts w:ascii="Cambria Math" w:hAnsi="Cambria Math" w:eastAsia="Cambria Math"/>
          <w:sz w:val="23"/>
        </w:rPr>
        <w:t>ρ(k) = Σₜ₌₁ᴸ⁻ᵏ (xₜ−x̄)(xₜ₊ₖ−x̄) / Σₜ₌₁ᴸ (xₜ−x̄)²    （10）</w:t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666666"/>
          <w:sz w:val="19"/>
        </w:rPr>
        <w:t>ρ(k) 为滞后 k 小时的自相关系数；本报告比较 k=1,…,24 的场景平均 ACF 与实测 ACF。</w:t>
      </w:r>
    </w:p>
    <w:p>
      <w:pPr>
        <w:keepLines/>
        <w:spacing w:before="80" w:after="40"/>
        <w:jc w:val="center"/>
      </w:pPr>
      <w:r>
        <w:rPr>
          <w:rFonts w:ascii="Cambria Math" w:hAnsi="Cambria Math" w:eastAsia="Cambria Math"/>
          <w:sz w:val="23"/>
        </w:rPr>
        <w:t>ACF-MAE = (1/K) Σₖ₌₁ᴷ |ρ_gen(k) − ρ_real(k)|，    K=24    （11）</w:t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666666"/>
          <w:sz w:val="19"/>
        </w:rPr>
        <w:t>ACF-MAE 越低，说明生成轨迹的短期记忆和日内周期越接近真实序列。</w:t>
      </w:r>
    </w:p>
    <w:p>
      <w:pPr>
        <w:keepLines/>
        <w:spacing w:before="80" w:after="40"/>
        <w:jc w:val="center"/>
      </w:pPr>
      <w:r>
        <w:rPr>
          <w:rFonts w:ascii="Cambria Math" w:hAnsi="Cambria Math" w:eastAsia="Cambria Math"/>
          <w:sz w:val="23"/>
        </w:rPr>
        <w:t>nₜ = loadₜ − windₜ − solarₜ，    Δₖnₜ = nₜ₊ₖ − nₜ    （12）</w:t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666666"/>
          <w:sz w:val="19"/>
        </w:rPr>
        <w:t>nₜ 为净负荷；分别令 k=1 和 k=6，评价 1 h 与 6 h 爬坡变化。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57291"/>
            <wp:docPr id="6" name="Picture 6" descr="图 6　风电、光伏、负荷的平均自相关函数（0–24 h）" title="图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acf_cur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57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555555"/>
          <w:sz w:val="19"/>
        </w:rPr>
        <w:t>图 6　风电、光伏、负荷的平均自相关函数（0–24 h）</w:t>
      </w:r>
    </w:p>
    <w:tbl>
      <w:tblPr>
        <w:tblStyle w:val="a9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151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模型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ACF误差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净负荷1h爬坡MAE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净负荷6h爬坡MAE</w:t>
            </w:r>
          </w:p>
        </w:tc>
        <w:tc>
          <w:tcPr>
            <w:tcW w:type="dxa" w:w="208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跨变量相关误差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V4-RS</w:t>
            </w:r>
          </w:p>
        </w:tc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0.01995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1,845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2,751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0.04346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V5-T</w:t>
            </w:r>
          </w:p>
        </w:tc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0.02682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2,215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3,936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0.18195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V5-TF</w:t>
            </w:r>
          </w:p>
        </w:tc>
        <w:tc>
          <w:tcPr>
            <w:tcW w:type="dxa" w:w="1512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0.01096</w:t>
            </w:r>
          </w:p>
        </w:tc>
        <w:tc>
          <w:tcPr>
            <w:tcW w:type="dxa" w:w="2232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1,757</w:t>
            </w:r>
          </w:p>
        </w:tc>
        <w:tc>
          <w:tcPr>
            <w:tcW w:type="dxa" w:w="2232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2,632</w:t>
            </w:r>
          </w:p>
        </w:tc>
        <w:tc>
          <w:tcPr>
            <w:tcW w:type="dxa" w:w="2088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0.06487</w:t>
            </w:r>
          </w:p>
        </w:tc>
      </w:tr>
    </w:tbl>
    <w:p>
      <w:pPr>
        <w:spacing w:after="0"/>
      </w:pP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V5-TF 的 ACF 误差最低，为 0.01096，说明其整体时间依赖最接近实测；6 h 净负荷爬坡误差也低于 V4-RS。需要如实保留的不足是：跨变量相关误差方面 V4-RS（0.04346）仍优于 V5-TF（0.06487），而 V5-T 最差（0.18195）。因此下一阶段应在保留 FiLM 优势的同时加强风—光—荷联合相关结构。</w:t>
      </w:r>
    </w:p>
    <w:p>
      <w:pPr>
        <w:pStyle w:val="1"/>
        <w:keepNext/>
        <w:spacing w:before="200" w:after="80"/>
      </w:pPr>
      <w:r>
        <w:rPr>
          <w:rFonts w:ascii="Times New Roman" w:hAnsi="Times New Roman" w:eastAsia="微软雅黑"/>
          <w:b/>
          <w:sz w:val="34"/>
        </w:rPr>
        <w:t>9. FiLM 条件消融：新增信息是否真正有效</w:t>
      </w:r>
    </w:p>
    <w:tbl>
      <w:tblPr>
        <w:tblStyle w:val="a9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V5-TF 设置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CRPS（原始）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相对完整模型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ACF误差</w:t>
            </w:r>
          </w:p>
        </w:tc>
        <w:tc>
          <w:tcPr>
            <w:tcW w:type="dxa" w:w="208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跨变量相关误差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完整 forecast + calendar</w:t>
            </w:r>
          </w:p>
        </w:tc>
        <w:tc>
          <w:tcPr>
            <w:tcW w:type="dxa" w:w="1728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732.55</w:t>
            </w:r>
          </w:p>
        </w:tc>
        <w:tc>
          <w:tcPr>
            <w:tcW w:type="dxa" w:w="1728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基准</w:t>
            </w:r>
          </w:p>
        </w:tc>
        <w:tc>
          <w:tcPr>
            <w:tcW w:type="dxa" w:w="1728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0.01150</w:t>
            </w:r>
          </w:p>
        </w:tc>
        <w:tc>
          <w:tcPr>
            <w:tcW w:type="dxa" w:w="2088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0.06503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去掉 calendar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813.59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+11.06%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0.01078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0.07018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去掉 forecast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1,014.84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+38.54%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0.02412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0.16920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330925"/>
            <wp:docPr id="7" name="Picture 7" descr="图 7　V5-TF 条件消融与物理投影效果" title="图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ablation_proj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30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555555"/>
          <w:sz w:val="19"/>
        </w:rPr>
        <w:t>图 7　V5-TF 条件消融与物理投影效果</w:t>
      </w: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去掉 calendar 后 CRPS 上升 11.06%，说明日历/周期信息有稳定贡献；去掉 forecast 后 CRPS 上升 38.54%，ACF 与跨变量相关性也显著恶化，说明日前预测是最关键的外部条件。该消融同时证明 FiLM 不是形式上的结构增加，而是在有效利用条件信息。</w:t>
      </w:r>
    </w:p>
    <w:p>
      <w:pPr>
        <w:pStyle w:val="1"/>
        <w:keepNext/>
        <w:spacing w:before="200" w:after="80"/>
      </w:pPr>
      <w:r>
        <w:rPr>
          <w:rFonts w:ascii="Times New Roman" w:hAnsi="Times New Roman" w:eastAsia="微软雅黑"/>
          <w:b/>
          <w:sz w:val="34"/>
        </w:rPr>
        <w:t>10. 物理越界来源与最稳妥处理</w:t>
      </w:r>
    </w:p>
    <w:p>
      <w:pPr>
        <w:pStyle w:val="2"/>
        <w:keepNext/>
        <w:spacing w:before="140" w:after="80"/>
      </w:pPr>
      <w:r>
        <w:rPr>
          <w:rFonts w:ascii="Times New Roman" w:hAnsi="Times New Roman" w:eastAsia="微软雅黑"/>
          <w:b/>
          <w:sz w:val="26"/>
        </w:rPr>
        <w:t>10.1 为什么清洗后仍会生成负太阳能</w:t>
      </w: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数据清洗约束的是训练样本，不会自动约束生成器的输出空间。模型学习的是标准化残差，而扩散采样从高斯噪声开始，网络输出在数学上仍属于无界实数。夜间 forecast 接近 0，只要生成残差略偏正，通过 actual = forecast − residual 重构后就会得到负光伏。因此负值的根源是“无界随机生成 + 残差重构”，不是原始数据里仍残留负值。</w:t>
      </w:r>
    </w:p>
    <w:p>
      <w:pPr>
        <w:pStyle w:val="2"/>
        <w:keepNext/>
        <w:spacing w:before="140" w:after="80"/>
      </w:pPr>
      <w:r>
        <w:rPr>
          <w:rFonts w:ascii="Times New Roman" w:hAnsi="Times New Roman" w:eastAsia="微软雅黑"/>
          <w:b/>
          <w:sz w:val="26"/>
        </w:rPr>
        <w:t>10.2 当前采用的物理可行域投影</w:t>
      </w:r>
    </w:p>
    <w:tbl>
      <w:tblPr>
        <w:tblStyle w:val="a9"/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  <w:cantSplit/>
        </w:trPr>
        <w:tc>
          <w:tcPr>
            <w:tcW w:type="dxa" w:w="9878"/>
            <w:shd w:fill="EAF3F8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2"/>
              </w:rPr>
              <w:t>约束规则</w:t>
            </w:r>
          </w:p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wind = clip(wind, 0, wind_capacity)；solar = clip(solar, 0, solar_capacity)；load = max(load, 0)；当 solar_forecast ≤ 1 MW 时 solar = 0。</w:t>
            </w:r>
          </w:p>
        </w:tc>
      </w:tr>
    </w:tbl>
    <w:p>
      <w:pPr>
        <w:spacing w:after="0"/>
      </w:pPr>
    </w:p>
    <w:p>
      <w:pPr>
        <w:keepLines/>
        <w:spacing w:before="80" w:after="40"/>
        <w:jc w:val="center"/>
      </w:pPr>
      <w:r>
        <w:rPr>
          <w:rFonts w:ascii="Cambria Math" w:hAnsi="Cambria Math" w:eastAsia="Cambria Math"/>
          <w:sz w:val="23"/>
        </w:rPr>
        <w:t>P_w(z) = min(max(z,0), C_w)，    P_l(z) = max(z,0)    （13）</w:t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666666"/>
          <w:sz w:val="19"/>
        </w:rPr>
        <w:t>C_w 为风电容量上界；负荷仅施加非负下界。</w:t>
      </w:r>
    </w:p>
    <w:p>
      <w:pPr>
        <w:keepLines/>
        <w:spacing w:before="80" w:after="40"/>
        <w:jc w:val="center"/>
      </w:pPr>
      <w:r>
        <w:rPr>
          <w:rFonts w:ascii="Cambria Math" w:hAnsi="Cambria Math" w:eastAsia="Cambria Math"/>
          <w:sz w:val="23"/>
        </w:rPr>
        <w:t>P_s(z;f_s) = 0，若 f_s ≤ 1 MW；否则 P_s(z;f_s) = min(max(z,0), C_s)    （14）</w:t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666666"/>
          <w:sz w:val="19"/>
        </w:rPr>
        <w:t>C_s 为光伏容量上界；f_s≤1 MW 用作当前数据上的近似夜间标志。</w:t>
      </w:r>
    </w:p>
    <w:tbl>
      <w:tblPr>
        <w:tblStyle w:val="a9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  <w:cantSplit/>
        </w:trPr>
        <w:tc>
          <w:tcPr>
            <w:tcW w:type="dxa" w:w="122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模型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原始越界/%</w:t>
            </w:r>
          </w:p>
        </w:tc>
        <w:tc>
          <w:tcPr>
            <w:tcW w:type="dxa" w:w="115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投影后/%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原始CRPS</w:t>
            </w:r>
          </w:p>
        </w:tc>
        <w:tc>
          <w:tcPr>
            <w:tcW w:type="dxa" w:w="136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投影后CRPS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原始光伏CRPS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投影后光伏CRPS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V4-RS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32.95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846.94</w:t>
            </w:r>
          </w:p>
        </w:tc>
        <w:tc>
          <w:tcPr>
            <w:tcW w:type="dxa" w:w="13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828.33</w:t>
            </w:r>
          </w:p>
        </w:tc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443.51</w:t>
            </w:r>
          </w:p>
        </w:tc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395.07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V5-T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39.12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971.19</w:t>
            </w:r>
          </w:p>
        </w:tc>
        <w:tc>
          <w:tcPr>
            <w:tcW w:type="dxa" w:w="13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938.59</w:t>
            </w:r>
          </w:p>
        </w:tc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571.09</w:t>
            </w:r>
          </w:p>
        </w:tc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481.83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V5-TF</w:t>
            </w:r>
          </w:p>
        </w:tc>
        <w:tc>
          <w:tcPr>
            <w:tcW w:type="dxa" w:w="1296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19.12</w:t>
            </w:r>
          </w:p>
        </w:tc>
        <w:tc>
          <w:tcPr>
            <w:tcW w:type="dxa" w:w="1152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</w:t>
            </w:r>
          </w:p>
        </w:tc>
        <w:tc>
          <w:tcPr>
            <w:tcW w:type="dxa" w:w="1296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732.55</w:t>
            </w:r>
          </w:p>
        </w:tc>
        <w:tc>
          <w:tcPr>
            <w:tcW w:type="dxa" w:w="1368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728.39</w:t>
            </w:r>
          </w:p>
        </w:tc>
        <w:tc>
          <w:tcPr>
            <w:tcW w:type="dxa" w:w="1512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381.22</w:t>
            </w:r>
          </w:p>
        </w:tc>
        <w:tc>
          <w:tcPr>
            <w:tcW w:type="dxa" w:w="1512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368.91</w:t>
            </w:r>
          </w:p>
        </w:tc>
      </w:tr>
    </w:tbl>
    <w:p>
      <w:pPr>
        <w:spacing w:after="0"/>
      </w:pP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V5-TF 原始任一物理越界率为 19.12%，主要由光伏负值（18.64%）构成。投影后越界率为 0%，总 CRPS 从 732.55 降至 728.39，光伏 CRPS 从 381.22 降至 368.91。原始数组未覆盖，约束后数组与指标单独保存，因此既满足业务可用性，也保留科研审计链。</w:t>
      </w:r>
    </w:p>
    <w:p>
      <w:pPr>
        <w:pStyle w:val="1"/>
        <w:keepNext/>
        <w:spacing w:before="200" w:after="80"/>
      </w:pPr>
      <w:r>
        <w:rPr>
          <w:rFonts w:ascii="Times New Roman" w:hAnsi="Times New Roman" w:eastAsia="微软雅黑"/>
          <w:b/>
          <w:sz w:val="34"/>
        </w:rPr>
        <w:t>11. 配对统计与 checkpoint 稳定性</w:t>
      </w:r>
    </w:p>
    <w:tbl>
      <w:tblPr>
        <w:tblStyle w:val="a9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16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比较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窗口平均 CRPS 差值</w:t>
            </w:r>
          </w:p>
        </w:tc>
        <w:tc>
          <w:tcPr>
            <w:tcW w:type="dxa" w:w="2376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95% Bootstrap CI</w:t>
            </w:r>
          </w:p>
        </w:tc>
        <w:tc>
          <w:tcPr>
            <w:tcW w:type="dxa" w:w="2376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V5-TF 更优窗口占比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V5-TF − V4-RS</w:t>
            </w:r>
          </w:p>
        </w:tc>
        <w:tc>
          <w:tcPr>
            <w:tcW w:type="dxa" w:w="2232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-103.77</w:t>
            </w:r>
          </w:p>
        </w:tc>
        <w:tc>
          <w:tcPr>
            <w:tcW w:type="dxa" w:w="2376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[-110.89, -96.69]</w:t>
            </w:r>
          </w:p>
        </w:tc>
        <w:tc>
          <w:tcPr>
            <w:tcW w:type="dxa" w:w="2376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98.37%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V5-TF − V5-T</w:t>
            </w:r>
          </w:p>
        </w:tc>
        <w:tc>
          <w:tcPr>
            <w:tcW w:type="dxa" w:w="2232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-221.24</w:t>
            </w:r>
          </w:p>
        </w:tc>
        <w:tc>
          <w:tcPr>
            <w:tcW w:type="dxa" w:w="2376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[-229.00, -213.43]</w:t>
            </w:r>
          </w:p>
        </w:tc>
        <w:tc>
          <w:tcPr>
            <w:tcW w:type="dxa" w:w="2376"/>
            <w:vAlign w:val="center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100.00%</w:t>
            </w:r>
          </w:p>
        </w:tc>
      </w:tr>
    </w:tbl>
    <w:p>
      <w:pPr>
        <w:spacing w:after="0"/>
      </w:pP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差值小于 0 表示 V5-TF 更好。10,000 次窗口级配对 Bootstrap 的两个置信区间均完全小于 0，说明 V5-TF 的优势不是由少数窗口偶然造成。V5-TF 的 Rank-1（epoch 8）与 Rank-2（epoch 9）总体 CRPS 接近，但 Rank-1 的 ACF 误差和 90% 覆盖率更均衡，因此推荐 epoch 8 作为当前主 checkpoint。</w:t>
      </w:r>
    </w:p>
    <w:p>
      <w:pPr>
        <w:pStyle w:val="1"/>
        <w:keepNext/>
        <w:spacing w:before="200" w:after="80"/>
      </w:pPr>
      <w:r>
        <w:rPr>
          <w:rFonts w:ascii="Times New Roman" w:hAnsi="Times New Roman" w:eastAsia="微软雅黑"/>
          <w:b/>
          <w:sz w:val="34"/>
        </w:rPr>
        <w:t>12. 结论、限制与下一步</w:t>
      </w:r>
    </w:p>
    <w:p>
      <w:pPr>
        <w:spacing w:line="288" w:lineRule="auto" w:after="80"/>
        <w:ind w:left="230" w:hanging="230"/>
      </w:pPr>
      <w:r>
        <w:rPr>
          <w:rFonts w:ascii="Times New Roman" w:hAnsi="Times New Roman" w:eastAsia="宋体"/>
          <w:b w:val="0"/>
          <w:sz w:val="23"/>
        </w:rPr>
        <w:t>1. 可以进入结果分析和项目汇报，无需因为物理投影重新训练。投影是推理/后处理约束，不改变已训练权重。</w:t>
      </w:r>
    </w:p>
    <w:p>
      <w:pPr>
        <w:spacing w:line="288" w:lineRule="auto" w:after="80"/>
        <w:ind w:left="230" w:hanging="230"/>
      </w:pPr>
      <w:r>
        <w:rPr>
          <w:rFonts w:ascii="Times New Roman" w:hAnsi="Times New Roman" w:eastAsia="宋体"/>
          <w:b w:val="0"/>
          <w:sz w:val="23"/>
        </w:rPr>
        <w:t>2. 当前最优路线是 V5-TF Rank-1（epoch 8）。它在 CRPS、MVES、ACF、净负荷和 6 h 爬坡等综合指标上优于 V4-RS。</w:t>
      </w:r>
    </w:p>
    <w:p>
      <w:pPr>
        <w:spacing w:line="288" w:lineRule="auto" w:after="80"/>
        <w:ind w:left="230" w:hanging="230"/>
      </w:pPr>
      <w:r>
        <w:rPr>
          <w:rFonts w:ascii="Times New Roman" w:hAnsi="Times New Roman" w:eastAsia="宋体"/>
          <w:b w:val="0"/>
          <w:sz w:val="23"/>
        </w:rPr>
        <w:t>3. V5-T 的结果证明：只补扩散时间步、却去掉 forecast/calendar，不足以形成有效升级；V5-TF 的优势来自时间步与外部条件的联合 FiLM 调制。</w:t>
      </w:r>
    </w:p>
    <w:p>
      <w:pPr>
        <w:spacing w:line="288" w:lineRule="auto" w:after="80"/>
        <w:ind w:left="230" w:hanging="230"/>
      </w:pPr>
      <w:r>
        <w:rPr>
          <w:rFonts w:ascii="Times New Roman" w:hAnsi="Times New Roman" w:eastAsia="宋体"/>
          <w:b w:val="0"/>
          <w:sz w:val="23"/>
        </w:rPr>
        <w:t>4. 物理投影解决了负风电/负光伏等越界，且原始结果被完整保留，符合工程应用和科研审计的双重要求。</w:t>
      </w:r>
    </w:p>
    <w:p>
      <w:pPr>
        <w:spacing w:line="288" w:lineRule="auto" w:after="80"/>
        <w:ind w:left="230" w:hanging="230"/>
      </w:pPr>
      <w:r>
        <w:rPr>
          <w:rFonts w:ascii="Times New Roman" w:hAnsi="Times New Roman" w:eastAsia="宋体"/>
          <w:b w:val="0"/>
          <w:sz w:val="23"/>
        </w:rPr>
        <w:t>5. 当前 90% 覆盖率仍偏低，跨变量相关性也未全面超过 V4-RS；这是下一阶段应优先优化的两项。</w:t>
      </w:r>
    </w:p>
    <w:p>
      <w:pPr>
        <w:spacing w:line="288" w:lineRule="auto" w:after="80"/>
        <w:ind w:left="230" w:hanging="230"/>
      </w:pPr>
      <w:r>
        <w:rPr>
          <w:rFonts w:ascii="Times New Roman" w:hAnsi="Times New Roman" w:eastAsia="宋体"/>
          <w:b w:val="0"/>
          <w:sz w:val="23"/>
        </w:rPr>
        <w:t>6. 正式对外定版前，建议增加至少 3 个训练随机种子，按预先固定规则选模型，再一次性评估测试集，避免反复查看测试集造成信息泄漏。</w:t>
      </w:r>
    </w:p>
    <w:tbl>
      <w:tblPr>
        <w:tblStyle w:val="a9"/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tblHeader w:val="true"/>
          <w:cantSplit/>
        </w:trPr>
        <w:tc>
          <w:tcPr>
            <w:tcW w:type="dxa" w:w="9878"/>
            <w:shd w:fill="E2F0D9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2"/>
              </w:rPr>
              <w:t>推荐的汇报表述</w:t>
            </w:r>
          </w:p>
          <w:p>
            <w:pPr>
              <w:spacing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“V5-TF 在验证集 Stage-1 统一算例中取得当前最佳综合结果，物理投影后零越界；相比 V4-RS，概率评分、时间相关性和净负荷指标均明显改善。下一阶段将通过多随机种子和最终测试集验证确认泛化稳定性。”</w:t>
            </w:r>
          </w:p>
        </w:tc>
      </w:tr>
    </w:tbl>
    <w:p>
      <w:pPr>
        <w:spacing w:after="0"/>
      </w:pPr>
    </w:p>
    <w:p>
      <w:pPr>
        <w:pStyle w:val="1"/>
        <w:keepNext/>
        <w:spacing w:before="200" w:after="80"/>
      </w:pPr>
      <w:r>
        <w:rPr>
          <w:rFonts w:ascii="Times New Roman" w:hAnsi="Times New Roman" w:eastAsia="微软雅黑"/>
          <w:b/>
          <w:sz w:val="34"/>
        </w:rPr>
        <w:t>附录 A　结果文件与复现口径</w:t>
      </w:r>
    </w:p>
    <w:tbl>
      <w:tblPr>
        <w:tblStyle w:val="a9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08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  <w:tc>
          <w:tcPr>
            <w:tcW w:type="dxa" w:w="676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文件/目录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主对比表</w:t>
            </w:r>
          </w:p>
        </w:tc>
        <w:tc>
          <w:tcPr>
            <w:tcW w:type="dxa" w:w="67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outputs_shandong\v5_stage1\comparisons\20260723_physical_projection\v5_stage1_comparison.csv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原始场景</w:t>
            </w:r>
          </w:p>
        </w:tc>
        <w:tc>
          <w:tcPr>
            <w:tcW w:type="dxa" w:w="67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各 result_dir 下 actual_scenarios.npy（保持不变）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约束场景</w:t>
            </w:r>
          </w:p>
        </w:tc>
        <w:tc>
          <w:tcPr>
            <w:tcW w:type="dxa" w:w="67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各 result_dir 下 actual_scenarios_constrained.npy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约束指标</w:t>
            </w:r>
          </w:p>
        </w:tc>
        <w:tc>
          <w:tcPr>
            <w:tcW w:type="dxa" w:w="67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各 result_dir 下 metrics_constrained.json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投影审计</w:t>
            </w:r>
          </w:p>
        </w:tc>
        <w:tc>
          <w:tcPr>
            <w:tcW w:type="dxa" w:w="67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各 result_dir 下 physical_projection.json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V5-TF 推荐 checkpoint</w:t>
            </w:r>
          </w:p>
        </w:tc>
        <w:tc>
          <w:tcPr>
            <w:tcW w:type="dxa" w:w="67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training run 20260722_155013... / model_epoch_8.pt</w:t>
            </w:r>
          </w:p>
        </w:tc>
      </w:tr>
    </w:tbl>
    <w:p>
      <w:pPr>
        <w:spacing w:after="0"/>
      </w:pP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说明：本报告所有主结论来自 val split；场景数、采样种子、采样方差类型、反向步数及代码提交均已固定。报告中的曲线由保存的 NPY 数组重新计算和绘制，表格由 CSV/JSON 自动读取，避免手工抄录。</w:t>
      </w:r>
    </w:p>
    <w:p>
      <w:pPr>
        <w:pStyle w:val="1"/>
        <w:keepNext/>
        <w:spacing w:before="200" w:after="80"/>
      </w:pPr>
      <w:r>
        <w:rPr>
          <w:rFonts w:ascii="Times New Roman" w:hAnsi="Times New Roman" w:eastAsia="微软雅黑"/>
          <w:b/>
          <w:sz w:val="34"/>
        </w:rPr>
        <w:t>附录 B　主要概率指标的数学含义</w:t>
      </w: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设 S 为场景数，x⁽ˢ⁾ 为第 s 条生成场景，y 为实测值。CRPS 同时考虑场景与实测的偏差以及场景集合自身的离散程度：</w:t>
      </w:r>
    </w:p>
    <w:p>
      <w:pPr>
        <w:keepLines/>
        <w:spacing w:before="80" w:after="40"/>
        <w:jc w:val="center"/>
      </w:pPr>
      <w:r>
        <w:rPr>
          <w:rFonts w:ascii="Cambria Math" w:hAnsi="Cambria Math" w:eastAsia="Cambria Math"/>
          <w:sz w:val="23"/>
        </w:rPr>
        <w:t>CRPS = (1/S)Σₛ|x⁽ˢ⁾−y| − (1/2S²)ΣₛΣₛ′|x⁽ˢ⁾−x⁽ˢ′⁾|    （15）</w:t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666666"/>
          <w:sz w:val="19"/>
        </w:rPr>
        <w:t>第一项惩罚不准确，第二项避免所有场景坍缩到同一点；综合值越低越好。</w:t>
      </w: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Energy Score 是 CRPS 的多变量推广。将一个 168 h 风—光—荷联合轨迹视为向量后，可写为：</w:t>
      </w:r>
    </w:p>
    <w:p>
      <w:pPr>
        <w:keepLines/>
        <w:spacing w:before="80" w:after="40"/>
        <w:jc w:val="center"/>
      </w:pPr>
      <w:r>
        <w:rPr>
          <w:rFonts w:ascii="Cambria Math" w:hAnsi="Cambria Math" w:eastAsia="Cambria Math"/>
          <w:sz w:val="23"/>
        </w:rPr>
        <w:t>ES = (1/S)Σₛ‖x⁽ˢ⁾−y‖₂ − (1/2S²)ΣₛΣₛ′‖x⁽ˢ⁾−x⁽ˢ′⁾‖₂    （16）</w:t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666666"/>
          <w:sz w:val="19"/>
        </w:rPr>
        <w:t>本报告中的 MVES 用于评价多变量联合场景，越低表示联合分布整体更接近实测。</w:t>
      </w:r>
    </w:p>
    <w:p>
      <w:pPr>
        <w:spacing w:line="300" w:lineRule="auto" w:after="80"/>
        <w:ind w:firstLine="475"/>
        <w:jc w:val="both"/>
      </w:pPr>
      <w:r>
        <w:rPr>
          <w:rFonts w:ascii="Times New Roman" w:hAnsi="Times New Roman" w:eastAsia="宋体"/>
          <w:b w:val="0"/>
          <w:sz w:val="23"/>
        </w:rPr>
        <w:t>覆盖率用于检查概率包络是否校准。名义覆盖率为 α 时，定义为：</w:t>
      </w:r>
    </w:p>
    <w:p>
      <w:pPr>
        <w:keepLines/>
        <w:spacing w:before="80" w:after="40"/>
        <w:jc w:val="center"/>
      </w:pPr>
      <w:r>
        <w:rPr>
          <w:rFonts w:ascii="Cambria Math" w:hAnsi="Cambria Math" w:eastAsia="Cambria Math"/>
          <w:sz w:val="23"/>
        </w:rPr>
        <w:t>Coverage_α = (1/N)Σᵢ 𝟙{q_(1−α)/2,i ≤ yᵢ ≤ q_(1+α)/2,i}    （17）</w:t>
      </w:r>
    </w:p>
    <w:p>
      <w:pPr>
        <w:spacing w:after="100"/>
        <w:jc w:val="center"/>
      </w:pPr>
      <w:r>
        <w:rPr>
          <w:rFonts w:ascii="Times New Roman" w:hAnsi="Times New Roman" w:eastAsia="宋体"/>
          <w:b w:val="0"/>
          <w:color w:val="666666"/>
          <w:sz w:val="19"/>
        </w:rPr>
        <w:t>Coverage_α 应接近 α；但还必须同时观察区间宽度，不能只靠无限扩大包络提高覆盖率。</w:t>
      </w:r>
    </w:p>
    <w:sectPr w:rsidR="00FD6E46" w:rsidRPr="00D805BF">
      <w:footerReference w:type="default" r:id="rId9"/>
      <w:pgSz w:w="12240" w:h="15840"/>
      <w:pgMar w:top="1123" w:right="1181" w:bottom="1037" w:left="118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324C1" w14:textId="77777777" w:rsidR="006F0524" w:rsidRDefault="006F0524" w:rsidP="00EB23C3">
      <w:pPr>
        <w:spacing w:after="0" w:line="240" w:lineRule="auto"/>
      </w:pPr>
      <w:r>
        <w:separator/>
      </w:r>
    </w:p>
  </w:endnote>
  <w:endnote w:type="continuationSeparator" w:id="0">
    <w:p w14:paraId="3A1C6A1F" w14:textId="77777777" w:rsidR="006F0524" w:rsidRDefault="006F0524" w:rsidP="00EB2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777777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color w:val="777777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C4107" w14:textId="77777777" w:rsidR="006F0524" w:rsidRDefault="006F0524" w:rsidP="00EB23C3">
      <w:pPr>
        <w:spacing w:after="0" w:line="240" w:lineRule="auto"/>
      </w:pPr>
      <w:r>
        <w:separator/>
      </w:r>
    </w:p>
  </w:footnote>
  <w:footnote w:type="continuationSeparator" w:id="0">
    <w:p w14:paraId="16C0AB96" w14:textId="77777777" w:rsidR="006F0524" w:rsidRDefault="006F0524" w:rsidP="00EB2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D1155"/>
    <w:multiLevelType w:val="hybridMultilevel"/>
    <w:tmpl w:val="537E9114"/>
    <w:lvl w:ilvl="0" w:tplc="2228D226">
      <w:start w:val="1"/>
      <w:numFmt w:val="bullet"/>
      <w:lvlText w:val="•"/>
      <w:lvlJc w:val="left"/>
      <w:pPr>
        <w:ind w:left="720" w:hanging="360"/>
      </w:pPr>
    </w:lvl>
    <w:lvl w:ilvl="1" w:tplc="85B2846C">
      <w:numFmt w:val="decimal"/>
      <w:lvlText w:val=""/>
      <w:lvlJc w:val="left"/>
    </w:lvl>
    <w:lvl w:ilvl="2" w:tplc="A5F2AB5C">
      <w:numFmt w:val="decimal"/>
      <w:lvlText w:val=""/>
      <w:lvlJc w:val="left"/>
    </w:lvl>
    <w:lvl w:ilvl="3" w:tplc="82A8E514">
      <w:numFmt w:val="decimal"/>
      <w:lvlText w:val=""/>
      <w:lvlJc w:val="left"/>
    </w:lvl>
    <w:lvl w:ilvl="4" w:tplc="AC5CC61E">
      <w:numFmt w:val="decimal"/>
      <w:lvlText w:val=""/>
      <w:lvlJc w:val="left"/>
    </w:lvl>
    <w:lvl w:ilvl="5" w:tplc="158AAA48">
      <w:numFmt w:val="decimal"/>
      <w:lvlText w:val=""/>
      <w:lvlJc w:val="left"/>
    </w:lvl>
    <w:lvl w:ilvl="6" w:tplc="027A5EA8">
      <w:numFmt w:val="decimal"/>
      <w:lvlText w:val=""/>
      <w:lvlJc w:val="left"/>
    </w:lvl>
    <w:lvl w:ilvl="7" w:tplc="BE8A41B6">
      <w:numFmt w:val="decimal"/>
      <w:lvlText w:val=""/>
      <w:lvlJc w:val="left"/>
    </w:lvl>
    <w:lvl w:ilvl="8" w:tplc="72488CF6">
      <w:numFmt w:val="decimal"/>
      <w:lvlText w:val=""/>
      <w:lvlJc w:val="left"/>
    </w:lvl>
  </w:abstractNum>
  <w:num w:numId="1" w16cid:durableId="1995603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99"/>
    <w:rsid w:val="00154140"/>
    <w:rsid w:val="00377663"/>
    <w:rsid w:val="004B2952"/>
    <w:rsid w:val="00545169"/>
    <w:rsid w:val="00554699"/>
    <w:rsid w:val="005B0A12"/>
    <w:rsid w:val="006F0524"/>
    <w:rsid w:val="00783CFA"/>
    <w:rsid w:val="008210A3"/>
    <w:rsid w:val="00943CEB"/>
    <w:rsid w:val="009A63FC"/>
    <w:rsid w:val="00AA7644"/>
    <w:rsid w:val="00B96BB7"/>
    <w:rsid w:val="00BD763C"/>
    <w:rsid w:val="00CA57AD"/>
    <w:rsid w:val="00CD1CA0"/>
    <w:rsid w:val="00D805BF"/>
    <w:rsid w:val="00EB23C3"/>
    <w:rsid w:val="00F9094A"/>
    <w:rsid w:val="00FD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BA2508"/>
  <w15:docId w15:val="{AA46F962-08EC-434E-ADE3-074FE19C8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64" w:lineRule="auto"/>
    </w:pPr>
    <w:rPr>
      <w:rFonts w:ascii="Times New Roman" w:eastAsia="宋体" w:hAnsi="Times New Roman"/>
      <w:sz w:val="23"/>
      <w:szCs w:val="22"/>
    </w:rPr>
  </w:style>
  <w:style w:type="paragraph" w:styleId="1">
    <w:name w:val="heading 1"/>
    <w:basedOn w:val="a"/>
    <w:uiPriority w:val="9"/>
    <w:qFormat/>
    <w:pPr>
      <w:keepNext/>
      <w:spacing w:before="320" w:after="160"/>
      <w:outlineLvl w:val="0"/>
    </w:pPr>
    <w:rPr>
      <w:b/>
      <w:color w:val="2E74B5"/>
      <w:sz w:val="32"/>
    </w:rPr>
  </w:style>
  <w:style w:type="paragraph" w:styleId="2">
    <w:name w:val="heading 2"/>
    <w:basedOn w:val="a"/>
    <w:uiPriority w:val="9"/>
    <w:unhideWhenUsed/>
    <w:qFormat/>
    <w:pPr>
      <w:keepNext/>
      <w:spacing w:before="240"/>
      <w:outlineLvl w:val="1"/>
    </w:pPr>
    <w:rPr>
      <w:b/>
      <w:color w:val="2E74B5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after="180"/>
    </w:pPr>
    <w:rPr>
      <w:b/>
      <w:color w:val="1F4D78"/>
      <w:sz w:val="36"/>
    </w:rPr>
  </w:style>
  <w:style w:type="paragraph" w:styleId="a4">
    <w:name w:val="List Paragraph"/>
    <w:basedOn w:val="a"/>
    <w:pPr>
      <w:spacing w:after="100"/>
      <w:ind w:left="720" w:hanging="360"/>
    </w:pPr>
  </w:style>
  <w:style w:type="paragraph" w:styleId="a5">
    <w:name w:val="header"/>
    <w:basedOn w:val="a"/>
    <w:link w:val="a6"/>
    <w:uiPriority w:val="99"/>
    <w:unhideWhenUsed/>
    <w:rsid w:val="00EB23C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B23C3"/>
    <w:rPr>
      <w:rFonts w:ascii="Calibri" w:eastAsia="微软雅黑" w:hAnsi="Calibri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B23C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B23C3"/>
    <w:rPr>
      <w:rFonts w:ascii="Calibri" w:eastAsia="微软雅黑" w:hAnsi="Calibri"/>
      <w:sz w:val="18"/>
      <w:szCs w:val="18"/>
    </w:rPr>
  </w:style>
  <w:style w:type="table" w:styleId="a9">
    <w:name w:val="Table Grid"/>
    <w:basedOn w:val="a1"/>
    <w:uiPriority w:val="39"/>
    <w:rsid w:val="00D805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 项目组</dc:creator>
  <cp:lastModifiedBy>la mi</cp:lastModifiedBy>
  <cp:revision>2</cp:revision>
  <cp:lastPrinted>2026-07-05T16:34:00Z</cp:lastPrinted>
  <dcterms:created xsi:type="dcterms:W3CDTF">2026-07-12T15:12:00Z</dcterms:created>
  <dcterms:modified xsi:type="dcterms:W3CDTF">2026-07-12T15:12:00Z</dcterms:modified>
  <dc:title>V5条件扩散模型Stage-1对比算例与消融实验报告</dc:title>
  <dc:subject>V4-RS、V5-T、V5-TF 验证集对比与物理可行性审计</dc:subject>
  <cp:keywords>条件扩散, FiLM, 场景生成, CRPS, ACF, 物理投影</cp:keywords>
</cp:coreProperties>
</file>