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B922" w14:textId="77777777" w:rsidR="00FD6E46" w:rsidRPr="00D805BF" w:rsidRDefault="00000000">
      <w:pPr>
        <w:pStyle w:val="a3"/>
        <w:spacing w:line="300" w:lineRule="auto"/>
        <w:jc w:val="center"/>
        <w:rPr>
          <w:rFonts w:ascii="Times New Roman" w:eastAsia="宋体" w:hAnsi="Times New Roman" w:cs="Times New Roman"/>
          <w:color w:val="000000" w:themeColor="text1"/>
          <w:sz w:val="40"/>
          <w:szCs w:val="24"/>
        </w:rPr>
      </w:pPr>
      <w:r w:rsidRPr="00D805BF">
        <w:rPr>
          <w:rFonts w:ascii="Times New Roman" w:eastAsia="宋体" w:hAnsi="Times New Roman" w:cs="Times New Roman"/>
          <w:color w:val="000000" w:themeColor="text1"/>
          <w:sz w:val="40"/>
          <w:szCs w:val="24"/>
        </w:rPr>
        <w:t>寒潮极端场景与小样本处理调研总结</w:t>
      </w:r>
    </w:p>
    <w:p w14:paraId="5522EE8B" w14:textId="14E5970E" w:rsidR="00FD6E46" w:rsidRPr="00D805BF" w:rsidRDefault="00D805BF">
      <w:pPr>
        <w:pStyle w:val="1"/>
        <w:spacing w:after="0" w:line="300" w:lineRule="auto"/>
        <w:rPr>
          <w:rFonts w:ascii="Times New Roman" w:eastAsia="宋体" w:hAnsi="Times New Roman" w:cs="Times New Roman"/>
          <w:color w:val="000000" w:themeColor="text1"/>
          <w:sz w:val="36"/>
          <w:szCs w:val="24"/>
        </w:rPr>
      </w:pPr>
      <w:r>
        <w:rPr>
          <w:rFonts w:ascii="Times New Roman" w:eastAsia="宋体" w:hAnsi="Times New Roman" w:cs="Times New Roman" w:hint="eastAsia"/>
          <w:color w:val="000000" w:themeColor="text1"/>
          <w:sz w:val="36"/>
          <w:szCs w:val="24"/>
        </w:rPr>
        <w:t>1.</w:t>
      </w:r>
      <w:r w:rsidR="00000000" w:rsidRPr="00D805BF">
        <w:rPr>
          <w:rFonts w:ascii="Times New Roman" w:eastAsia="宋体" w:hAnsi="Times New Roman" w:cs="Times New Roman"/>
          <w:color w:val="000000" w:themeColor="text1"/>
          <w:sz w:val="36"/>
          <w:szCs w:val="24"/>
        </w:rPr>
        <w:t>调研背景</w:t>
      </w:r>
    </w:p>
    <w:p w14:paraId="3826363F" w14:textId="77777777" w:rsidR="00FD6E46" w:rsidRPr="00D805BF" w:rsidRDefault="00000000" w:rsidP="00D805BF">
      <w:pPr>
        <w:spacing w:after="0" w:line="300" w:lineRule="auto"/>
        <w:ind w:firstLineChars="200" w:firstLine="480"/>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 w:val="24"/>
          <w:szCs w:val="24"/>
        </w:rPr>
        <w:t>本次调研围绕寒潮条件下风</w:t>
      </w:r>
      <w:r w:rsidRPr="00D805BF">
        <w:rPr>
          <w:rFonts w:ascii="Times New Roman" w:eastAsia="宋体" w:hAnsi="Times New Roman" w:cs="Times New Roman"/>
          <w:color w:val="000000" w:themeColor="text1"/>
          <w:sz w:val="24"/>
          <w:szCs w:val="24"/>
        </w:rPr>
        <w:t>-</w:t>
      </w:r>
      <w:r w:rsidRPr="00D805BF">
        <w:rPr>
          <w:rFonts w:ascii="Times New Roman" w:eastAsia="宋体" w:hAnsi="Times New Roman" w:cs="Times New Roman"/>
          <w:color w:val="000000" w:themeColor="text1"/>
          <w:sz w:val="24"/>
          <w:szCs w:val="24"/>
        </w:rPr>
        <w:t>光</w:t>
      </w:r>
      <w:r w:rsidRPr="00D805BF">
        <w:rPr>
          <w:rFonts w:ascii="Times New Roman" w:eastAsia="宋体" w:hAnsi="Times New Roman" w:cs="Times New Roman"/>
          <w:color w:val="000000" w:themeColor="text1"/>
          <w:sz w:val="24"/>
          <w:szCs w:val="24"/>
        </w:rPr>
        <w:t>-</w:t>
      </w:r>
      <w:r w:rsidRPr="00D805BF">
        <w:rPr>
          <w:rFonts w:ascii="Times New Roman" w:eastAsia="宋体" w:hAnsi="Times New Roman" w:cs="Times New Roman"/>
          <w:color w:val="000000" w:themeColor="text1"/>
          <w:sz w:val="24"/>
          <w:szCs w:val="24"/>
        </w:rPr>
        <w:t>荷功率变化特征、极端样本不足及显式建模方式展开。当前数据仅包含风电、光伏、负荷的实际值与预测值，不含温度、风速等气象变量，因此不能依据气象阈值直接识别寒潮事件。现阶段更适合从功率序列中提取寒潮可能引起的持续低出力、负荷上升、源荷反向变化和功率突变等风险状态，并用于后续场景筛选或条件建模。</w:t>
      </w:r>
    </w:p>
    <w:p w14:paraId="2CFBE102" w14:textId="77777777" w:rsidR="00FD6E46" w:rsidRPr="00D805BF" w:rsidRDefault="00000000">
      <w:pPr>
        <w:spacing w:after="0" w:line="300" w:lineRule="auto"/>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 w:val="24"/>
          <w:szCs w:val="24"/>
        </w:rPr>
        <w:t>本次主要参考以下文献：</w:t>
      </w:r>
    </w:p>
    <w:p w14:paraId="55F3E690" w14:textId="77777777" w:rsidR="00FD6E46" w:rsidRPr="00D805BF" w:rsidRDefault="00000000">
      <w:pPr>
        <w:pStyle w:val="a4"/>
        <w:spacing w:after="0" w:line="300" w:lineRule="auto"/>
        <w:ind w:left="403" w:hanging="259"/>
        <w:rPr>
          <w:rFonts w:ascii="Times New Roman" w:eastAsia="宋体" w:hAnsi="Times New Roman" w:cs="Times New Roman"/>
          <w:color w:val="000000" w:themeColor="text1"/>
          <w:sz w:val="24"/>
          <w:szCs w:val="24"/>
        </w:rPr>
      </w:pPr>
      <w:r w:rsidRPr="00D805BF">
        <w:rPr>
          <w:rFonts w:ascii="Times New Roman" w:eastAsia="宋体" w:hAnsi="Times New Roman" w:cs="Times New Roman"/>
          <w:b/>
          <w:color w:val="000000" w:themeColor="text1"/>
          <w:sz w:val="24"/>
          <w:szCs w:val="24"/>
        </w:rPr>
        <w:t xml:space="preserve">• </w:t>
      </w:r>
      <w:r w:rsidRPr="00D805BF">
        <w:rPr>
          <w:rFonts w:ascii="Times New Roman" w:eastAsia="宋体" w:hAnsi="Times New Roman" w:cs="Times New Roman"/>
          <w:color w:val="000000" w:themeColor="text1"/>
          <w:sz w:val="24"/>
          <w:szCs w:val="24"/>
        </w:rPr>
        <w:t>《基于保供视角的风光发电特性实证分析》</w:t>
      </w:r>
    </w:p>
    <w:p w14:paraId="08E0FE2E" w14:textId="77777777" w:rsidR="00FD6E46" w:rsidRPr="00D805BF" w:rsidRDefault="00000000">
      <w:pPr>
        <w:pStyle w:val="a4"/>
        <w:spacing w:after="0" w:line="300" w:lineRule="auto"/>
        <w:ind w:left="403" w:hanging="259"/>
        <w:rPr>
          <w:rFonts w:ascii="Times New Roman" w:eastAsia="宋体" w:hAnsi="Times New Roman" w:cs="Times New Roman"/>
          <w:color w:val="000000" w:themeColor="text1"/>
          <w:sz w:val="24"/>
          <w:szCs w:val="24"/>
        </w:rPr>
      </w:pPr>
      <w:r w:rsidRPr="00D805BF">
        <w:rPr>
          <w:rFonts w:ascii="Times New Roman" w:eastAsia="宋体" w:hAnsi="Times New Roman" w:cs="Times New Roman"/>
          <w:b/>
          <w:color w:val="000000" w:themeColor="text1"/>
          <w:sz w:val="24"/>
          <w:szCs w:val="24"/>
        </w:rPr>
        <w:t xml:space="preserve">• </w:t>
      </w:r>
      <w:r w:rsidRPr="00D805BF">
        <w:rPr>
          <w:rFonts w:ascii="Times New Roman" w:eastAsia="宋体" w:hAnsi="Times New Roman" w:cs="Times New Roman"/>
          <w:color w:val="000000" w:themeColor="text1"/>
          <w:sz w:val="24"/>
          <w:szCs w:val="24"/>
        </w:rPr>
        <w:t>《计及转折性气象的高比例新能源电力系统多元灵活性资源分级响应优化调度》</w:t>
      </w:r>
    </w:p>
    <w:p w14:paraId="3A83D259" w14:textId="77777777" w:rsidR="00FD6E46" w:rsidRPr="00D805BF" w:rsidRDefault="00000000">
      <w:pPr>
        <w:pStyle w:val="a4"/>
        <w:spacing w:after="0" w:line="300" w:lineRule="auto"/>
        <w:ind w:left="403" w:hanging="259"/>
        <w:rPr>
          <w:rFonts w:ascii="Times New Roman" w:eastAsia="宋体" w:hAnsi="Times New Roman" w:cs="Times New Roman"/>
          <w:color w:val="000000" w:themeColor="text1"/>
          <w:sz w:val="24"/>
          <w:szCs w:val="24"/>
        </w:rPr>
      </w:pPr>
      <w:r w:rsidRPr="00D805BF">
        <w:rPr>
          <w:rFonts w:ascii="Times New Roman" w:eastAsia="宋体" w:hAnsi="Times New Roman" w:cs="Times New Roman"/>
          <w:b/>
          <w:color w:val="000000" w:themeColor="text1"/>
          <w:sz w:val="24"/>
          <w:szCs w:val="24"/>
        </w:rPr>
        <w:t xml:space="preserve">• </w:t>
      </w:r>
      <w:r w:rsidRPr="00D805BF">
        <w:rPr>
          <w:rFonts w:ascii="Times New Roman" w:eastAsia="宋体" w:hAnsi="Times New Roman" w:cs="Times New Roman"/>
          <w:color w:val="000000" w:themeColor="text1"/>
          <w:sz w:val="24"/>
          <w:szCs w:val="24"/>
        </w:rPr>
        <w:t>《</w:t>
      </w:r>
      <w:r w:rsidRPr="00D805BF">
        <w:rPr>
          <w:rFonts w:ascii="Times New Roman" w:eastAsia="宋体" w:hAnsi="Times New Roman" w:cs="Times New Roman"/>
          <w:color w:val="000000" w:themeColor="text1"/>
          <w:sz w:val="24"/>
          <w:szCs w:val="24"/>
        </w:rPr>
        <w:t>A practical few-shot wind power prediction method for extreme cold waves</w:t>
      </w:r>
      <w:r w:rsidRPr="00D805BF">
        <w:rPr>
          <w:rFonts w:ascii="Times New Roman" w:eastAsia="宋体" w:hAnsi="Times New Roman" w:cs="Times New Roman"/>
          <w:color w:val="000000" w:themeColor="text1"/>
          <w:sz w:val="24"/>
          <w:szCs w:val="24"/>
        </w:rPr>
        <w:t>》</w:t>
      </w:r>
    </w:p>
    <w:p w14:paraId="6E297D8A" w14:textId="77777777" w:rsidR="00FD6E46" w:rsidRPr="00D805BF" w:rsidRDefault="00000000">
      <w:pPr>
        <w:pStyle w:val="a4"/>
        <w:spacing w:after="0" w:line="300" w:lineRule="auto"/>
        <w:ind w:left="403" w:hanging="259"/>
        <w:rPr>
          <w:rFonts w:ascii="Times New Roman" w:eastAsia="宋体" w:hAnsi="Times New Roman" w:cs="Times New Roman"/>
          <w:color w:val="000000" w:themeColor="text1"/>
          <w:sz w:val="24"/>
          <w:szCs w:val="24"/>
        </w:rPr>
      </w:pPr>
      <w:r w:rsidRPr="00D805BF">
        <w:rPr>
          <w:rFonts w:ascii="Times New Roman" w:eastAsia="宋体" w:hAnsi="Times New Roman" w:cs="Times New Roman"/>
          <w:b/>
          <w:color w:val="000000" w:themeColor="text1"/>
          <w:sz w:val="24"/>
          <w:szCs w:val="24"/>
        </w:rPr>
        <w:t xml:space="preserve">• </w:t>
      </w:r>
      <w:r w:rsidRPr="00D805BF">
        <w:rPr>
          <w:rFonts w:ascii="Times New Roman" w:eastAsia="宋体" w:hAnsi="Times New Roman" w:cs="Times New Roman"/>
          <w:color w:val="000000" w:themeColor="text1"/>
          <w:sz w:val="24"/>
          <w:szCs w:val="24"/>
        </w:rPr>
        <w:t>《基于</w:t>
      </w:r>
      <w:r w:rsidRPr="00D805BF">
        <w:rPr>
          <w:rFonts w:ascii="Times New Roman" w:eastAsia="宋体" w:hAnsi="Times New Roman" w:cs="Times New Roman"/>
          <w:color w:val="000000" w:themeColor="text1"/>
          <w:sz w:val="24"/>
          <w:szCs w:val="24"/>
        </w:rPr>
        <w:t>RTSGAN</w:t>
      </w:r>
      <w:r w:rsidRPr="00D805BF">
        <w:rPr>
          <w:rFonts w:ascii="Times New Roman" w:eastAsia="宋体" w:hAnsi="Times New Roman" w:cs="Times New Roman"/>
          <w:color w:val="000000" w:themeColor="text1"/>
          <w:sz w:val="24"/>
          <w:szCs w:val="24"/>
        </w:rPr>
        <w:t>样本扩充和注意力动态权重集成的寒潮极端天气条件下风电功率预测方法》</w:t>
      </w:r>
    </w:p>
    <w:p w14:paraId="48C215D6" w14:textId="77777777" w:rsidR="00FD6E46" w:rsidRPr="00D805BF" w:rsidRDefault="00000000">
      <w:pPr>
        <w:pStyle w:val="a4"/>
        <w:spacing w:after="0" w:line="300" w:lineRule="auto"/>
        <w:ind w:left="403" w:hanging="259"/>
        <w:rPr>
          <w:rFonts w:ascii="Times New Roman" w:eastAsia="宋体" w:hAnsi="Times New Roman" w:cs="Times New Roman"/>
          <w:color w:val="000000" w:themeColor="text1"/>
          <w:sz w:val="24"/>
          <w:szCs w:val="24"/>
        </w:rPr>
      </w:pPr>
      <w:r w:rsidRPr="00D805BF">
        <w:rPr>
          <w:rFonts w:ascii="Times New Roman" w:eastAsia="宋体" w:hAnsi="Times New Roman" w:cs="Times New Roman"/>
          <w:b/>
          <w:color w:val="000000" w:themeColor="text1"/>
          <w:sz w:val="24"/>
          <w:szCs w:val="24"/>
        </w:rPr>
        <w:t xml:space="preserve">• </w:t>
      </w:r>
      <w:r w:rsidRPr="00D805BF">
        <w:rPr>
          <w:rFonts w:ascii="Times New Roman" w:eastAsia="宋体" w:hAnsi="Times New Roman" w:cs="Times New Roman"/>
          <w:color w:val="000000" w:themeColor="text1"/>
          <w:sz w:val="24"/>
          <w:szCs w:val="24"/>
        </w:rPr>
        <w:t>《低温寒潮极端天气下风电短期功率预测精度提升方法研究》</w:t>
      </w:r>
    </w:p>
    <w:p w14:paraId="58CC9293" w14:textId="77777777" w:rsidR="00FD6E46" w:rsidRPr="00D805BF" w:rsidRDefault="00000000">
      <w:pPr>
        <w:pStyle w:val="a4"/>
        <w:spacing w:after="0" w:line="300" w:lineRule="auto"/>
        <w:ind w:left="403" w:hanging="259"/>
        <w:rPr>
          <w:rFonts w:ascii="Times New Roman" w:eastAsia="宋体" w:hAnsi="Times New Roman" w:cs="Times New Roman"/>
          <w:color w:val="000000" w:themeColor="text1"/>
          <w:sz w:val="24"/>
          <w:szCs w:val="24"/>
        </w:rPr>
      </w:pPr>
      <w:r w:rsidRPr="00D805BF">
        <w:rPr>
          <w:rFonts w:ascii="Times New Roman" w:eastAsia="宋体" w:hAnsi="Times New Roman" w:cs="Times New Roman"/>
          <w:b/>
          <w:color w:val="000000" w:themeColor="text1"/>
          <w:sz w:val="24"/>
          <w:szCs w:val="24"/>
        </w:rPr>
        <w:t xml:space="preserve">• </w:t>
      </w:r>
      <w:r w:rsidRPr="00D805BF">
        <w:rPr>
          <w:rFonts w:ascii="Times New Roman" w:eastAsia="宋体" w:hAnsi="Times New Roman" w:cs="Times New Roman"/>
          <w:color w:val="000000" w:themeColor="text1"/>
          <w:sz w:val="24"/>
          <w:szCs w:val="24"/>
        </w:rPr>
        <w:t>《考虑热浪或寒潮下城市电网供需安全的风</w:t>
      </w:r>
      <w:r w:rsidRPr="00D805BF">
        <w:rPr>
          <w:rFonts w:ascii="Times New Roman" w:eastAsia="宋体" w:hAnsi="Times New Roman" w:cs="Times New Roman"/>
          <w:color w:val="000000" w:themeColor="text1"/>
          <w:sz w:val="24"/>
          <w:szCs w:val="24"/>
        </w:rPr>
        <w:t>-</w:t>
      </w:r>
      <w:r w:rsidRPr="00D805BF">
        <w:rPr>
          <w:rFonts w:ascii="Times New Roman" w:eastAsia="宋体" w:hAnsi="Times New Roman" w:cs="Times New Roman"/>
          <w:color w:val="000000" w:themeColor="text1"/>
          <w:sz w:val="24"/>
          <w:szCs w:val="24"/>
        </w:rPr>
        <w:t>光</w:t>
      </w:r>
      <w:r w:rsidRPr="00D805BF">
        <w:rPr>
          <w:rFonts w:ascii="Times New Roman" w:eastAsia="宋体" w:hAnsi="Times New Roman" w:cs="Times New Roman"/>
          <w:color w:val="000000" w:themeColor="text1"/>
          <w:sz w:val="24"/>
          <w:szCs w:val="24"/>
        </w:rPr>
        <w:t>-</w:t>
      </w:r>
      <w:r w:rsidRPr="00D805BF">
        <w:rPr>
          <w:rFonts w:ascii="Times New Roman" w:eastAsia="宋体" w:hAnsi="Times New Roman" w:cs="Times New Roman"/>
          <w:color w:val="000000" w:themeColor="text1"/>
          <w:sz w:val="24"/>
          <w:szCs w:val="24"/>
        </w:rPr>
        <w:t>抽蓄协同规划》</w:t>
      </w:r>
    </w:p>
    <w:p w14:paraId="3B1FF775" w14:textId="129C4166" w:rsidR="00FD6E46" w:rsidRPr="00D805BF" w:rsidRDefault="00D805BF">
      <w:pPr>
        <w:pStyle w:val="1"/>
        <w:spacing w:after="0" w:line="300" w:lineRule="auto"/>
        <w:rPr>
          <w:rFonts w:ascii="Times New Roman" w:eastAsia="宋体" w:hAnsi="Times New Roman" w:cs="Times New Roman"/>
          <w:color w:val="000000" w:themeColor="text1"/>
          <w:sz w:val="36"/>
          <w:szCs w:val="24"/>
        </w:rPr>
      </w:pPr>
      <w:r>
        <w:rPr>
          <w:rFonts w:ascii="Times New Roman" w:eastAsia="宋体" w:hAnsi="Times New Roman" w:cs="Times New Roman" w:hint="eastAsia"/>
          <w:color w:val="000000" w:themeColor="text1"/>
          <w:sz w:val="36"/>
          <w:szCs w:val="24"/>
        </w:rPr>
        <w:t>2.</w:t>
      </w:r>
      <w:r w:rsidR="00000000" w:rsidRPr="00D805BF">
        <w:rPr>
          <w:rFonts w:ascii="Times New Roman" w:eastAsia="宋体" w:hAnsi="Times New Roman" w:cs="Times New Roman"/>
          <w:color w:val="000000" w:themeColor="text1"/>
          <w:sz w:val="36"/>
          <w:szCs w:val="24"/>
        </w:rPr>
        <w:t>寒潮下风光</w:t>
      </w:r>
      <w:proofErr w:type="gramStart"/>
      <w:r w:rsidR="00000000" w:rsidRPr="00D805BF">
        <w:rPr>
          <w:rFonts w:ascii="Times New Roman" w:eastAsia="宋体" w:hAnsi="Times New Roman" w:cs="Times New Roman"/>
          <w:color w:val="000000" w:themeColor="text1"/>
          <w:sz w:val="36"/>
          <w:szCs w:val="24"/>
        </w:rPr>
        <w:t>荷</w:t>
      </w:r>
      <w:proofErr w:type="gramEnd"/>
      <w:r w:rsidR="00000000" w:rsidRPr="00D805BF">
        <w:rPr>
          <w:rFonts w:ascii="Times New Roman" w:eastAsia="宋体" w:hAnsi="Times New Roman" w:cs="Times New Roman"/>
          <w:color w:val="000000" w:themeColor="text1"/>
          <w:sz w:val="36"/>
          <w:szCs w:val="24"/>
        </w:rPr>
        <w:t>功率响应特征</w:t>
      </w:r>
    </w:p>
    <w:p w14:paraId="5465061D" w14:textId="77777777" w:rsidR="00FD6E46" w:rsidRPr="00D805BF" w:rsidRDefault="00000000" w:rsidP="00D805BF">
      <w:pPr>
        <w:pStyle w:val="2"/>
        <w:spacing w:after="0" w:line="300" w:lineRule="auto"/>
        <w:ind w:firstLineChars="100" w:firstLine="281"/>
        <w:rPr>
          <w:rFonts w:ascii="Times New Roman" w:eastAsia="宋体" w:hAnsi="Times New Roman" w:cs="Times New Roman"/>
          <w:color w:val="000000" w:themeColor="text1"/>
          <w:sz w:val="28"/>
          <w:szCs w:val="24"/>
        </w:rPr>
      </w:pPr>
      <w:r w:rsidRPr="00D805BF">
        <w:rPr>
          <w:rFonts w:ascii="Times New Roman" w:eastAsia="宋体" w:hAnsi="Times New Roman" w:cs="Times New Roman"/>
          <w:color w:val="000000" w:themeColor="text1"/>
          <w:sz w:val="28"/>
          <w:szCs w:val="24"/>
        </w:rPr>
        <w:t xml:space="preserve">2.1 </w:t>
      </w:r>
      <w:r w:rsidRPr="00D805BF">
        <w:rPr>
          <w:rFonts w:ascii="Times New Roman" w:eastAsia="宋体" w:hAnsi="Times New Roman" w:cs="Times New Roman"/>
          <w:color w:val="000000" w:themeColor="text1"/>
          <w:sz w:val="28"/>
          <w:szCs w:val="24"/>
        </w:rPr>
        <w:t>持续低出力与多日风险</w:t>
      </w:r>
    </w:p>
    <w:p w14:paraId="67F70308" w14:textId="77777777" w:rsidR="00D805BF" w:rsidRDefault="00000000" w:rsidP="00D805BF">
      <w:pPr>
        <w:spacing w:after="0" w:line="300" w:lineRule="auto"/>
        <w:ind w:firstLineChars="200" w:firstLine="480"/>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 w:val="24"/>
          <w:szCs w:val="24"/>
        </w:rPr>
        <w:t>《基于保供视角的风光发电特性实证分析》基于多年风电、光伏和负荷历史数据，对连续低出力事件进行统计。文中将日平均出力低于装机容量</w:t>
      </w:r>
      <w:r w:rsidRPr="00D805BF">
        <w:rPr>
          <w:rFonts w:ascii="Times New Roman" w:eastAsia="宋体" w:hAnsi="Times New Roman" w:cs="Times New Roman"/>
          <w:color w:val="000000" w:themeColor="text1"/>
          <w:sz w:val="24"/>
          <w:szCs w:val="24"/>
        </w:rPr>
        <w:t>10%</w:t>
      </w:r>
      <w:r w:rsidRPr="00D805BF">
        <w:rPr>
          <w:rFonts w:ascii="Times New Roman" w:eastAsia="宋体" w:hAnsi="Times New Roman" w:cs="Times New Roman"/>
          <w:color w:val="000000" w:themeColor="text1"/>
          <w:sz w:val="24"/>
          <w:szCs w:val="24"/>
        </w:rPr>
        <w:t>的日期定义为低出力日，并指出风电、光伏连续低出力事件多持续</w:t>
      </w:r>
      <w:r w:rsidRPr="00D805BF">
        <w:rPr>
          <w:rFonts w:ascii="Times New Roman" w:eastAsia="宋体" w:hAnsi="Times New Roman" w:cs="Times New Roman"/>
          <w:color w:val="000000" w:themeColor="text1"/>
          <w:sz w:val="24"/>
          <w:szCs w:val="24"/>
        </w:rPr>
        <w:t>2</w:t>
      </w:r>
      <w:r w:rsidRPr="00D805BF">
        <w:rPr>
          <w:rFonts w:ascii="Times New Roman" w:eastAsia="宋体" w:hAnsi="Times New Roman" w:cs="Times New Roman"/>
          <w:color w:val="000000" w:themeColor="text1"/>
          <w:sz w:val="24"/>
          <w:szCs w:val="24"/>
        </w:rPr>
        <w:t>～</w:t>
      </w:r>
      <w:r w:rsidRPr="00D805BF">
        <w:rPr>
          <w:rFonts w:ascii="Times New Roman" w:eastAsia="宋体" w:hAnsi="Times New Roman" w:cs="Times New Roman"/>
          <w:color w:val="000000" w:themeColor="text1"/>
          <w:sz w:val="24"/>
          <w:szCs w:val="24"/>
        </w:rPr>
        <w:t>4</w:t>
      </w:r>
      <w:r w:rsidRPr="00D805BF">
        <w:rPr>
          <w:rFonts w:ascii="Times New Roman" w:eastAsia="宋体" w:hAnsi="Times New Roman" w:cs="Times New Roman"/>
          <w:color w:val="000000" w:themeColor="text1"/>
          <w:sz w:val="24"/>
          <w:szCs w:val="24"/>
        </w:rPr>
        <w:t>天，最长可超过</w:t>
      </w:r>
      <w:r w:rsidRPr="00D805BF">
        <w:rPr>
          <w:rFonts w:ascii="Times New Roman" w:eastAsia="宋体" w:hAnsi="Times New Roman" w:cs="Times New Roman"/>
          <w:color w:val="000000" w:themeColor="text1"/>
          <w:sz w:val="24"/>
          <w:szCs w:val="24"/>
        </w:rPr>
        <w:t>1</w:t>
      </w:r>
      <w:r w:rsidRPr="00D805BF">
        <w:rPr>
          <w:rFonts w:ascii="Times New Roman" w:eastAsia="宋体" w:hAnsi="Times New Roman" w:cs="Times New Roman"/>
          <w:color w:val="000000" w:themeColor="text1"/>
          <w:sz w:val="24"/>
          <w:szCs w:val="24"/>
        </w:rPr>
        <w:t>周。该结论说明，周尺度极端场景不能只看单点最低值，还应重点考察持续时间。</w:t>
      </w:r>
    </w:p>
    <w:p w14:paraId="534654DC" w14:textId="56BB3BEE" w:rsidR="00FD6E46" w:rsidRPr="00D805BF" w:rsidRDefault="00000000" w:rsidP="00D805BF">
      <w:pPr>
        <w:spacing w:after="0" w:line="300" w:lineRule="auto"/>
        <w:ind w:firstLineChars="200" w:firstLine="482"/>
        <w:rPr>
          <w:rFonts w:ascii="Times New Roman" w:eastAsia="宋体" w:hAnsi="Times New Roman" w:cs="Times New Roman"/>
          <w:b/>
          <w:bCs/>
          <w:color w:val="000000" w:themeColor="text1"/>
          <w:sz w:val="24"/>
          <w:szCs w:val="24"/>
        </w:rPr>
      </w:pPr>
      <w:r w:rsidRPr="00D805BF">
        <w:rPr>
          <w:rFonts w:ascii="Times New Roman" w:eastAsia="宋体" w:hAnsi="Times New Roman" w:cs="Times New Roman"/>
          <w:b/>
          <w:bCs/>
          <w:color w:val="000000" w:themeColor="text1"/>
          <w:sz w:val="24"/>
          <w:szCs w:val="24"/>
        </w:rPr>
        <w:t>对应当前</w:t>
      </w:r>
      <w:r w:rsidRPr="00D805BF">
        <w:rPr>
          <w:rFonts w:ascii="Times New Roman" w:eastAsia="宋体" w:hAnsi="Times New Roman" w:cs="Times New Roman"/>
          <w:b/>
          <w:bCs/>
          <w:color w:val="000000" w:themeColor="text1"/>
          <w:sz w:val="24"/>
          <w:szCs w:val="24"/>
        </w:rPr>
        <w:t>168h</w:t>
      </w:r>
      <w:r w:rsidRPr="00D805BF">
        <w:rPr>
          <w:rFonts w:ascii="Times New Roman" w:eastAsia="宋体" w:hAnsi="Times New Roman" w:cs="Times New Roman"/>
          <w:b/>
          <w:bCs/>
          <w:color w:val="000000" w:themeColor="text1"/>
          <w:sz w:val="24"/>
          <w:szCs w:val="24"/>
        </w:rPr>
        <w:t>场景，可重点统计连续低风、连续低光、连续高负荷和</w:t>
      </w:r>
      <w:proofErr w:type="gramStart"/>
      <w:r w:rsidRPr="00D805BF">
        <w:rPr>
          <w:rFonts w:ascii="Times New Roman" w:eastAsia="宋体" w:hAnsi="Times New Roman" w:cs="Times New Roman"/>
          <w:b/>
          <w:bCs/>
          <w:color w:val="000000" w:themeColor="text1"/>
          <w:sz w:val="24"/>
          <w:szCs w:val="24"/>
        </w:rPr>
        <w:t>持续高净负荷</w:t>
      </w:r>
      <w:proofErr w:type="gramEnd"/>
      <w:r w:rsidRPr="00D805BF">
        <w:rPr>
          <w:rFonts w:ascii="Times New Roman" w:eastAsia="宋体" w:hAnsi="Times New Roman" w:cs="Times New Roman"/>
          <w:b/>
          <w:bCs/>
          <w:color w:val="000000" w:themeColor="text1"/>
          <w:sz w:val="24"/>
          <w:szCs w:val="24"/>
        </w:rPr>
        <w:t>时长，并设置</w:t>
      </w:r>
      <w:r w:rsidRPr="00D805BF">
        <w:rPr>
          <w:rFonts w:ascii="Times New Roman" w:eastAsia="宋体" w:hAnsi="Times New Roman" w:cs="Times New Roman"/>
          <w:b/>
          <w:bCs/>
          <w:color w:val="000000" w:themeColor="text1"/>
          <w:sz w:val="24"/>
          <w:szCs w:val="24"/>
        </w:rPr>
        <w:t>6h</w:t>
      </w:r>
      <w:r w:rsidRPr="00D805BF">
        <w:rPr>
          <w:rFonts w:ascii="Times New Roman" w:eastAsia="宋体" w:hAnsi="Times New Roman" w:cs="Times New Roman"/>
          <w:b/>
          <w:bCs/>
          <w:color w:val="000000" w:themeColor="text1"/>
          <w:sz w:val="24"/>
          <w:szCs w:val="24"/>
        </w:rPr>
        <w:t>、</w:t>
      </w:r>
      <w:r w:rsidRPr="00D805BF">
        <w:rPr>
          <w:rFonts w:ascii="Times New Roman" w:eastAsia="宋体" w:hAnsi="Times New Roman" w:cs="Times New Roman"/>
          <w:b/>
          <w:bCs/>
          <w:color w:val="000000" w:themeColor="text1"/>
          <w:sz w:val="24"/>
          <w:szCs w:val="24"/>
        </w:rPr>
        <w:t>12h</w:t>
      </w:r>
      <w:r w:rsidRPr="00D805BF">
        <w:rPr>
          <w:rFonts w:ascii="Times New Roman" w:eastAsia="宋体" w:hAnsi="Times New Roman" w:cs="Times New Roman"/>
          <w:b/>
          <w:bCs/>
          <w:color w:val="000000" w:themeColor="text1"/>
          <w:sz w:val="24"/>
          <w:szCs w:val="24"/>
        </w:rPr>
        <w:t>、</w:t>
      </w:r>
      <w:r w:rsidRPr="00D805BF">
        <w:rPr>
          <w:rFonts w:ascii="Times New Roman" w:eastAsia="宋体" w:hAnsi="Times New Roman" w:cs="Times New Roman"/>
          <w:b/>
          <w:bCs/>
          <w:color w:val="000000" w:themeColor="text1"/>
          <w:sz w:val="24"/>
          <w:szCs w:val="24"/>
        </w:rPr>
        <w:t>24h</w:t>
      </w:r>
      <w:r w:rsidRPr="00D805BF">
        <w:rPr>
          <w:rFonts w:ascii="Times New Roman" w:eastAsia="宋体" w:hAnsi="Times New Roman" w:cs="Times New Roman"/>
          <w:b/>
          <w:bCs/>
          <w:color w:val="000000" w:themeColor="text1"/>
          <w:sz w:val="24"/>
          <w:szCs w:val="24"/>
        </w:rPr>
        <w:t>、</w:t>
      </w:r>
      <w:r w:rsidRPr="00D805BF">
        <w:rPr>
          <w:rFonts w:ascii="Times New Roman" w:eastAsia="宋体" w:hAnsi="Times New Roman" w:cs="Times New Roman"/>
          <w:b/>
          <w:bCs/>
          <w:color w:val="000000" w:themeColor="text1"/>
          <w:sz w:val="24"/>
          <w:szCs w:val="24"/>
        </w:rPr>
        <w:t>48h</w:t>
      </w:r>
      <w:r w:rsidRPr="00D805BF">
        <w:rPr>
          <w:rFonts w:ascii="Times New Roman" w:eastAsia="宋体" w:hAnsi="Times New Roman" w:cs="Times New Roman"/>
          <w:b/>
          <w:bCs/>
          <w:color w:val="000000" w:themeColor="text1"/>
          <w:sz w:val="24"/>
          <w:szCs w:val="24"/>
        </w:rPr>
        <w:t>等多尺度窗口。</w:t>
      </w:r>
    </w:p>
    <w:p w14:paraId="4C326F76" w14:textId="77777777" w:rsidR="00FD6E46" w:rsidRPr="00D805BF" w:rsidRDefault="00000000" w:rsidP="00D805BF">
      <w:pPr>
        <w:pStyle w:val="2"/>
        <w:spacing w:after="0" w:line="300" w:lineRule="auto"/>
        <w:ind w:firstLineChars="100" w:firstLine="281"/>
        <w:rPr>
          <w:rFonts w:ascii="Times New Roman" w:eastAsia="宋体" w:hAnsi="Times New Roman" w:cs="Times New Roman"/>
          <w:color w:val="000000" w:themeColor="text1"/>
          <w:sz w:val="28"/>
          <w:szCs w:val="24"/>
        </w:rPr>
      </w:pPr>
      <w:r w:rsidRPr="00D805BF">
        <w:rPr>
          <w:rFonts w:ascii="Times New Roman" w:eastAsia="宋体" w:hAnsi="Times New Roman" w:cs="Times New Roman"/>
          <w:color w:val="000000" w:themeColor="text1"/>
          <w:sz w:val="28"/>
          <w:szCs w:val="24"/>
        </w:rPr>
        <w:t xml:space="preserve">2.2 </w:t>
      </w:r>
      <w:r w:rsidRPr="00D805BF">
        <w:rPr>
          <w:rFonts w:ascii="Times New Roman" w:eastAsia="宋体" w:hAnsi="Times New Roman" w:cs="Times New Roman"/>
          <w:color w:val="000000" w:themeColor="text1"/>
          <w:sz w:val="28"/>
          <w:szCs w:val="24"/>
        </w:rPr>
        <w:t>寒潮过程的阶段性变化</w:t>
      </w:r>
    </w:p>
    <w:p w14:paraId="45EADF27" w14:textId="77777777" w:rsidR="00FD6E46" w:rsidRPr="00D805BF" w:rsidRDefault="00000000" w:rsidP="00D805BF">
      <w:pPr>
        <w:spacing w:after="0" w:line="300" w:lineRule="auto"/>
        <w:ind w:firstLineChars="200" w:firstLine="480"/>
        <w:rPr>
          <w:rFonts w:ascii="Times New Roman" w:eastAsia="宋体" w:hAnsi="Times New Roman" w:cs="Times New Roman"/>
          <w:b/>
          <w:bCs/>
          <w:color w:val="000000" w:themeColor="text1"/>
          <w:sz w:val="24"/>
          <w:szCs w:val="24"/>
        </w:rPr>
      </w:pPr>
      <w:r w:rsidRPr="00D805BF">
        <w:rPr>
          <w:rFonts w:ascii="Times New Roman" w:eastAsia="宋体" w:hAnsi="Times New Roman" w:cs="Times New Roman"/>
          <w:color w:val="000000" w:themeColor="text1"/>
          <w:sz w:val="24"/>
          <w:szCs w:val="24"/>
        </w:rPr>
        <w:t>文献中的典型寒潮过程表明，风电并非始终单向下降。寒潮入境阶段可能伴随风速增强和出力快速爬升，随后受低温、覆冰或风速变化影响出现持续下降，寒潮后期还可能出现负荷上升而风电骤降的情况。因此，</w:t>
      </w:r>
      <w:r w:rsidRPr="00D805BF">
        <w:rPr>
          <w:rFonts w:ascii="Times New Roman" w:eastAsia="宋体" w:hAnsi="Times New Roman" w:cs="Times New Roman"/>
          <w:b/>
          <w:bCs/>
          <w:color w:val="000000" w:themeColor="text1"/>
          <w:sz w:val="24"/>
          <w:szCs w:val="24"/>
        </w:rPr>
        <w:t>寒潮相关功率</w:t>
      </w:r>
      <w:proofErr w:type="gramStart"/>
      <w:r w:rsidRPr="00D805BF">
        <w:rPr>
          <w:rFonts w:ascii="Times New Roman" w:eastAsia="宋体" w:hAnsi="Times New Roman" w:cs="Times New Roman"/>
          <w:b/>
          <w:bCs/>
          <w:color w:val="000000" w:themeColor="text1"/>
          <w:sz w:val="24"/>
          <w:szCs w:val="24"/>
        </w:rPr>
        <w:t>特征除低出力</w:t>
      </w:r>
      <w:proofErr w:type="gramEnd"/>
      <w:r w:rsidRPr="00D805BF">
        <w:rPr>
          <w:rFonts w:ascii="Times New Roman" w:eastAsia="宋体" w:hAnsi="Times New Roman" w:cs="Times New Roman"/>
          <w:b/>
          <w:bCs/>
          <w:color w:val="000000" w:themeColor="text1"/>
          <w:sz w:val="24"/>
          <w:szCs w:val="24"/>
        </w:rPr>
        <w:t>外，还应包含快速爬升、快速下降、均值偏移和趋势转折。</w:t>
      </w:r>
    </w:p>
    <w:p w14:paraId="5E7FBA7A" w14:textId="77777777" w:rsidR="00FD6E46" w:rsidRPr="00D805BF" w:rsidRDefault="00000000" w:rsidP="00D805BF">
      <w:pPr>
        <w:pStyle w:val="2"/>
        <w:spacing w:after="0" w:line="300" w:lineRule="auto"/>
        <w:ind w:firstLineChars="100" w:firstLine="281"/>
        <w:rPr>
          <w:rFonts w:ascii="Times New Roman" w:eastAsia="宋体" w:hAnsi="Times New Roman" w:cs="Times New Roman"/>
          <w:color w:val="000000" w:themeColor="text1"/>
          <w:sz w:val="28"/>
          <w:szCs w:val="24"/>
        </w:rPr>
      </w:pPr>
      <w:r w:rsidRPr="00D805BF">
        <w:rPr>
          <w:rFonts w:ascii="Times New Roman" w:eastAsia="宋体" w:hAnsi="Times New Roman" w:cs="Times New Roman"/>
          <w:color w:val="000000" w:themeColor="text1"/>
          <w:sz w:val="28"/>
          <w:szCs w:val="24"/>
        </w:rPr>
        <w:lastRenderedPageBreak/>
        <w:t xml:space="preserve">2.3 </w:t>
      </w:r>
      <w:proofErr w:type="gramStart"/>
      <w:r w:rsidRPr="00D805BF">
        <w:rPr>
          <w:rFonts w:ascii="Times New Roman" w:eastAsia="宋体" w:hAnsi="Times New Roman" w:cs="Times New Roman"/>
          <w:color w:val="000000" w:themeColor="text1"/>
          <w:sz w:val="28"/>
          <w:szCs w:val="24"/>
        </w:rPr>
        <w:t>源荷反向</w:t>
      </w:r>
      <w:proofErr w:type="gramEnd"/>
      <w:r w:rsidRPr="00D805BF">
        <w:rPr>
          <w:rFonts w:ascii="Times New Roman" w:eastAsia="宋体" w:hAnsi="Times New Roman" w:cs="Times New Roman"/>
          <w:color w:val="000000" w:themeColor="text1"/>
          <w:sz w:val="28"/>
          <w:szCs w:val="24"/>
        </w:rPr>
        <w:t>变化与高净负荷</w:t>
      </w:r>
    </w:p>
    <w:p w14:paraId="6521B5F5" w14:textId="77777777" w:rsidR="00FD6E46" w:rsidRPr="00D805BF" w:rsidRDefault="00000000" w:rsidP="00D805BF">
      <w:pPr>
        <w:spacing w:after="0" w:line="300" w:lineRule="auto"/>
        <w:ind w:firstLineChars="200" w:firstLine="480"/>
        <w:rPr>
          <w:rFonts w:ascii="Times New Roman" w:eastAsia="宋体" w:hAnsi="Times New Roman" w:cs="Times New Roman"/>
          <w:b/>
          <w:bCs/>
          <w:color w:val="000000" w:themeColor="text1"/>
          <w:sz w:val="24"/>
          <w:szCs w:val="24"/>
        </w:rPr>
      </w:pPr>
      <w:r w:rsidRPr="00D805BF">
        <w:rPr>
          <w:rFonts w:ascii="Times New Roman" w:eastAsia="宋体" w:hAnsi="Times New Roman" w:cs="Times New Roman"/>
          <w:color w:val="000000" w:themeColor="text1"/>
          <w:sz w:val="24"/>
          <w:szCs w:val="24"/>
        </w:rPr>
        <w:t>寒潮过境后供暖需求可能推动负荷持续上升，而风电、光伏出力可能下降，形成源荷反向变化。对系统而言，</w:t>
      </w:r>
      <w:r w:rsidRPr="00D805BF">
        <w:rPr>
          <w:rFonts w:ascii="Times New Roman" w:eastAsia="宋体" w:hAnsi="Times New Roman" w:cs="Times New Roman"/>
          <w:b/>
          <w:bCs/>
          <w:color w:val="000000" w:themeColor="text1"/>
          <w:sz w:val="24"/>
          <w:szCs w:val="24"/>
        </w:rPr>
        <w:t>风险主要来自新能源低谷与负荷高峰的时间重叠。因此，可进一步计算</w:t>
      </w:r>
      <w:r w:rsidRPr="00D805BF">
        <w:rPr>
          <w:rFonts w:ascii="Times New Roman" w:eastAsia="宋体" w:hAnsi="Times New Roman" w:cs="Times New Roman"/>
          <w:b/>
          <w:bCs/>
          <w:color w:val="000000" w:themeColor="text1"/>
          <w:sz w:val="24"/>
          <w:szCs w:val="24"/>
          <w:u w:val="single"/>
        </w:rPr>
        <w:t>风光与负荷的相关系数</w:t>
      </w:r>
      <w:r w:rsidRPr="00D805BF">
        <w:rPr>
          <w:rFonts w:ascii="Times New Roman" w:eastAsia="宋体" w:hAnsi="Times New Roman" w:cs="Times New Roman"/>
          <w:b/>
          <w:bCs/>
          <w:color w:val="000000" w:themeColor="text1"/>
          <w:sz w:val="24"/>
          <w:szCs w:val="24"/>
        </w:rPr>
        <w:t>、反向变化重叠时长、高负荷时段新能源低出力比例以及净负荷持续爬坡等指标。</w:t>
      </w:r>
    </w:p>
    <w:p w14:paraId="594E5776" w14:textId="2C3CFF4B" w:rsidR="00FD6E46" w:rsidRPr="00D805BF" w:rsidRDefault="00D805BF">
      <w:pPr>
        <w:pStyle w:val="1"/>
        <w:spacing w:after="0" w:line="300" w:lineRule="auto"/>
        <w:rPr>
          <w:rFonts w:ascii="Times New Roman" w:eastAsia="宋体" w:hAnsi="Times New Roman" w:cs="Times New Roman"/>
          <w:color w:val="000000" w:themeColor="text1"/>
          <w:sz w:val="36"/>
          <w:szCs w:val="24"/>
        </w:rPr>
      </w:pPr>
      <w:r>
        <w:rPr>
          <w:rFonts w:ascii="Times New Roman" w:eastAsia="宋体" w:hAnsi="Times New Roman" w:cs="Times New Roman" w:hint="eastAsia"/>
          <w:color w:val="000000" w:themeColor="text1"/>
          <w:sz w:val="36"/>
          <w:szCs w:val="24"/>
        </w:rPr>
        <w:t>3.</w:t>
      </w:r>
      <w:proofErr w:type="gramStart"/>
      <w:r w:rsidR="00000000" w:rsidRPr="00D805BF">
        <w:rPr>
          <w:rFonts w:ascii="Times New Roman" w:eastAsia="宋体" w:hAnsi="Times New Roman" w:cs="Times New Roman"/>
          <w:color w:val="000000" w:themeColor="text1"/>
          <w:sz w:val="36"/>
          <w:szCs w:val="24"/>
        </w:rPr>
        <w:t>功率侧显式</w:t>
      </w:r>
      <w:proofErr w:type="gramEnd"/>
      <w:r w:rsidR="00000000" w:rsidRPr="00D805BF">
        <w:rPr>
          <w:rFonts w:ascii="Times New Roman" w:eastAsia="宋体" w:hAnsi="Times New Roman" w:cs="Times New Roman"/>
          <w:color w:val="000000" w:themeColor="text1"/>
          <w:sz w:val="36"/>
          <w:szCs w:val="24"/>
        </w:rPr>
        <w:t>建模思路</w:t>
      </w:r>
    </w:p>
    <w:p w14:paraId="2D7E3371" w14:textId="77777777" w:rsidR="00FD6E46" w:rsidRPr="00D805BF" w:rsidRDefault="00000000" w:rsidP="00D805BF">
      <w:pPr>
        <w:pStyle w:val="2"/>
        <w:spacing w:after="0" w:line="300" w:lineRule="auto"/>
        <w:ind w:firstLineChars="100" w:firstLine="281"/>
        <w:rPr>
          <w:rFonts w:ascii="Times New Roman" w:eastAsia="宋体" w:hAnsi="Times New Roman" w:cs="Times New Roman"/>
          <w:color w:val="000000" w:themeColor="text1"/>
          <w:sz w:val="28"/>
          <w:szCs w:val="24"/>
        </w:rPr>
      </w:pPr>
      <w:r w:rsidRPr="00D805BF">
        <w:rPr>
          <w:rFonts w:ascii="Times New Roman" w:eastAsia="宋体" w:hAnsi="Times New Roman" w:cs="Times New Roman"/>
          <w:color w:val="000000" w:themeColor="text1"/>
          <w:sz w:val="28"/>
          <w:szCs w:val="24"/>
        </w:rPr>
        <w:t xml:space="preserve">3.1 </w:t>
      </w:r>
      <w:r w:rsidRPr="00D805BF">
        <w:rPr>
          <w:rFonts w:ascii="Times New Roman" w:eastAsia="宋体" w:hAnsi="Times New Roman" w:cs="Times New Roman"/>
          <w:color w:val="000000" w:themeColor="text1"/>
          <w:sz w:val="28"/>
          <w:szCs w:val="24"/>
        </w:rPr>
        <w:t>瞬时突变、持续幅值与变化趋势</w:t>
      </w:r>
    </w:p>
    <w:p w14:paraId="5D884D44" w14:textId="77777777" w:rsidR="00FD6E46" w:rsidRPr="00D805BF" w:rsidRDefault="00000000" w:rsidP="00D805BF">
      <w:pPr>
        <w:spacing w:after="0" w:line="300" w:lineRule="auto"/>
        <w:ind w:firstLineChars="200" w:firstLine="480"/>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 w:val="24"/>
          <w:szCs w:val="24"/>
        </w:rPr>
        <w:t>《计及转折性气象的高比例新能源电力系统多元灵活性资源分级响应优化调度》从</w:t>
      </w:r>
      <w:r w:rsidRPr="00D805BF">
        <w:rPr>
          <w:rFonts w:ascii="Times New Roman" w:eastAsia="宋体" w:hAnsi="Times New Roman" w:cs="Times New Roman"/>
          <w:b/>
          <w:bCs/>
          <w:color w:val="000000" w:themeColor="text1"/>
          <w:sz w:val="24"/>
          <w:szCs w:val="24"/>
        </w:rPr>
        <w:t>瞬时突变、持续幅值和变化趋势三个维度描述转折性扰动</w:t>
      </w:r>
      <w:r w:rsidRPr="00D805BF">
        <w:rPr>
          <w:rFonts w:ascii="Times New Roman" w:eastAsia="宋体" w:hAnsi="Times New Roman" w:cs="Times New Roman"/>
          <w:color w:val="000000" w:themeColor="text1"/>
          <w:sz w:val="24"/>
          <w:szCs w:val="24"/>
        </w:rPr>
        <w:t>。其中，二阶差分用于刻画功率变化速率的突变，持续幅值用于衡量一段时间内的累计偏移，趋势项用于区分持续上升或下降。虽然该文后续结合气象变量建立物理模型，但上述功率侧指标可直接从现有风、光、荷序列中计算。</w:t>
      </w:r>
    </w:p>
    <w:p w14:paraId="51091407" w14:textId="77777777" w:rsidR="00FD6E46" w:rsidRPr="00D805BF" w:rsidRDefault="00000000" w:rsidP="00D805BF">
      <w:pPr>
        <w:pStyle w:val="2"/>
        <w:spacing w:after="0" w:line="300" w:lineRule="auto"/>
        <w:ind w:firstLineChars="100" w:firstLine="281"/>
        <w:rPr>
          <w:rFonts w:ascii="Times New Roman" w:eastAsia="宋体" w:hAnsi="Times New Roman" w:cs="Times New Roman"/>
          <w:color w:val="000000" w:themeColor="text1"/>
          <w:sz w:val="28"/>
          <w:szCs w:val="24"/>
        </w:rPr>
      </w:pPr>
      <w:r w:rsidRPr="00D805BF">
        <w:rPr>
          <w:rFonts w:ascii="Times New Roman" w:eastAsia="宋体" w:hAnsi="Times New Roman" w:cs="Times New Roman"/>
          <w:color w:val="000000" w:themeColor="text1"/>
          <w:sz w:val="28"/>
          <w:szCs w:val="24"/>
        </w:rPr>
        <w:t xml:space="preserve">3.2 </w:t>
      </w:r>
      <w:r w:rsidRPr="00D805BF">
        <w:rPr>
          <w:rFonts w:ascii="Times New Roman" w:eastAsia="宋体" w:hAnsi="Times New Roman" w:cs="Times New Roman"/>
          <w:color w:val="000000" w:themeColor="text1"/>
          <w:sz w:val="28"/>
          <w:szCs w:val="24"/>
        </w:rPr>
        <w:t>可构造的风险状态</w:t>
      </w:r>
    </w:p>
    <w:tbl>
      <w:tblPr>
        <w:tblStyle w:val="a9"/>
        <w:tblW w:w="9895" w:type="dxa"/>
        <w:tblLook w:val="04A0" w:firstRow="1" w:lastRow="0" w:firstColumn="1" w:lastColumn="0" w:noHBand="0" w:noVBand="1"/>
      </w:tblPr>
      <w:tblGrid>
        <w:gridCol w:w="2239"/>
        <w:gridCol w:w="4357"/>
        <w:gridCol w:w="3299"/>
      </w:tblGrid>
      <w:tr w:rsidR="00FD6E46" w:rsidRPr="00D805BF" w14:paraId="5A36355B" w14:textId="77777777" w:rsidTr="00D805BF">
        <w:trPr>
          <w:trHeight w:val="261"/>
        </w:trPr>
        <w:tc>
          <w:tcPr>
            <w:tcW w:w="2239" w:type="dxa"/>
            <w:vAlign w:val="center"/>
          </w:tcPr>
          <w:p w14:paraId="645220B7" w14:textId="77777777" w:rsidR="00FD6E46" w:rsidRPr="00D805BF" w:rsidRDefault="00000000" w:rsidP="00D805BF">
            <w:pPr>
              <w:spacing w:after="0"/>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b/>
                <w:color w:val="000000" w:themeColor="text1"/>
                <w:szCs w:val="24"/>
              </w:rPr>
              <w:t>状态类型</w:t>
            </w:r>
          </w:p>
        </w:tc>
        <w:tc>
          <w:tcPr>
            <w:tcW w:w="4357" w:type="dxa"/>
            <w:vAlign w:val="center"/>
          </w:tcPr>
          <w:p w14:paraId="3DBDF3F5" w14:textId="0BAC6C4E" w:rsidR="00FD6E46" w:rsidRPr="00D805BF" w:rsidRDefault="00000000" w:rsidP="00D805BF">
            <w:pPr>
              <w:spacing w:after="0"/>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b/>
                <w:color w:val="000000" w:themeColor="text1"/>
                <w:szCs w:val="24"/>
              </w:rPr>
              <w:t>指标</w:t>
            </w:r>
          </w:p>
        </w:tc>
        <w:tc>
          <w:tcPr>
            <w:tcW w:w="3299" w:type="dxa"/>
            <w:vAlign w:val="center"/>
          </w:tcPr>
          <w:p w14:paraId="3B44D1ED" w14:textId="77777777" w:rsidR="00FD6E46" w:rsidRPr="00D805BF" w:rsidRDefault="00000000" w:rsidP="00D805BF">
            <w:pPr>
              <w:spacing w:after="0"/>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b/>
                <w:color w:val="000000" w:themeColor="text1"/>
                <w:szCs w:val="24"/>
              </w:rPr>
              <w:t>主要含义</w:t>
            </w:r>
          </w:p>
        </w:tc>
      </w:tr>
      <w:tr w:rsidR="00FD6E46" w:rsidRPr="00D805BF" w14:paraId="7FDEA23B" w14:textId="77777777" w:rsidTr="00D805BF">
        <w:trPr>
          <w:trHeight w:val="651"/>
        </w:trPr>
        <w:tc>
          <w:tcPr>
            <w:tcW w:w="2239" w:type="dxa"/>
            <w:vAlign w:val="center"/>
          </w:tcPr>
          <w:p w14:paraId="6CA9D01A"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持续型异常</w:t>
            </w:r>
          </w:p>
        </w:tc>
        <w:tc>
          <w:tcPr>
            <w:tcW w:w="4357" w:type="dxa"/>
            <w:vAlign w:val="center"/>
          </w:tcPr>
          <w:p w14:paraId="49A172CD"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连续低风、低光、高负荷和高净负荷时长</w:t>
            </w:r>
          </w:p>
        </w:tc>
        <w:tc>
          <w:tcPr>
            <w:tcW w:w="3299" w:type="dxa"/>
            <w:vAlign w:val="center"/>
          </w:tcPr>
          <w:p w14:paraId="51BDF7F7"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反映多小时或多日供需压力</w:t>
            </w:r>
          </w:p>
        </w:tc>
      </w:tr>
      <w:tr w:rsidR="00FD6E46" w:rsidRPr="00D805BF" w14:paraId="65048C62" w14:textId="77777777" w:rsidTr="00D805BF">
        <w:trPr>
          <w:trHeight w:val="651"/>
        </w:trPr>
        <w:tc>
          <w:tcPr>
            <w:tcW w:w="2239" w:type="dxa"/>
            <w:vAlign w:val="center"/>
          </w:tcPr>
          <w:p w14:paraId="1B02BA08"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突变型异常</w:t>
            </w:r>
          </w:p>
        </w:tc>
        <w:tc>
          <w:tcPr>
            <w:tcW w:w="4357" w:type="dxa"/>
            <w:vAlign w:val="center"/>
          </w:tcPr>
          <w:p w14:paraId="52A77D7A"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最大爬坡、最大下降、二阶差分峰值</w:t>
            </w:r>
          </w:p>
        </w:tc>
        <w:tc>
          <w:tcPr>
            <w:tcW w:w="3299" w:type="dxa"/>
            <w:vAlign w:val="center"/>
          </w:tcPr>
          <w:p w14:paraId="7E85907A"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反映快速扰动和阶段转换</w:t>
            </w:r>
          </w:p>
        </w:tc>
      </w:tr>
      <w:tr w:rsidR="00FD6E46" w:rsidRPr="00D805BF" w14:paraId="27B6C486" w14:textId="77777777" w:rsidTr="00D805BF">
        <w:trPr>
          <w:trHeight w:val="641"/>
        </w:trPr>
        <w:tc>
          <w:tcPr>
            <w:tcW w:w="2239" w:type="dxa"/>
            <w:vAlign w:val="center"/>
          </w:tcPr>
          <w:p w14:paraId="7A8A7360"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源荷耦合异常</w:t>
            </w:r>
          </w:p>
        </w:tc>
        <w:tc>
          <w:tcPr>
            <w:tcW w:w="4357" w:type="dxa"/>
            <w:vAlign w:val="center"/>
          </w:tcPr>
          <w:p w14:paraId="2C7919AB"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风光与负荷相关性、反向变化重叠时长</w:t>
            </w:r>
          </w:p>
        </w:tc>
        <w:tc>
          <w:tcPr>
            <w:tcW w:w="3299" w:type="dxa"/>
            <w:vAlign w:val="center"/>
          </w:tcPr>
          <w:p w14:paraId="3CDA8F43"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反映新能源下降与负荷上升叠加</w:t>
            </w:r>
          </w:p>
        </w:tc>
      </w:tr>
      <w:tr w:rsidR="00FD6E46" w:rsidRPr="00D805BF" w14:paraId="777C025F" w14:textId="77777777" w:rsidTr="00D805BF">
        <w:trPr>
          <w:trHeight w:val="651"/>
        </w:trPr>
        <w:tc>
          <w:tcPr>
            <w:tcW w:w="2239" w:type="dxa"/>
            <w:vAlign w:val="center"/>
          </w:tcPr>
          <w:p w14:paraId="299E1196"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复合高风险</w:t>
            </w:r>
          </w:p>
        </w:tc>
        <w:tc>
          <w:tcPr>
            <w:tcW w:w="4357" w:type="dxa"/>
            <w:vAlign w:val="center"/>
          </w:tcPr>
          <w:p w14:paraId="30157738"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低风低光叠加高负荷或高净负荷</w:t>
            </w:r>
          </w:p>
        </w:tc>
        <w:tc>
          <w:tcPr>
            <w:tcW w:w="3299" w:type="dxa"/>
            <w:vAlign w:val="center"/>
          </w:tcPr>
          <w:p w14:paraId="428B5D03" w14:textId="77777777" w:rsidR="00FD6E46" w:rsidRPr="00D805BF" w:rsidRDefault="00000000" w:rsidP="00D805BF">
            <w:pPr>
              <w:spacing w:after="0" w:line="276" w:lineRule="auto"/>
              <w:jc w:val="center"/>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Cs w:val="24"/>
              </w:rPr>
              <w:t>反映更接近保供需求的风险状态</w:t>
            </w:r>
          </w:p>
        </w:tc>
      </w:tr>
    </w:tbl>
    <w:p w14:paraId="6B73DEE2" w14:textId="77777777" w:rsidR="00FD6E46" w:rsidRPr="00D805BF" w:rsidRDefault="00000000" w:rsidP="00D805BF">
      <w:pPr>
        <w:spacing w:after="0" w:line="300" w:lineRule="auto"/>
        <w:ind w:firstLineChars="200" w:firstLine="480"/>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 w:val="24"/>
          <w:szCs w:val="24"/>
        </w:rPr>
        <w:t>现阶段可先利用上述指标对生成的</w:t>
      </w:r>
      <w:r w:rsidRPr="00D805BF">
        <w:rPr>
          <w:rFonts w:ascii="Times New Roman" w:eastAsia="宋体" w:hAnsi="Times New Roman" w:cs="Times New Roman"/>
          <w:color w:val="000000" w:themeColor="text1"/>
          <w:sz w:val="24"/>
          <w:szCs w:val="24"/>
        </w:rPr>
        <w:t>168h</w:t>
      </w:r>
      <w:r w:rsidRPr="00D805BF">
        <w:rPr>
          <w:rFonts w:ascii="Times New Roman" w:eastAsia="宋体" w:hAnsi="Times New Roman" w:cs="Times New Roman"/>
          <w:color w:val="000000" w:themeColor="text1"/>
          <w:sz w:val="24"/>
          <w:szCs w:val="24"/>
        </w:rPr>
        <w:t>候选场景进行评分和筛选。待风险状态定义稳定后，再考虑将其作为附加条件，与</w:t>
      </w:r>
      <w:r w:rsidRPr="00D805BF">
        <w:rPr>
          <w:rFonts w:ascii="Times New Roman" w:eastAsia="宋体" w:hAnsi="Times New Roman" w:cs="Times New Roman"/>
          <w:color w:val="000000" w:themeColor="text1"/>
          <w:sz w:val="24"/>
          <w:szCs w:val="24"/>
        </w:rPr>
        <w:t>forecast</w:t>
      </w:r>
      <w:r w:rsidRPr="00D805BF">
        <w:rPr>
          <w:rFonts w:ascii="Times New Roman" w:eastAsia="宋体" w:hAnsi="Times New Roman" w:cs="Times New Roman"/>
          <w:color w:val="000000" w:themeColor="text1"/>
          <w:sz w:val="24"/>
          <w:szCs w:val="24"/>
        </w:rPr>
        <w:t>和时间编码共同输入条件扩散模型。由于缺少气象数据，这些标签应表述为功率风险状态，而不是寒潮气象标签。</w:t>
      </w:r>
    </w:p>
    <w:p w14:paraId="573A855A" w14:textId="39924AA1" w:rsidR="00FD6E46" w:rsidRPr="00D805BF" w:rsidRDefault="00154140">
      <w:pPr>
        <w:pStyle w:val="1"/>
        <w:spacing w:after="0" w:line="300" w:lineRule="auto"/>
        <w:rPr>
          <w:rFonts w:ascii="Times New Roman" w:eastAsia="宋体" w:hAnsi="Times New Roman" w:cs="Times New Roman"/>
          <w:color w:val="000000" w:themeColor="text1"/>
          <w:sz w:val="36"/>
          <w:szCs w:val="24"/>
        </w:rPr>
      </w:pPr>
      <w:r>
        <w:rPr>
          <w:rFonts w:ascii="Times New Roman" w:eastAsia="宋体" w:hAnsi="Times New Roman" w:cs="Times New Roman" w:hint="eastAsia"/>
          <w:color w:val="000000" w:themeColor="text1"/>
          <w:sz w:val="36"/>
          <w:szCs w:val="24"/>
        </w:rPr>
        <w:t>4.</w:t>
      </w:r>
      <w:r w:rsidR="00000000" w:rsidRPr="00D805BF">
        <w:rPr>
          <w:rFonts w:ascii="Times New Roman" w:eastAsia="宋体" w:hAnsi="Times New Roman" w:cs="Times New Roman"/>
          <w:color w:val="000000" w:themeColor="text1"/>
          <w:sz w:val="36"/>
          <w:szCs w:val="24"/>
        </w:rPr>
        <w:t>极端场景小样本处理</w:t>
      </w:r>
      <w:r>
        <w:rPr>
          <w:rFonts w:ascii="Times New Roman" w:eastAsia="宋体" w:hAnsi="Times New Roman" w:cs="Times New Roman" w:hint="eastAsia"/>
          <w:color w:val="000000" w:themeColor="text1"/>
          <w:sz w:val="36"/>
          <w:szCs w:val="24"/>
        </w:rPr>
        <w:t>思路</w:t>
      </w:r>
    </w:p>
    <w:p w14:paraId="4A82AE75" w14:textId="77777777" w:rsidR="00FD6E46" w:rsidRPr="00D805BF" w:rsidRDefault="00000000" w:rsidP="00154140">
      <w:pPr>
        <w:spacing w:after="0" w:line="300" w:lineRule="auto"/>
        <w:ind w:firstLineChars="200" w:firstLine="480"/>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 w:val="24"/>
          <w:szCs w:val="24"/>
        </w:rPr>
        <w:t>《</w:t>
      </w:r>
      <w:r w:rsidRPr="00D805BF">
        <w:rPr>
          <w:rFonts w:ascii="Times New Roman" w:eastAsia="宋体" w:hAnsi="Times New Roman" w:cs="Times New Roman"/>
          <w:color w:val="000000" w:themeColor="text1"/>
          <w:sz w:val="24"/>
          <w:szCs w:val="24"/>
        </w:rPr>
        <w:t>A practical few-shot wind power prediction method for extreme cold waves</w:t>
      </w:r>
      <w:r w:rsidRPr="00D805BF">
        <w:rPr>
          <w:rFonts w:ascii="Times New Roman" w:eastAsia="宋体" w:hAnsi="Times New Roman" w:cs="Times New Roman"/>
          <w:color w:val="000000" w:themeColor="text1"/>
          <w:sz w:val="24"/>
          <w:szCs w:val="24"/>
        </w:rPr>
        <w:t>》和《基于</w:t>
      </w:r>
      <w:r w:rsidRPr="00D805BF">
        <w:rPr>
          <w:rFonts w:ascii="Times New Roman" w:eastAsia="宋体" w:hAnsi="Times New Roman" w:cs="Times New Roman"/>
          <w:color w:val="000000" w:themeColor="text1"/>
          <w:sz w:val="24"/>
          <w:szCs w:val="24"/>
        </w:rPr>
        <w:t>RTSGAN</w:t>
      </w:r>
      <w:r w:rsidRPr="00D805BF">
        <w:rPr>
          <w:rFonts w:ascii="Times New Roman" w:eastAsia="宋体" w:hAnsi="Times New Roman" w:cs="Times New Roman"/>
          <w:color w:val="000000" w:themeColor="text1"/>
          <w:sz w:val="24"/>
          <w:szCs w:val="24"/>
        </w:rPr>
        <w:t>样本扩充和注意力动态权重集成的寒潮极端天气条件下风电功率预测方法》均将寒潮视为典型小样本场景。两篇文献先筛选寒潮事件，再通过滑动窗口形成时间序列片</w:t>
      </w:r>
      <w:r w:rsidRPr="00D805BF">
        <w:rPr>
          <w:rFonts w:ascii="Times New Roman" w:eastAsia="宋体" w:hAnsi="Times New Roman" w:cs="Times New Roman"/>
          <w:color w:val="000000" w:themeColor="text1"/>
          <w:sz w:val="24"/>
          <w:szCs w:val="24"/>
        </w:rPr>
        <w:lastRenderedPageBreak/>
        <w:t>段，并利用</w:t>
      </w:r>
      <w:r w:rsidRPr="00D805BF">
        <w:rPr>
          <w:rFonts w:ascii="Times New Roman" w:eastAsia="宋体" w:hAnsi="Times New Roman" w:cs="Times New Roman"/>
          <w:color w:val="000000" w:themeColor="text1"/>
          <w:sz w:val="24"/>
          <w:szCs w:val="24"/>
        </w:rPr>
        <w:t>TimeGAN</w:t>
      </w:r>
      <w:r w:rsidRPr="00D805BF">
        <w:rPr>
          <w:rFonts w:ascii="Times New Roman" w:eastAsia="宋体" w:hAnsi="Times New Roman" w:cs="Times New Roman"/>
          <w:color w:val="000000" w:themeColor="text1"/>
          <w:sz w:val="24"/>
          <w:szCs w:val="24"/>
        </w:rPr>
        <w:t>或</w:t>
      </w:r>
      <w:r w:rsidRPr="00D805BF">
        <w:rPr>
          <w:rFonts w:ascii="Times New Roman" w:eastAsia="宋体" w:hAnsi="Times New Roman" w:cs="Times New Roman"/>
          <w:color w:val="000000" w:themeColor="text1"/>
          <w:sz w:val="24"/>
          <w:szCs w:val="24"/>
        </w:rPr>
        <w:t>RTSGAN</w:t>
      </w:r>
      <w:r w:rsidRPr="00D805BF">
        <w:rPr>
          <w:rFonts w:ascii="Times New Roman" w:eastAsia="宋体" w:hAnsi="Times New Roman" w:cs="Times New Roman"/>
          <w:color w:val="000000" w:themeColor="text1"/>
          <w:sz w:val="24"/>
          <w:szCs w:val="24"/>
        </w:rPr>
        <w:t>类模型扩充样本。相关方法通过</w:t>
      </w:r>
      <w:r w:rsidRPr="00D805BF">
        <w:rPr>
          <w:rFonts w:ascii="Times New Roman" w:eastAsia="宋体" w:hAnsi="Times New Roman" w:cs="Times New Roman"/>
          <w:color w:val="000000" w:themeColor="text1"/>
          <w:sz w:val="24"/>
          <w:szCs w:val="24"/>
        </w:rPr>
        <w:t>TCN</w:t>
      </w:r>
      <w:r w:rsidRPr="00D805BF">
        <w:rPr>
          <w:rFonts w:ascii="Times New Roman" w:eastAsia="宋体" w:hAnsi="Times New Roman" w:cs="Times New Roman"/>
          <w:color w:val="000000" w:themeColor="text1"/>
          <w:sz w:val="24"/>
          <w:szCs w:val="24"/>
        </w:rPr>
        <w:t>、自注意力或</w:t>
      </w:r>
      <w:r w:rsidRPr="00D805BF">
        <w:rPr>
          <w:rFonts w:ascii="Times New Roman" w:eastAsia="宋体" w:hAnsi="Times New Roman" w:cs="Times New Roman"/>
          <w:color w:val="000000" w:themeColor="text1"/>
          <w:sz w:val="24"/>
          <w:szCs w:val="24"/>
        </w:rPr>
        <w:t>Wasserstein</w:t>
      </w:r>
      <w:r w:rsidRPr="00D805BF">
        <w:rPr>
          <w:rFonts w:ascii="Times New Roman" w:eastAsia="宋体" w:hAnsi="Times New Roman" w:cs="Times New Roman"/>
          <w:color w:val="000000" w:themeColor="text1"/>
          <w:sz w:val="24"/>
          <w:szCs w:val="24"/>
        </w:rPr>
        <w:t>距离改善长序列特征保持和训练稳定性。</w:t>
      </w:r>
    </w:p>
    <w:p w14:paraId="03CBF043" w14:textId="41CCEF2A" w:rsidR="00154140" w:rsidRPr="00154140" w:rsidRDefault="00000000" w:rsidP="00154140">
      <w:pPr>
        <w:spacing w:after="0" w:line="300" w:lineRule="auto"/>
        <w:ind w:firstLineChars="200" w:firstLine="480"/>
        <w:rPr>
          <w:rFonts w:ascii="Times New Roman" w:eastAsia="宋体" w:hAnsi="Times New Roman" w:cs="Times New Roman" w:hint="eastAsia"/>
          <w:color w:val="000000" w:themeColor="text1"/>
          <w:sz w:val="24"/>
          <w:szCs w:val="24"/>
        </w:rPr>
      </w:pPr>
      <w:r w:rsidRPr="00D805BF">
        <w:rPr>
          <w:rFonts w:ascii="Times New Roman" w:eastAsia="宋体" w:hAnsi="Times New Roman" w:cs="Times New Roman"/>
          <w:color w:val="000000" w:themeColor="text1"/>
          <w:sz w:val="24"/>
          <w:szCs w:val="24"/>
        </w:rPr>
        <w:t>对当前工作的启发是：如果后续筛选得到的某类高风险功率窗口数量过少，可采用滑动窗口、过采样或时序生成模型补充样本；生成结果应同时检查分布相似性、相关性、持续时间和爬坡特征，而不能只比较平均误差。</w:t>
      </w:r>
    </w:p>
    <w:p w14:paraId="4EEE3946" w14:textId="77777777" w:rsidR="00FD6E46" w:rsidRPr="00D805BF" w:rsidRDefault="00000000" w:rsidP="00154140">
      <w:pPr>
        <w:spacing w:after="0" w:line="300" w:lineRule="auto"/>
        <w:ind w:firstLineChars="200" w:firstLine="480"/>
        <w:rPr>
          <w:rFonts w:ascii="Times New Roman" w:eastAsia="宋体" w:hAnsi="Times New Roman" w:cs="Times New Roman"/>
          <w:color w:val="000000" w:themeColor="text1"/>
          <w:sz w:val="24"/>
          <w:szCs w:val="24"/>
        </w:rPr>
      </w:pPr>
      <w:r w:rsidRPr="00D805BF">
        <w:rPr>
          <w:rFonts w:ascii="Times New Roman" w:eastAsia="宋体" w:hAnsi="Times New Roman" w:cs="Times New Roman"/>
          <w:color w:val="000000" w:themeColor="text1"/>
          <w:sz w:val="24"/>
          <w:szCs w:val="24"/>
        </w:rPr>
        <w:t>上述小样本文献通常同时使用温度、风速、湿度、</w:t>
      </w:r>
      <w:r w:rsidRPr="00D805BF">
        <w:rPr>
          <w:rFonts w:ascii="Times New Roman" w:eastAsia="宋体" w:hAnsi="Times New Roman" w:cs="Times New Roman"/>
          <w:color w:val="000000" w:themeColor="text1"/>
          <w:sz w:val="24"/>
          <w:szCs w:val="24"/>
        </w:rPr>
        <w:t>NWP</w:t>
      </w:r>
      <w:r w:rsidRPr="00D805BF">
        <w:rPr>
          <w:rFonts w:ascii="Times New Roman" w:eastAsia="宋体" w:hAnsi="Times New Roman" w:cs="Times New Roman"/>
          <w:color w:val="000000" w:themeColor="text1"/>
          <w:sz w:val="24"/>
          <w:szCs w:val="24"/>
        </w:rPr>
        <w:t>和功率等变量，并依据气象阈值筛选寒潮事件。当前数据只有功率，因此不能直接复现</w:t>
      </w:r>
      <w:r w:rsidRPr="00D805BF">
        <w:rPr>
          <w:rFonts w:ascii="Times New Roman" w:eastAsia="宋体" w:hAnsi="Times New Roman" w:cs="Times New Roman"/>
          <w:color w:val="000000" w:themeColor="text1"/>
          <w:sz w:val="24"/>
          <w:szCs w:val="24"/>
        </w:rPr>
        <w:t>“</w:t>
      </w:r>
      <w:r w:rsidRPr="00D805BF">
        <w:rPr>
          <w:rFonts w:ascii="Times New Roman" w:eastAsia="宋体" w:hAnsi="Times New Roman" w:cs="Times New Roman"/>
          <w:color w:val="000000" w:themeColor="text1"/>
          <w:sz w:val="24"/>
          <w:szCs w:val="24"/>
        </w:rPr>
        <w:t>温度下降</w:t>
      </w:r>
      <w:r w:rsidRPr="00D805BF">
        <w:rPr>
          <w:rFonts w:ascii="Times New Roman" w:eastAsia="宋体" w:hAnsi="Times New Roman" w:cs="Times New Roman"/>
          <w:color w:val="000000" w:themeColor="text1"/>
          <w:sz w:val="24"/>
          <w:szCs w:val="24"/>
        </w:rPr>
        <w:t>—</w:t>
      </w:r>
      <w:r w:rsidRPr="00D805BF">
        <w:rPr>
          <w:rFonts w:ascii="Times New Roman" w:eastAsia="宋体" w:hAnsi="Times New Roman" w:cs="Times New Roman"/>
          <w:color w:val="000000" w:themeColor="text1"/>
          <w:sz w:val="24"/>
          <w:szCs w:val="24"/>
        </w:rPr>
        <w:t>功率损失</w:t>
      </w:r>
      <w:r w:rsidRPr="00D805BF">
        <w:rPr>
          <w:rFonts w:ascii="Times New Roman" w:eastAsia="宋体" w:hAnsi="Times New Roman" w:cs="Times New Roman"/>
          <w:color w:val="000000" w:themeColor="text1"/>
          <w:sz w:val="24"/>
          <w:szCs w:val="24"/>
        </w:rPr>
        <w:t>”</w:t>
      </w:r>
      <w:r w:rsidRPr="00D805BF">
        <w:rPr>
          <w:rFonts w:ascii="Times New Roman" w:eastAsia="宋体" w:hAnsi="Times New Roman" w:cs="Times New Roman"/>
          <w:color w:val="000000" w:themeColor="text1"/>
          <w:sz w:val="24"/>
          <w:szCs w:val="24"/>
        </w:rPr>
        <w:t>等物理耦合，也不能把扩充后的功率片段直接定义为寒潮样本。现阶段仅借鉴其极端子集筛选、滑动窗口扩充和时序特征保持思路。</w:t>
      </w:r>
    </w:p>
    <w:p w14:paraId="5A7B5337" w14:textId="3001D624" w:rsidR="00FD6E46" w:rsidRPr="00D805BF" w:rsidRDefault="00154140">
      <w:pPr>
        <w:pStyle w:val="1"/>
        <w:spacing w:after="0" w:line="300" w:lineRule="auto"/>
        <w:rPr>
          <w:rFonts w:ascii="Times New Roman" w:eastAsia="宋体" w:hAnsi="Times New Roman" w:cs="Times New Roman"/>
          <w:color w:val="000000" w:themeColor="text1"/>
          <w:sz w:val="36"/>
          <w:szCs w:val="24"/>
        </w:rPr>
      </w:pPr>
      <w:r>
        <w:rPr>
          <w:rFonts w:ascii="Times New Roman" w:eastAsia="宋体" w:hAnsi="Times New Roman" w:cs="Times New Roman" w:hint="eastAsia"/>
          <w:color w:val="000000" w:themeColor="text1"/>
          <w:sz w:val="36"/>
          <w:szCs w:val="24"/>
        </w:rPr>
        <w:t>5.</w:t>
      </w:r>
      <w:r w:rsidR="00000000" w:rsidRPr="00D805BF">
        <w:rPr>
          <w:rFonts w:ascii="Times New Roman" w:eastAsia="宋体" w:hAnsi="Times New Roman" w:cs="Times New Roman"/>
          <w:color w:val="000000" w:themeColor="text1"/>
          <w:sz w:val="36"/>
          <w:szCs w:val="24"/>
        </w:rPr>
        <w:t>阶段性结论与后续思路</w:t>
      </w:r>
    </w:p>
    <w:p w14:paraId="7B35E6D1" w14:textId="30BF77FE" w:rsidR="005B0A12" w:rsidRPr="005B0A12" w:rsidRDefault="005B0A12" w:rsidP="005B0A12">
      <w:pPr>
        <w:pStyle w:val="a4"/>
        <w:spacing w:after="0" w:line="300" w:lineRule="auto"/>
        <w:ind w:leftChars="100" w:left="220" w:firstLineChars="200" w:firstLine="480"/>
        <w:rPr>
          <w:rFonts w:ascii="Times New Roman" w:eastAsia="宋体" w:hAnsi="Times New Roman" w:cs="Times New Roman" w:hint="eastAsia"/>
          <w:color w:val="000000" w:themeColor="text1"/>
          <w:sz w:val="24"/>
          <w:szCs w:val="24"/>
        </w:rPr>
      </w:pPr>
      <w:r w:rsidRPr="005B0A12">
        <w:rPr>
          <w:rFonts w:ascii="Times New Roman" w:eastAsia="宋体" w:hAnsi="Times New Roman" w:cs="Times New Roman" w:hint="eastAsia"/>
          <w:color w:val="000000" w:themeColor="text1"/>
          <w:sz w:val="24"/>
          <w:szCs w:val="24"/>
        </w:rPr>
        <w:t>1</w:t>
      </w:r>
      <w:r w:rsidRPr="005B0A12">
        <w:rPr>
          <w:rFonts w:ascii="Times New Roman" w:eastAsia="宋体" w:hAnsi="Times New Roman" w:cs="Times New Roman" w:hint="eastAsia"/>
          <w:color w:val="000000" w:themeColor="text1"/>
          <w:sz w:val="24"/>
          <w:szCs w:val="24"/>
        </w:rPr>
        <w:t>）当前数据仅包含风电、</w:t>
      </w:r>
      <w:proofErr w:type="gramStart"/>
      <w:r w:rsidRPr="005B0A12">
        <w:rPr>
          <w:rFonts w:ascii="Times New Roman" w:eastAsia="宋体" w:hAnsi="Times New Roman" w:cs="Times New Roman" w:hint="eastAsia"/>
          <w:color w:val="000000" w:themeColor="text1"/>
          <w:sz w:val="24"/>
          <w:szCs w:val="24"/>
        </w:rPr>
        <w:t>光伏和负荷</w:t>
      </w:r>
      <w:proofErr w:type="gramEnd"/>
      <w:r w:rsidRPr="005B0A12">
        <w:rPr>
          <w:rFonts w:ascii="Times New Roman" w:eastAsia="宋体" w:hAnsi="Times New Roman" w:cs="Times New Roman" w:hint="eastAsia"/>
          <w:color w:val="000000" w:themeColor="text1"/>
          <w:sz w:val="24"/>
          <w:szCs w:val="24"/>
        </w:rPr>
        <w:t>功率，缺少温度、风速等气象变量，因此暂时无法直接识别寒潮事件。现阶段更适合从功率侧提取寒潮可能引起的典型响应特征。</w:t>
      </w:r>
    </w:p>
    <w:p w14:paraId="307FC36C" w14:textId="5BE356A5" w:rsidR="005B0A12" w:rsidRPr="005B0A12" w:rsidRDefault="005B0A12" w:rsidP="005B0A12">
      <w:pPr>
        <w:pStyle w:val="a4"/>
        <w:spacing w:after="0" w:line="300" w:lineRule="auto"/>
        <w:ind w:leftChars="100" w:left="220" w:firstLineChars="200" w:firstLine="480"/>
        <w:rPr>
          <w:rFonts w:ascii="Times New Roman" w:eastAsia="宋体" w:hAnsi="Times New Roman" w:cs="Times New Roman" w:hint="eastAsia"/>
          <w:color w:val="000000" w:themeColor="text1"/>
          <w:sz w:val="24"/>
          <w:szCs w:val="24"/>
        </w:rPr>
      </w:pPr>
      <w:r w:rsidRPr="005B0A12">
        <w:rPr>
          <w:rFonts w:ascii="Times New Roman" w:eastAsia="宋体" w:hAnsi="Times New Roman" w:cs="Times New Roman" w:hint="eastAsia"/>
          <w:color w:val="000000" w:themeColor="text1"/>
          <w:sz w:val="24"/>
          <w:szCs w:val="24"/>
        </w:rPr>
        <w:t>2</w:t>
      </w:r>
      <w:r w:rsidRPr="005B0A12">
        <w:rPr>
          <w:rFonts w:ascii="Times New Roman" w:eastAsia="宋体" w:hAnsi="Times New Roman" w:cs="Times New Roman" w:hint="eastAsia"/>
          <w:color w:val="000000" w:themeColor="text1"/>
          <w:sz w:val="24"/>
          <w:szCs w:val="24"/>
        </w:rPr>
        <w:t>）寒潮相关风险不应只用单点低出力判断，还应综合考虑持续低新能源出力、风光突变、负荷上升</w:t>
      </w:r>
      <w:proofErr w:type="gramStart"/>
      <w:r w:rsidRPr="005B0A12">
        <w:rPr>
          <w:rFonts w:ascii="Times New Roman" w:eastAsia="宋体" w:hAnsi="Times New Roman" w:cs="Times New Roman" w:hint="eastAsia"/>
          <w:color w:val="000000" w:themeColor="text1"/>
          <w:sz w:val="24"/>
          <w:szCs w:val="24"/>
        </w:rPr>
        <w:t>以及源荷</w:t>
      </w:r>
      <w:proofErr w:type="gramEnd"/>
      <w:r w:rsidRPr="005B0A12">
        <w:rPr>
          <w:rFonts w:ascii="Times New Roman" w:eastAsia="宋体" w:hAnsi="Times New Roman" w:cs="Times New Roman" w:hint="eastAsia"/>
          <w:color w:val="000000" w:themeColor="text1"/>
          <w:sz w:val="24"/>
          <w:szCs w:val="24"/>
        </w:rPr>
        <w:t>反向变化等特征，重点刻画其持续性、突变性和耦合性。</w:t>
      </w:r>
    </w:p>
    <w:p w14:paraId="286428A3" w14:textId="283C3417" w:rsidR="005B0A12" w:rsidRPr="005B0A12" w:rsidRDefault="005B0A12" w:rsidP="005B0A12">
      <w:pPr>
        <w:pStyle w:val="a4"/>
        <w:spacing w:after="0" w:line="300" w:lineRule="auto"/>
        <w:ind w:leftChars="100" w:left="220" w:firstLineChars="200" w:firstLine="480"/>
        <w:rPr>
          <w:rFonts w:ascii="Times New Roman" w:eastAsia="宋体" w:hAnsi="Times New Roman" w:cs="Times New Roman" w:hint="eastAsia"/>
          <w:color w:val="000000" w:themeColor="text1"/>
          <w:sz w:val="24"/>
          <w:szCs w:val="24"/>
        </w:rPr>
      </w:pPr>
      <w:r w:rsidRPr="005B0A12">
        <w:rPr>
          <w:rFonts w:ascii="Times New Roman" w:eastAsia="宋体" w:hAnsi="Times New Roman" w:cs="Times New Roman" w:hint="eastAsia"/>
          <w:color w:val="000000" w:themeColor="text1"/>
          <w:sz w:val="24"/>
          <w:szCs w:val="24"/>
        </w:rPr>
        <w:t>3</w:t>
      </w:r>
      <w:r w:rsidRPr="005B0A12">
        <w:rPr>
          <w:rFonts w:ascii="Times New Roman" w:eastAsia="宋体" w:hAnsi="Times New Roman" w:cs="Times New Roman" w:hint="eastAsia"/>
          <w:color w:val="000000" w:themeColor="text1"/>
          <w:sz w:val="24"/>
          <w:szCs w:val="24"/>
        </w:rPr>
        <w:t>）现阶段优先采用“条件扩散模型生成候选场景—计算功率风险指标—筛选高风险场景”的技术路线，在不改变现有模型结构的基础上，先验证生成场景对高风险功率状态的覆盖能力。</w:t>
      </w:r>
    </w:p>
    <w:p w14:paraId="7CBA2702" w14:textId="6E068A3D" w:rsidR="005B0A12" w:rsidRPr="005B0A12" w:rsidRDefault="005B0A12" w:rsidP="005B0A12">
      <w:pPr>
        <w:pStyle w:val="a4"/>
        <w:spacing w:after="0" w:line="300" w:lineRule="auto"/>
        <w:ind w:leftChars="100" w:left="220" w:firstLineChars="200" w:firstLine="480"/>
        <w:rPr>
          <w:rFonts w:ascii="Times New Roman" w:eastAsia="宋体" w:hAnsi="Times New Roman" w:cs="Times New Roman" w:hint="eastAsia"/>
          <w:color w:val="000000" w:themeColor="text1"/>
          <w:sz w:val="24"/>
          <w:szCs w:val="24"/>
        </w:rPr>
      </w:pPr>
      <w:r w:rsidRPr="005B0A12">
        <w:rPr>
          <w:rFonts w:ascii="Times New Roman" w:eastAsia="宋体" w:hAnsi="Times New Roman" w:cs="Times New Roman" w:hint="eastAsia"/>
          <w:color w:val="000000" w:themeColor="text1"/>
          <w:sz w:val="24"/>
          <w:szCs w:val="24"/>
        </w:rPr>
        <w:t>4</w:t>
      </w:r>
      <w:r w:rsidRPr="005B0A12">
        <w:rPr>
          <w:rFonts w:ascii="Times New Roman" w:eastAsia="宋体" w:hAnsi="Times New Roman" w:cs="Times New Roman" w:hint="eastAsia"/>
          <w:color w:val="000000" w:themeColor="text1"/>
          <w:sz w:val="24"/>
          <w:szCs w:val="24"/>
        </w:rPr>
        <w:t>）完成数据缺失处理、</w:t>
      </w:r>
      <w:r w:rsidRPr="005B0A12">
        <w:rPr>
          <w:rFonts w:ascii="Times New Roman" w:eastAsia="宋体" w:hAnsi="Times New Roman" w:cs="Times New Roman" w:hint="eastAsia"/>
          <w:color w:val="000000" w:themeColor="text1"/>
          <w:sz w:val="24"/>
          <w:szCs w:val="24"/>
        </w:rPr>
        <w:t xml:space="preserve">15 min </w:t>
      </w:r>
      <w:r w:rsidRPr="005B0A12">
        <w:rPr>
          <w:rFonts w:ascii="Times New Roman" w:eastAsia="宋体" w:hAnsi="Times New Roman" w:cs="Times New Roman" w:hint="eastAsia"/>
          <w:color w:val="000000" w:themeColor="text1"/>
          <w:sz w:val="24"/>
          <w:szCs w:val="24"/>
        </w:rPr>
        <w:t>数据</w:t>
      </w:r>
      <w:proofErr w:type="gramStart"/>
      <w:r w:rsidRPr="005B0A12">
        <w:rPr>
          <w:rFonts w:ascii="Times New Roman" w:eastAsia="宋体" w:hAnsi="Times New Roman" w:cs="Times New Roman" w:hint="eastAsia"/>
          <w:color w:val="000000" w:themeColor="text1"/>
          <w:sz w:val="24"/>
          <w:szCs w:val="24"/>
        </w:rPr>
        <w:t>小时级</w:t>
      </w:r>
      <w:proofErr w:type="gramEnd"/>
      <w:r w:rsidRPr="005B0A12">
        <w:rPr>
          <w:rFonts w:ascii="Times New Roman" w:eastAsia="宋体" w:hAnsi="Times New Roman" w:cs="Times New Roman" w:hint="eastAsia"/>
          <w:color w:val="000000" w:themeColor="text1"/>
          <w:sz w:val="24"/>
          <w:szCs w:val="24"/>
        </w:rPr>
        <w:t>聚合和风光负值清洗后，再统计各类高风险窗口的数量及分布。若极端样本确实较少，再进一步考虑滑动窗口扩充、过采样或时序生成方法。</w:t>
      </w:r>
    </w:p>
    <w:p w14:paraId="09E04E43" w14:textId="0C7781BF" w:rsidR="00FD6E46" w:rsidRPr="00D805BF" w:rsidRDefault="005B0A12" w:rsidP="005B0A12">
      <w:pPr>
        <w:pStyle w:val="a4"/>
        <w:spacing w:after="0" w:line="300" w:lineRule="auto"/>
        <w:ind w:leftChars="100" w:left="220" w:firstLineChars="200" w:firstLine="480"/>
        <w:rPr>
          <w:rFonts w:ascii="Times New Roman" w:eastAsia="宋体" w:hAnsi="Times New Roman" w:cs="Times New Roman"/>
          <w:color w:val="000000" w:themeColor="text1"/>
          <w:sz w:val="24"/>
          <w:szCs w:val="24"/>
        </w:rPr>
      </w:pPr>
      <w:r w:rsidRPr="005B0A12">
        <w:rPr>
          <w:rFonts w:ascii="Times New Roman" w:eastAsia="宋体" w:hAnsi="Times New Roman" w:cs="Times New Roman" w:hint="eastAsia"/>
          <w:color w:val="000000" w:themeColor="text1"/>
          <w:sz w:val="24"/>
          <w:szCs w:val="24"/>
        </w:rPr>
        <w:t>5</w:t>
      </w:r>
      <w:r w:rsidRPr="005B0A12">
        <w:rPr>
          <w:rFonts w:ascii="Times New Roman" w:eastAsia="宋体" w:hAnsi="Times New Roman" w:cs="Times New Roman" w:hint="eastAsia"/>
          <w:color w:val="000000" w:themeColor="text1"/>
          <w:sz w:val="24"/>
          <w:szCs w:val="24"/>
        </w:rPr>
        <w:t>）在风险状态定义和筛选结果稳定后，可进一步将持续低新能源、高净负荷、强突变和</w:t>
      </w:r>
      <w:proofErr w:type="gramStart"/>
      <w:r w:rsidRPr="005B0A12">
        <w:rPr>
          <w:rFonts w:ascii="Times New Roman" w:eastAsia="宋体" w:hAnsi="Times New Roman" w:cs="Times New Roman" w:hint="eastAsia"/>
          <w:color w:val="000000" w:themeColor="text1"/>
          <w:sz w:val="24"/>
          <w:szCs w:val="24"/>
        </w:rPr>
        <w:t>源荷</w:t>
      </w:r>
      <w:proofErr w:type="gramEnd"/>
      <w:r w:rsidRPr="005B0A12">
        <w:rPr>
          <w:rFonts w:ascii="Times New Roman" w:eastAsia="宋体" w:hAnsi="Times New Roman" w:cs="Times New Roman" w:hint="eastAsia"/>
          <w:color w:val="000000" w:themeColor="text1"/>
          <w:sz w:val="24"/>
          <w:szCs w:val="24"/>
        </w:rPr>
        <w:t>反向变化等状态编码为风险标签，并与预测数据、时间编码共同作为条件输入，引导扩散模型生成具有指定风险特征的场景。</w:t>
      </w:r>
    </w:p>
    <w:sectPr w:rsidR="00FD6E46" w:rsidRPr="00D805BF">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324C1" w14:textId="77777777" w:rsidR="006F0524" w:rsidRDefault="006F0524" w:rsidP="00EB23C3">
      <w:pPr>
        <w:spacing w:after="0" w:line="240" w:lineRule="auto"/>
      </w:pPr>
      <w:r>
        <w:separator/>
      </w:r>
    </w:p>
  </w:endnote>
  <w:endnote w:type="continuationSeparator" w:id="0">
    <w:p w14:paraId="3A1C6A1F" w14:textId="77777777" w:rsidR="006F0524" w:rsidRDefault="006F0524" w:rsidP="00EB2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C4107" w14:textId="77777777" w:rsidR="006F0524" w:rsidRDefault="006F0524" w:rsidP="00EB23C3">
      <w:pPr>
        <w:spacing w:after="0" w:line="240" w:lineRule="auto"/>
      </w:pPr>
      <w:r>
        <w:separator/>
      </w:r>
    </w:p>
  </w:footnote>
  <w:footnote w:type="continuationSeparator" w:id="0">
    <w:p w14:paraId="16C0AB96" w14:textId="77777777" w:rsidR="006F0524" w:rsidRDefault="006F0524" w:rsidP="00EB23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D1155"/>
    <w:multiLevelType w:val="hybridMultilevel"/>
    <w:tmpl w:val="537E9114"/>
    <w:lvl w:ilvl="0" w:tplc="2228D226">
      <w:start w:val="1"/>
      <w:numFmt w:val="bullet"/>
      <w:lvlText w:val="•"/>
      <w:lvlJc w:val="left"/>
      <w:pPr>
        <w:ind w:left="720" w:hanging="360"/>
      </w:pPr>
    </w:lvl>
    <w:lvl w:ilvl="1" w:tplc="85B2846C">
      <w:numFmt w:val="decimal"/>
      <w:lvlText w:val=""/>
      <w:lvlJc w:val="left"/>
    </w:lvl>
    <w:lvl w:ilvl="2" w:tplc="A5F2AB5C">
      <w:numFmt w:val="decimal"/>
      <w:lvlText w:val=""/>
      <w:lvlJc w:val="left"/>
    </w:lvl>
    <w:lvl w:ilvl="3" w:tplc="82A8E514">
      <w:numFmt w:val="decimal"/>
      <w:lvlText w:val=""/>
      <w:lvlJc w:val="left"/>
    </w:lvl>
    <w:lvl w:ilvl="4" w:tplc="AC5CC61E">
      <w:numFmt w:val="decimal"/>
      <w:lvlText w:val=""/>
      <w:lvlJc w:val="left"/>
    </w:lvl>
    <w:lvl w:ilvl="5" w:tplc="158AAA48">
      <w:numFmt w:val="decimal"/>
      <w:lvlText w:val=""/>
      <w:lvlJc w:val="left"/>
    </w:lvl>
    <w:lvl w:ilvl="6" w:tplc="027A5EA8">
      <w:numFmt w:val="decimal"/>
      <w:lvlText w:val=""/>
      <w:lvlJc w:val="left"/>
    </w:lvl>
    <w:lvl w:ilvl="7" w:tplc="BE8A41B6">
      <w:numFmt w:val="decimal"/>
      <w:lvlText w:val=""/>
      <w:lvlJc w:val="left"/>
    </w:lvl>
    <w:lvl w:ilvl="8" w:tplc="72488CF6">
      <w:numFmt w:val="decimal"/>
      <w:lvlText w:val=""/>
      <w:lvlJc w:val="left"/>
    </w:lvl>
  </w:abstractNum>
  <w:num w:numId="1" w16cid:durableId="199560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699"/>
    <w:rsid w:val="00154140"/>
    <w:rsid w:val="00377663"/>
    <w:rsid w:val="004B2952"/>
    <w:rsid w:val="00545169"/>
    <w:rsid w:val="00554699"/>
    <w:rsid w:val="005B0A12"/>
    <w:rsid w:val="006F0524"/>
    <w:rsid w:val="00783CFA"/>
    <w:rsid w:val="008210A3"/>
    <w:rsid w:val="00943CEB"/>
    <w:rsid w:val="009A63FC"/>
    <w:rsid w:val="00AA7644"/>
    <w:rsid w:val="00B96BB7"/>
    <w:rsid w:val="00BD763C"/>
    <w:rsid w:val="00CA57AD"/>
    <w:rsid w:val="00CD1CA0"/>
    <w:rsid w:val="00D805BF"/>
    <w:rsid w:val="00EB23C3"/>
    <w:rsid w:val="00F9094A"/>
    <w:rsid w:val="00FD6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A2508"/>
  <w15:docId w15:val="{AA46F962-08EC-434E-ADE3-074FE19C8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4" w:lineRule="auto"/>
    </w:pPr>
    <w:rPr>
      <w:rFonts w:ascii="Calibri" w:eastAsia="微软雅黑" w:hAnsi="Calibri"/>
      <w:szCs w:val="22"/>
    </w:rPr>
  </w:style>
  <w:style w:type="paragraph" w:styleId="1">
    <w:name w:val="heading 1"/>
    <w:basedOn w:val="a"/>
    <w:uiPriority w:val="9"/>
    <w:qFormat/>
    <w:pPr>
      <w:keepNext/>
      <w:spacing w:before="320" w:after="160"/>
      <w:outlineLvl w:val="0"/>
    </w:pPr>
    <w:rPr>
      <w:b/>
      <w:color w:val="2E74B5"/>
      <w:sz w:val="32"/>
    </w:rPr>
  </w:style>
  <w:style w:type="paragraph" w:styleId="2">
    <w:name w:val="heading 2"/>
    <w:basedOn w:val="a"/>
    <w:uiPriority w:val="9"/>
    <w:unhideWhenUsed/>
    <w:qFormat/>
    <w:pPr>
      <w:keepNext/>
      <w:spacing w:before="240"/>
      <w:outlineLvl w:val="1"/>
    </w:pPr>
    <w:rPr>
      <w:b/>
      <w:color w:val="2E74B5"/>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after="180"/>
    </w:pPr>
    <w:rPr>
      <w:b/>
      <w:color w:val="1F4D78"/>
      <w:sz w:val="36"/>
    </w:rPr>
  </w:style>
  <w:style w:type="paragraph" w:styleId="a4">
    <w:name w:val="List Paragraph"/>
    <w:basedOn w:val="a"/>
    <w:pPr>
      <w:spacing w:after="100"/>
      <w:ind w:left="720" w:hanging="360"/>
    </w:pPr>
  </w:style>
  <w:style w:type="paragraph" w:styleId="a5">
    <w:name w:val="header"/>
    <w:basedOn w:val="a"/>
    <w:link w:val="a6"/>
    <w:uiPriority w:val="99"/>
    <w:unhideWhenUsed/>
    <w:rsid w:val="00EB23C3"/>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EB23C3"/>
    <w:rPr>
      <w:rFonts w:ascii="Calibri" w:eastAsia="微软雅黑" w:hAnsi="Calibri"/>
      <w:sz w:val="18"/>
      <w:szCs w:val="18"/>
    </w:rPr>
  </w:style>
  <w:style w:type="paragraph" w:styleId="a7">
    <w:name w:val="footer"/>
    <w:basedOn w:val="a"/>
    <w:link w:val="a8"/>
    <w:uiPriority w:val="99"/>
    <w:unhideWhenUsed/>
    <w:rsid w:val="00EB23C3"/>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EB23C3"/>
    <w:rPr>
      <w:rFonts w:ascii="Calibri" w:eastAsia="微软雅黑" w:hAnsi="Calibri"/>
      <w:sz w:val="18"/>
      <w:szCs w:val="18"/>
    </w:rPr>
  </w:style>
  <w:style w:type="table" w:styleId="a9">
    <w:name w:val="Table Grid"/>
    <w:basedOn w:val="a1"/>
    <w:uiPriority w:val="39"/>
    <w:rsid w:val="00D80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 mi</dc:creator>
  <cp:lastModifiedBy>la mi</cp:lastModifiedBy>
  <cp:revision>2</cp:revision>
  <cp:lastPrinted>2026-07-05T16:34:00Z</cp:lastPrinted>
  <dcterms:created xsi:type="dcterms:W3CDTF">2026-07-12T15:12:00Z</dcterms:created>
  <dcterms:modified xsi:type="dcterms:W3CDTF">2026-07-12T15:12:00Z</dcterms:modified>
</cp:coreProperties>
</file>