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E52" w:rsidRDefault="002E60DE" w:rsidP="002E60DE">
      <w:pPr>
        <w:pStyle w:val="1"/>
        <w:jc w:val="center"/>
      </w:pPr>
      <w:r>
        <w:rPr>
          <w:rFonts w:hint="eastAsia"/>
        </w:rPr>
        <w:t>CMM成熟度模型</w:t>
      </w:r>
    </w:p>
    <w:p w:rsidR="002E60DE" w:rsidRDefault="002E60DE" w:rsidP="002E60DE">
      <w:pPr>
        <w:pStyle w:val="2"/>
        <w:numPr>
          <w:ilvl w:val="0"/>
          <w:numId w:val="1"/>
        </w:numPr>
      </w:pPr>
      <w:r>
        <w:rPr>
          <w:rFonts w:hint="eastAsia"/>
        </w:rPr>
        <w:t>什么是CMM</w:t>
      </w:r>
    </w:p>
    <w:p w:rsidR="002E60DE" w:rsidRDefault="002E60DE" w:rsidP="005E49F7">
      <w:pPr>
        <w:spacing w:line="276" w:lineRule="auto"/>
        <w:ind w:firstLineChars="202" w:firstLine="485"/>
        <w:rPr>
          <w:rFonts w:ascii="宋体" w:eastAsia="宋体" w:hAnsi="宋体"/>
          <w:sz w:val="24"/>
          <w:szCs w:val="24"/>
        </w:rPr>
      </w:pPr>
      <w:r>
        <w:rPr>
          <w:rFonts w:ascii="宋体" w:eastAsia="宋体" w:hAnsi="宋体" w:hint="eastAsia"/>
          <w:sz w:val="24"/>
          <w:szCs w:val="24"/>
        </w:rPr>
        <w:t>CMM是</w:t>
      </w:r>
      <w:r w:rsidRPr="002E60DE">
        <w:rPr>
          <w:rFonts w:ascii="宋体" w:eastAsia="宋体" w:hAnsi="宋体"/>
          <w:sz w:val="24"/>
          <w:szCs w:val="24"/>
        </w:rPr>
        <w:t>Capability Maturity Model for Software</w:t>
      </w:r>
      <w:r>
        <w:rPr>
          <w:rFonts w:ascii="宋体" w:eastAsia="宋体" w:hAnsi="宋体" w:hint="eastAsia"/>
          <w:sz w:val="24"/>
          <w:szCs w:val="24"/>
        </w:rPr>
        <w:t>的缩写，代表软件</w:t>
      </w:r>
      <w:r w:rsidR="009E5E32">
        <w:rPr>
          <w:rFonts w:ascii="宋体" w:eastAsia="宋体" w:hAnsi="宋体" w:hint="eastAsia"/>
          <w:sz w:val="24"/>
          <w:szCs w:val="24"/>
        </w:rPr>
        <w:t>能力成熟度模型</w:t>
      </w:r>
      <w:r w:rsidR="005E49F7">
        <w:rPr>
          <w:rFonts w:ascii="宋体" w:eastAsia="宋体" w:hAnsi="宋体" w:hint="eastAsia"/>
          <w:sz w:val="24"/>
          <w:szCs w:val="24"/>
        </w:rPr>
        <w:t>，</w:t>
      </w:r>
      <w:r w:rsidR="005E49F7" w:rsidRPr="005E49F7">
        <w:rPr>
          <w:rFonts w:ascii="宋体" w:eastAsia="宋体" w:hAnsi="宋体"/>
          <w:sz w:val="24"/>
          <w:szCs w:val="24"/>
        </w:rPr>
        <w:t>它是对于软件组织在定义、实施、</w:t>
      </w:r>
      <w:hyperlink r:id="rId5" w:tgtFrame="_blank" w:history="1">
        <w:r w:rsidR="005E49F7" w:rsidRPr="005E49F7">
          <w:rPr>
            <w:rFonts w:ascii="宋体" w:eastAsia="宋体" w:hAnsi="宋体"/>
            <w:sz w:val="24"/>
            <w:szCs w:val="24"/>
          </w:rPr>
          <w:t>度量</w:t>
        </w:r>
      </w:hyperlink>
      <w:r w:rsidR="005E49F7" w:rsidRPr="005E49F7">
        <w:rPr>
          <w:rFonts w:ascii="宋体" w:eastAsia="宋体" w:hAnsi="宋体"/>
          <w:sz w:val="24"/>
          <w:szCs w:val="24"/>
        </w:rPr>
        <w:t>、控制和改善其</w:t>
      </w:r>
      <w:hyperlink r:id="rId6" w:tgtFrame="_blank" w:history="1">
        <w:r w:rsidR="005E49F7" w:rsidRPr="005E49F7">
          <w:rPr>
            <w:rFonts w:ascii="宋体" w:eastAsia="宋体" w:hAnsi="宋体"/>
            <w:sz w:val="24"/>
            <w:szCs w:val="24"/>
          </w:rPr>
          <w:t>软件过程</w:t>
        </w:r>
      </w:hyperlink>
      <w:r w:rsidR="005E49F7" w:rsidRPr="005E49F7">
        <w:rPr>
          <w:rFonts w:ascii="宋体" w:eastAsia="宋体" w:hAnsi="宋体"/>
          <w:sz w:val="24"/>
          <w:szCs w:val="24"/>
        </w:rPr>
        <w:t>的实践中各个发展阶段的描述</w:t>
      </w:r>
      <w:r w:rsidR="005E49F7">
        <w:rPr>
          <w:rFonts w:ascii="宋体" w:eastAsia="宋体" w:hAnsi="宋体" w:hint="eastAsia"/>
          <w:sz w:val="24"/>
          <w:szCs w:val="24"/>
        </w:rPr>
        <w:t>，</w:t>
      </w:r>
      <w:r w:rsidR="005E49F7" w:rsidRPr="005E49F7">
        <w:rPr>
          <w:rFonts w:ascii="宋体" w:eastAsia="宋体" w:hAnsi="宋体"/>
          <w:sz w:val="24"/>
          <w:szCs w:val="24"/>
        </w:rPr>
        <w:t>CMM的核心是把软件开发视为一个过程，并根据这一原则对软件开发和维护进行过程监控和研究，以使其更加科学化、标准化、使企业能够更好地实现商业目标。</w:t>
      </w:r>
    </w:p>
    <w:p w:rsidR="005E49F7" w:rsidRDefault="005E49F7" w:rsidP="005E49F7">
      <w:pPr>
        <w:pStyle w:val="2"/>
        <w:numPr>
          <w:ilvl w:val="0"/>
          <w:numId w:val="1"/>
        </w:numPr>
      </w:pPr>
      <w:r>
        <w:t>CMM</w:t>
      </w:r>
      <w:r>
        <w:rPr>
          <w:rFonts w:hint="eastAsia"/>
        </w:rPr>
        <w:t>等级</w:t>
      </w:r>
    </w:p>
    <w:p w:rsidR="005E49F7" w:rsidRDefault="005E49F7" w:rsidP="005E49F7">
      <w:pPr>
        <w:spacing w:line="276" w:lineRule="auto"/>
        <w:ind w:firstLineChars="202" w:firstLine="485"/>
        <w:rPr>
          <w:rFonts w:ascii="宋体" w:eastAsia="宋体" w:hAnsi="宋体"/>
          <w:sz w:val="24"/>
          <w:szCs w:val="24"/>
        </w:rPr>
      </w:pPr>
      <w:r w:rsidRPr="005E49F7">
        <w:rPr>
          <w:rFonts w:ascii="宋体" w:eastAsia="宋体" w:hAnsi="宋体" w:hint="eastAsia"/>
          <w:sz w:val="24"/>
          <w:szCs w:val="24"/>
        </w:rPr>
        <w:t>第一级</w:t>
      </w:r>
      <w:r>
        <w:rPr>
          <w:rFonts w:ascii="宋体" w:eastAsia="宋体" w:hAnsi="宋体" w:hint="eastAsia"/>
          <w:sz w:val="24"/>
          <w:szCs w:val="24"/>
        </w:rPr>
        <w:t>（</w:t>
      </w:r>
      <w:proofErr w:type="gramStart"/>
      <w:r>
        <w:rPr>
          <w:rFonts w:ascii="宋体" w:eastAsia="宋体" w:hAnsi="宋体" w:hint="eastAsia"/>
          <w:sz w:val="24"/>
          <w:szCs w:val="24"/>
        </w:rPr>
        <w:t>最</w:t>
      </w:r>
      <w:proofErr w:type="gramEnd"/>
      <w:r>
        <w:rPr>
          <w:rFonts w:ascii="宋体" w:eastAsia="宋体" w:hAnsi="宋体" w:hint="eastAsia"/>
          <w:sz w:val="24"/>
          <w:szCs w:val="24"/>
        </w:rPr>
        <w:t>初级）</w:t>
      </w:r>
      <w:r w:rsidRPr="005E49F7">
        <w:rPr>
          <w:rFonts w:ascii="宋体" w:eastAsia="宋体" w:hAnsi="宋体" w:hint="eastAsia"/>
          <w:sz w:val="24"/>
          <w:szCs w:val="24"/>
        </w:rPr>
        <w:t>：</w:t>
      </w:r>
      <w:r w:rsidRPr="005E49F7">
        <w:rPr>
          <w:rFonts w:ascii="宋体" w:eastAsia="宋体" w:hAnsi="宋体" w:hint="eastAsia"/>
          <w:sz w:val="24"/>
          <w:szCs w:val="24"/>
        </w:rPr>
        <w:t>软件工程管理制度缺乏</w:t>
      </w:r>
      <w:r w:rsidRPr="005E49F7">
        <w:rPr>
          <w:rFonts w:ascii="宋体" w:eastAsia="宋体" w:hAnsi="宋体"/>
          <w:sz w:val="24"/>
          <w:szCs w:val="24"/>
        </w:rPr>
        <w:t>,过程缺乏定义、混乱无序。成功依靠的是个人的才能和经验,</w:t>
      </w:r>
      <w:r w:rsidRPr="005E49F7">
        <w:rPr>
          <w:rFonts w:hint="eastAsia"/>
        </w:rPr>
        <w:t xml:space="preserve"> </w:t>
      </w:r>
      <w:r w:rsidRPr="005E49F7">
        <w:rPr>
          <w:rFonts w:ascii="宋体" w:eastAsia="宋体" w:hAnsi="宋体" w:hint="eastAsia"/>
          <w:sz w:val="24"/>
          <w:szCs w:val="24"/>
        </w:rPr>
        <w:t>经常由于缺乏管理和计划导致时间、费用超支。管理方式属于反应式</w:t>
      </w:r>
      <w:r w:rsidRPr="005E49F7">
        <w:rPr>
          <w:rFonts w:ascii="宋体" w:eastAsia="宋体" w:hAnsi="宋体"/>
          <w:sz w:val="24"/>
          <w:szCs w:val="24"/>
        </w:rPr>
        <w:t>,主要用来应付</w:t>
      </w:r>
      <w:r>
        <w:rPr>
          <w:rFonts w:ascii="宋体" w:eastAsia="宋体" w:hAnsi="宋体" w:hint="eastAsia"/>
          <w:sz w:val="24"/>
          <w:szCs w:val="24"/>
        </w:rPr>
        <w:t>危机，过程不可预测，不能重复。</w:t>
      </w:r>
    </w:p>
    <w:p w:rsidR="005E49F7" w:rsidRDefault="005E49F7" w:rsidP="005E49F7">
      <w:pPr>
        <w:spacing w:line="276" w:lineRule="auto"/>
        <w:ind w:firstLineChars="202" w:firstLine="485"/>
        <w:rPr>
          <w:rFonts w:ascii="宋体" w:eastAsia="宋体" w:hAnsi="宋体"/>
          <w:sz w:val="24"/>
          <w:szCs w:val="24"/>
        </w:rPr>
      </w:pPr>
      <w:r>
        <w:rPr>
          <w:rFonts w:ascii="宋体" w:eastAsia="宋体" w:hAnsi="宋体" w:hint="eastAsia"/>
          <w:sz w:val="24"/>
          <w:szCs w:val="24"/>
        </w:rPr>
        <w:t>第二级（可重复级）：</w:t>
      </w:r>
      <w:r w:rsidRPr="005E49F7">
        <w:rPr>
          <w:rFonts w:ascii="宋体" w:eastAsia="宋体" w:hAnsi="宋体" w:hint="eastAsia"/>
          <w:sz w:val="24"/>
          <w:szCs w:val="24"/>
        </w:rPr>
        <w:t>基于类似项目中的经验</w:t>
      </w:r>
      <w:r w:rsidRPr="005E49F7">
        <w:rPr>
          <w:rFonts w:ascii="宋体" w:eastAsia="宋体" w:hAnsi="宋体"/>
          <w:sz w:val="24"/>
          <w:szCs w:val="24"/>
        </w:rPr>
        <w:t>,建立了基本的项目管理制度,采取了一定的措施控制费用和时间</w:t>
      </w:r>
      <w:r>
        <w:rPr>
          <w:rFonts w:ascii="宋体" w:eastAsia="宋体" w:hAnsi="宋体" w:hint="eastAsia"/>
          <w:sz w:val="24"/>
          <w:szCs w:val="24"/>
        </w:rPr>
        <w:t>，</w:t>
      </w:r>
      <w:r w:rsidRPr="005E49F7">
        <w:rPr>
          <w:rFonts w:ascii="宋体" w:eastAsia="宋体" w:hAnsi="宋体" w:hint="eastAsia"/>
          <w:sz w:val="24"/>
          <w:szCs w:val="24"/>
        </w:rPr>
        <w:t>管理人员可及时发现问题</w:t>
      </w:r>
      <w:r w:rsidRPr="005E49F7">
        <w:rPr>
          <w:rFonts w:ascii="宋体" w:eastAsia="宋体" w:hAnsi="宋体"/>
          <w:sz w:val="24"/>
          <w:szCs w:val="24"/>
        </w:rPr>
        <w:t>,采取措施。一定程度上可重复类似项目的软件开发。</w:t>
      </w:r>
    </w:p>
    <w:p w:rsidR="00FF6811" w:rsidRDefault="00FF6811" w:rsidP="005E49F7">
      <w:pPr>
        <w:spacing w:line="276" w:lineRule="auto"/>
        <w:ind w:firstLineChars="202" w:firstLine="485"/>
        <w:rPr>
          <w:rFonts w:ascii="宋体" w:eastAsia="宋体" w:hAnsi="宋体"/>
          <w:sz w:val="24"/>
          <w:szCs w:val="24"/>
        </w:rPr>
      </w:pPr>
      <w:r>
        <w:rPr>
          <w:rFonts w:ascii="宋体" w:eastAsia="宋体" w:hAnsi="宋体" w:hint="eastAsia"/>
          <w:sz w:val="24"/>
          <w:szCs w:val="24"/>
        </w:rPr>
        <w:t>第三极（已定义级）：</w:t>
      </w:r>
      <w:r w:rsidRPr="00FF6811">
        <w:rPr>
          <w:rFonts w:ascii="宋体" w:eastAsia="宋体" w:hAnsi="宋体" w:hint="eastAsia"/>
          <w:sz w:val="24"/>
          <w:szCs w:val="24"/>
        </w:rPr>
        <w:t>已将软件管理和工程两方面的过程文档化、标准化，并综合成该组织的标准软件过程。所有项目均使用经批准、剪裁的标准软件过程来开发和维护软件，软件产品的生产在整个软件过程是可见的。</w:t>
      </w:r>
      <w:r>
        <w:rPr>
          <w:rFonts w:ascii="宋体" w:eastAsia="宋体" w:hAnsi="宋体" w:hint="eastAsia"/>
          <w:sz w:val="24"/>
          <w:szCs w:val="24"/>
        </w:rPr>
        <w:t>采用</w:t>
      </w:r>
      <w:r w:rsidRPr="00FF6811">
        <w:rPr>
          <w:rFonts w:ascii="宋体" w:eastAsia="宋体" w:hAnsi="宋体" w:hint="eastAsia"/>
          <w:sz w:val="24"/>
          <w:szCs w:val="24"/>
        </w:rPr>
        <w:t>采用评审方法保证软件质量。可借助</w:t>
      </w:r>
      <w:r w:rsidRPr="00FF6811">
        <w:rPr>
          <w:rFonts w:ascii="宋体" w:eastAsia="宋体" w:hAnsi="宋体"/>
          <w:sz w:val="24"/>
          <w:szCs w:val="24"/>
        </w:rPr>
        <w:t>CASE工具提高质量和效率。</w:t>
      </w:r>
    </w:p>
    <w:p w:rsidR="00FF6811" w:rsidRDefault="00FF6811" w:rsidP="005E49F7">
      <w:pPr>
        <w:spacing w:line="276" w:lineRule="auto"/>
        <w:ind w:firstLineChars="202" w:firstLine="485"/>
        <w:rPr>
          <w:rFonts w:ascii="宋体" w:eastAsia="宋体" w:hAnsi="宋体"/>
          <w:sz w:val="24"/>
          <w:szCs w:val="24"/>
        </w:rPr>
      </w:pPr>
      <w:r w:rsidRPr="00FF6811">
        <w:rPr>
          <w:rFonts w:ascii="宋体" w:eastAsia="宋体" w:hAnsi="宋体" w:hint="eastAsia"/>
          <w:sz w:val="24"/>
          <w:szCs w:val="24"/>
        </w:rPr>
        <w:t>第四级</w:t>
      </w:r>
      <w:r>
        <w:rPr>
          <w:rFonts w:ascii="宋体" w:eastAsia="宋体" w:hAnsi="宋体" w:hint="eastAsia"/>
          <w:sz w:val="24"/>
          <w:szCs w:val="24"/>
        </w:rPr>
        <w:t>（</w:t>
      </w:r>
      <w:r w:rsidRPr="00FF6811">
        <w:rPr>
          <w:rFonts w:ascii="宋体" w:eastAsia="宋体" w:hAnsi="宋体"/>
          <w:sz w:val="24"/>
          <w:szCs w:val="24"/>
        </w:rPr>
        <w:t>已管理级</w:t>
      </w:r>
      <w:r>
        <w:rPr>
          <w:rFonts w:ascii="宋体" w:eastAsia="宋体" w:hAnsi="宋体" w:hint="eastAsia"/>
          <w:sz w:val="24"/>
          <w:szCs w:val="24"/>
        </w:rPr>
        <w:t>）：</w:t>
      </w:r>
      <w:r w:rsidRPr="00FF6811">
        <w:rPr>
          <w:rFonts w:ascii="宋体" w:eastAsia="宋体" w:hAnsi="宋体" w:hint="eastAsia"/>
          <w:sz w:val="24"/>
          <w:szCs w:val="24"/>
        </w:rPr>
        <w:t>软件机构中软件过程和软件产品都有定量的目标，并被定量地管理，因而其软件过程能力是可预测的，其生产的软件产品是高质量的。具体地说，第四季的机构具有如下特征：软件过程和产品有定量质量目标。</w:t>
      </w:r>
      <w:r w:rsidRPr="00FF6811">
        <w:rPr>
          <w:rFonts w:ascii="宋体" w:eastAsia="宋体" w:hAnsi="宋体"/>
          <w:sz w:val="24"/>
          <w:szCs w:val="24"/>
        </w:rPr>
        <w:t xml:space="preserve"> 重要的软件过程活动均配有生产率和质量度量； 数据库被用来收集和分析定义软件过程的数据； 项目的软件过程和质量的评价有定量的基础； 项目的产品和过程控制具有可预测性。</w:t>
      </w:r>
    </w:p>
    <w:p w:rsidR="00FF6811" w:rsidRDefault="00FF6811" w:rsidP="005E49F7">
      <w:pPr>
        <w:spacing w:line="276" w:lineRule="auto"/>
        <w:ind w:firstLineChars="202" w:firstLine="485"/>
        <w:rPr>
          <w:rFonts w:ascii="宋体" w:eastAsia="宋体" w:hAnsi="宋体"/>
          <w:sz w:val="24"/>
          <w:szCs w:val="24"/>
        </w:rPr>
      </w:pPr>
      <w:r>
        <w:rPr>
          <w:rFonts w:ascii="宋体" w:eastAsia="宋体" w:hAnsi="宋体" w:hint="eastAsia"/>
          <w:sz w:val="24"/>
          <w:szCs w:val="24"/>
        </w:rPr>
        <w:t>第五级（优化级）：</w:t>
      </w:r>
      <w:proofErr w:type="gramStart"/>
      <w:r w:rsidRPr="00FF6811">
        <w:rPr>
          <w:rFonts w:ascii="宋体" w:eastAsia="宋体" w:hAnsi="宋体" w:hint="eastAsia"/>
          <w:sz w:val="24"/>
          <w:szCs w:val="24"/>
        </w:rPr>
        <w:t>要特点</w:t>
      </w:r>
      <w:proofErr w:type="gramEnd"/>
      <w:r w:rsidRPr="00FF6811">
        <w:rPr>
          <w:rFonts w:ascii="宋体" w:eastAsia="宋体" w:hAnsi="宋体" w:hint="eastAsia"/>
          <w:sz w:val="24"/>
          <w:szCs w:val="24"/>
        </w:rPr>
        <w:t>是技术和过程改进被作为常规的业务活动加以计划和管理。处于第五级的企业具有如下一些特征：</w:t>
      </w:r>
      <w:r w:rsidRPr="00FF6811">
        <w:rPr>
          <w:rFonts w:ascii="宋体" w:eastAsia="宋体" w:hAnsi="宋体"/>
          <w:sz w:val="24"/>
          <w:szCs w:val="24"/>
        </w:rPr>
        <w:t xml:space="preserve"> 机构集中于连续的过程改进 具有标识弱点和增强过程的手段。 采用过程数据分析使用新技术的代价效益并提出改进。 项目队伍能够分析出错原因并防止其再次出现。 防止浪费是第五级的重点。</w:t>
      </w:r>
      <w:r w:rsidRPr="00FF6811">
        <w:rPr>
          <w:rFonts w:ascii="宋体" w:eastAsia="宋体" w:hAnsi="宋体" w:hint="eastAsia"/>
          <w:sz w:val="24"/>
          <w:szCs w:val="24"/>
        </w:rPr>
        <w:t>第五级的目标是达到一个持续改进的境界。所谓持续改进是指可根据过程执行的反馈信息来改善下一步的执行过程，即优化执行步骤。如果一个企业达到了这一级，那么表明该企业能够根据实际的项目性质、技术等因素，不断调整软件生产过程以求达到最佳。</w:t>
      </w:r>
    </w:p>
    <w:p w:rsidR="00F06C82" w:rsidRPr="004B6B33" w:rsidRDefault="0045152F" w:rsidP="004B6B33">
      <w:pPr>
        <w:pStyle w:val="2"/>
        <w:numPr>
          <w:ilvl w:val="0"/>
          <w:numId w:val="1"/>
        </w:numPr>
        <w:rPr>
          <w:rFonts w:hint="eastAsia"/>
        </w:rPr>
      </w:pPr>
      <w:r>
        <w:rPr>
          <w:rFonts w:hint="eastAsia"/>
        </w:rPr>
        <w:lastRenderedPageBreak/>
        <w:t>公司通过CMM等级</w:t>
      </w:r>
    </w:p>
    <w:tbl>
      <w:tblPr>
        <w:tblW w:w="8223"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9"/>
        <w:gridCol w:w="3696"/>
        <w:gridCol w:w="2608"/>
      </w:tblGrid>
      <w:tr w:rsidR="00F06C82" w:rsidTr="004B6B33">
        <w:tblPrEx>
          <w:tblCellMar>
            <w:top w:w="0" w:type="dxa"/>
            <w:bottom w:w="0" w:type="dxa"/>
          </w:tblCellMar>
        </w:tblPrEx>
        <w:trPr>
          <w:trHeight w:val="500"/>
        </w:trPr>
        <w:tc>
          <w:tcPr>
            <w:tcW w:w="1919"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CMM等级</w:t>
            </w:r>
          </w:p>
        </w:tc>
        <w:tc>
          <w:tcPr>
            <w:tcW w:w="3696"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公司</w:t>
            </w:r>
          </w:p>
        </w:tc>
        <w:tc>
          <w:tcPr>
            <w:tcW w:w="2608"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日期</w:t>
            </w:r>
          </w:p>
        </w:tc>
      </w:tr>
      <w:tr w:rsidR="00F06C82" w:rsidTr="00580AF0">
        <w:tblPrEx>
          <w:tblCellMar>
            <w:top w:w="0" w:type="dxa"/>
            <w:bottom w:w="0" w:type="dxa"/>
          </w:tblCellMar>
        </w:tblPrEx>
        <w:trPr>
          <w:trHeight w:val="733"/>
        </w:trPr>
        <w:tc>
          <w:tcPr>
            <w:tcW w:w="1919" w:type="dxa"/>
            <w:vMerge w:val="restart"/>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二级</w:t>
            </w:r>
          </w:p>
        </w:tc>
        <w:tc>
          <w:tcPr>
            <w:tcW w:w="3696" w:type="dxa"/>
            <w:vAlign w:val="center"/>
          </w:tcPr>
          <w:p w:rsidR="00F06C82" w:rsidRPr="004B6B33" w:rsidRDefault="00F06C82" w:rsidP="004B6B33">
            <w:pPr>
              <w:spacing w:line="276" w:lineRule="auto"/>
              <w:jc w:val="center"/>
              <w:rPr>
                <w:rFonts w:ascii="宋体" w:eastAsia="宋体" w:hAnsi="宋体" w:hint="eastAsia"/>
                <w:sz w:val="24"/>
                <w:szCs w:val="24"/>
              </w:rPr>
            </w:pPr>
            <w:r>
              <w:rPr>
                <w:rFonts w:ascii="宋体" w:eastAsia="宋体" w:hAnsi="宋体" w:hint="eastAsia"/>
                <w:sz w:val="24"/>
                <w:szCs w:val="24"/>
              </w:rPr>
              <w:t>北京银行</w:t>
            </w:r>
          </w:p>
        </w:tc>
        <w:tc>
          <w:tcPr>
            <w:tcW w:w="2608" w:type="dxa"/>
            <w:vAlign w:val="center"/>
          </w:tcPr>
          <w:p w:rsidR="00F06C82" w:rsidRPr="004B6B33" w:rsidRDefault="00F06C82" w:rsidP="004B6B33">
            <w:pPr>
              <w:spacing w:line="276" w:lineRule="auto"/>
              <w:jc w:val="cente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017/9</w:t>
            </w:r>
          </w:p>
        </w:tc>
      </w:tr>
      <w:tr w:rsidR="00F06C82" w:rsidTr="00580AF0">
        <w:tblPrEx>
          <w:tblCellMar>
            <w:top w:w="0" w:type="dxa"/>
            <w:bottom w:w="0" w:type="dxa"/>
          </w:tblCellMar>
        </w:tblPrEx>
        <w:trPr>
          <w:trHeight w:val="712"/>
        </w:trPr>
        <w:tc>
          <w:tcPr>
            <w:tcW w:w="1919" w:type="dxa"/>
            <w:vMerge/>
            <w:vAlign w:val="center"/>
          </w:tcPr>
          <w:p w:rsidR="00F06C82" w:rsidRPr="004B6B33" w:rsidRDefault="00F06C82" w:rsidP="004B6B33">
            <w:pPr>
              <w:spacing w:line="276" w:lineRule="auto"/>
              <w:jc w:val="center"/>
              <w:rPr>
                <w:rFonts w:ascii="宋体" w:eastAsia="宋体" w:hAnsi="宋体" w:hint="eastAsia"/>
                <w:sz w:val="24"/>
                <w:szCs w:val="24"/>
              </w:rPr>
            </w:pPr>
          </w:p>
        </w:tc>
        <w:tc>
          <w:tcPr>
            <w:tcW w:w="3696" w:type="dxa"/>
            <w:vAlign w:val="center"/>
          </w:tcPr>
          <w:p w:rsidR="00F06C82" w:rsidRPr="00F06C82" w:rsidRDefault="00F06C82" w:rsidP="004B6B33">
            <w:pPr>
              <w:spacing w:line="276" w:lineRule="auto"/>
              <w:jc w:val="center"/>
              <w:rPr>
                <w:rFonts w:ascii="宋体" w:eastAsia="宋体" w:hAnsi="宋体" w:hint="eastAsia"/>
                <w:sz w:val="24"/>
                <w:szCs w:val="24"/>
              </w:rPr>
            </w:pPr>
            <w:r>
              <w:rPr>
                <w:rFonts w:ascii="宋体" w:eastAsia="宋体" w:hAnsi="宋体" w:hint="eastAsia"/>
                <w:sz w:val="24"/>
                <w:szCs w:val="24"/>
              </w:rPr>
              <w:t>广东海关信息中心</w:t>
            </w:r>
          </w:p>
        </w:tc>
        <w:tc>
          <w:tcPr>
            <w:tcW w:w="2608"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2017/12</w:t>
            </w:r>
          </w:p>
        </w:tc>
      </w:tr>
      <w:tr w:rsidR="00F06C82" w:rsidTr="00580AF0">
        <w:tblPrEx>
          <w:tblCellMar>
            <w:top w:w="0" w:type="dxa"/>
            <w:bottom w:w="0" w:type="dxa"/>
          </w:tblCellMar>
        </w:tblPrEx>
        <w:trPr>
          <w:trHeight w:val="676"/>
        </w:trPr>
        <w:tc>
          <w:tcPr>
            <w:tcW w:w="1919" w:type="dxa"/>
            <w:vMerge w:val="restart"/>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三级</w:t>
            </w:r>
          </w:p>
        </w:tc>
        <w:tc>
          <w:tcPr>
            <w:tcW w:w="3696" w:type="dxa"/>
            <w:vAlign w:val="center"/>
          </w:tcPr>
          <w:p w:rsidR="00F06C82" w:rsidRPr="004B6B33" w:rsidRDefault="00F06C82" w:rsidP="004B6B33">
            <w:pPr>
              <w:spacing w:line="276" w:lineRule="auto"/>
              <w:jc w:val="center"/>
              <w:rPr>
                <w:rFonts w:ascii="宋体" w:eastAsia="宋体" w:hAnsi="宋体" w:hint="eastAsia"/>
                <w:sz w:val="24"/>
                <w:szCs w:val="24"/>
              </w:rPr>
            </w:pPr>
            <w:r>
              <w:rPr>
                <w:rFonts w:ascii="宋体" w:eastAsia="宋体" w:hAnsi="宋体" w:hint="eastAsia"/>
                <w:sz w:val="24"/>
                <w:szCs w:val="24"/>
              </w:rPr>
              <w:t>香港房屋委员会</w:t>
            </w:r>
          </w:p>
        </w:tc>
        <w:tc>
          <w:tcPr>
            <w:tcW w:w="2608" w:type="dxa"/>
            <w:vAlign w:val="center"/>
          </w:tcPr>
          <w:p w:rsidR="00F06C82"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2</w:t>
            </w:r>
            <w:r w:rsidRPr="004B6B33">
              <w:rPr>
                <w:rFonts w:ascii="宋体" w:eastAsia="宋体" w:hAnsi="宋体"/>
                <w:sz w:val="24"/>
                <w:szCs w:val="24"/>
              </w:rPr>
              <w:t>018/9</w:t>
            </w:r>
          </w:p>
        </w:tc>
      </w:tr>
      <w:tr w:rsidR="00F06C82" w:rsidTr="00580AF0">
        <w:tblPrEx>
          <w:tblCellMar>
            <w:top w:w="0" w:type="dxa"/>
            <w:bottom w:w="0" w:type="dxa"/>
          </w:tblCellMar>
        </w:tblPrEx>
        <w:trPr>
          <w:trHeight w:val="698"/>
        </w:trPr>
        <w:tc>
          <w:tcPr>
            <w:tcW w:w="1919" w:type="dxa"/>
            <w:vMerge/>
            <w:vAlign w:val="center"/>
          </w:tcPr>
          <w:p w:rsidR="00F06C82" w:rsidRPr="004B6B33" w:rsidRDefault="00F06C82" w:rsidP="004B6B33">
            <w:pPr>
              <w:spacing w:line="276" w:lineRule="auto"/>
              <w:jc w:val="center"/>
              <w:rPr>
                <w:rFonts w:ascii="宋体" w:eastAsia="宋体" w:hAnsi="宋体" w:hint="eastAsia"/>
                <w:sz w:val="24"/>
                <w:szCs w:val="24"/>
              </w:rPr>
            </w:pPr>
          </w:p>
        </w:tc>
        <w:tc>
          <w:tcPr>
            <w:tcW w:w="3696"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sz w:val="24"/>
                <w:szCs w:val="24"/>
              </w:rPr>
              <w:t>江西博威新技术有限公司</w:t>
            </w:r>
          </w:p>
        </w:tc>
        <w:tc>
          <w:tcPr>
            <w:tcW w:w="2608" w:type="dxa"/>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2018/9</w:t>
            </w:r>
          </w:p>
        </w:tc>
      </w:tr>
      <w:tr w:rsidR="00F06C82" w:rsidTr="00580AF0">
        <w:tblPrEx>
          <w:tblCellMar>
            <w:top w:w="0" w:type="dxa"/>
            <w:bottom w:w="0" w:type="dxa"/>
          </w:tblCellMar>
        </w:tblPrEx>
        <w:trPr>
          <w:trHeight w:val="835"/>
        </w:trPr>
        <w:tc>
          <w:tcPr>
            <w:tcW w:w="1919" w:type="dxa"/>
            <w:vMerge w:val="restart"/>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四级</w:t>
            </w:r>
          </w:p>
        </w:tc>
        <w:tc>
          <w:tcPr>
            <w:tcW w:w="3696" w:type="dxa"/>
            <w:vAlign w:val="center"/>
          </w:tcPr>
          <w:p w:rsidR="00F06C82" w:rsidRPr="004B6B33" w:rsidRDefault="004B6B33"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航空发动机控制系统研究所</w:t>
            </w:r>
          </w:p>
        </w:tc>
        <w:tc>
          <w:tcPr>
            <w:tcW w:w="2608" w:type="dxa"/>
            <w:vAlign w:val="center"/>
          </w:tcPr>
          <w:p w:rsidR="00F06C82" w:rsidRPr="004B6B33" w:rsidRDefault="004B6B33" w:rsidP="004B6B33">
            <w:pPr>
              <w:jc w:val="center"/>
              <w:rPr>
                <w:rFonts w:ascii="宋体" w:eastAsia="宋体" w:hAnsi="宋体" w:hint="eastAsia"/>
                <w:sz w:val="24"/>
                <w:szCs w:val="24"/>
              </w:rPr>
            </w:pPr>
            <w:r>
              <w:rPr>
                <w:rFonts w:ascii="宋体" w:eastAsia="宋体" w:hAnsi="宋体" w:hint="eastAsia"/>
                <w:sz w:val="24"/>
                <w:szCs w:val="24"/>
              </w:rPr>
              <w:t>2016/12</w:t>
            </w:r>
          </w:p>
        </w:tc>
      </w:tr>
      <w:tr w:rsidR="00F06C82" w:rsidTr="00580AF0">
        <w:tblPrEx>
          <w:tblCellMar>
            <w:top w:w="0" w:type="dxa"/>
            <w:bottom w:w="0" w:type="dxa"/>
          </w:tblCellMar>
        </w:tblPrEx>
        <w:trPr>
          <w:trHeight w:val="714"/>
        </w:trPr>
        <w:tc>
          <w:tcPr>
            <w:tcW w:w="1919" w:type="dxa"/>
            <w:vMerge/>
            <w:vAlign w:val="center"/>
          </w:tcPr>
          <w:p w:rsidR="00F06C82" w:rsidRPr="004B6B33" w:rsidRDefault="00F06C82" w:rsidP="004B6B33">
            <w:pPr>
              <w:spacing w:line="276" w:lineRule="auto"/>
              <w:jc w:val="center"/>
              <w:rPr>
                <w:rFonts w:ascii="宋体" w:eastAsia="宋体" w:hAnsi="宋体" w:hint="eastAsia"/>
                <w:sz w:val="24"/>
                <w:szCs w:val="24"/>
              </w:rPr>
            </w:pPr>
          </w:p>
        </w:tc>
        <w:tc>
          <w:tcPr>
            <w:tcW w:w="3696" w:type="dxa"/>
            <w:vAlign w:val="center"/>
          </w:tcPr>
          <w:p w:rsidR="00F06C82" w:rsidRPr="004B6B33" w:rsidRDefault="004B6B33" w:rsidP="004B6B33">
            <w:pPr>
              <w:pStyle w:val="2"/>
              <w:spacing w:line="240" w:lineRule="auto"/>
              <w:jc w:val="center"/>
              <w:rPr>
                <w:rFonts w:ascii="宋体" w:eastAsia="宋体" w:hAnsi="宋体" w:cstheme="minorBidi" w:hint="eastAsia"/>
                <w:b w:val="0"/>
                <w:bCs w:val="0"/>
                <w:sz w:val="24"/>
                <w:szCs w:val="24"/>
              </w:rPr>
            </w:pPr>
            <w:r>
              <w:rPr>
                <w:rFonts w:ascii="宋体" w:eastAsia="宋体" w:hAnsi="宋体" w:cstheme="minorBidi" w:hint="eastAsia"/>
                <w:b w:val="0"/>
                <w:bCs w:val="0"/>
                <w:sz w:val="24"/>
                <w:szCs w:val="24"/>
              </w:rPr>
              <w:t>中国银行</w:t>
            </w:r>
          </w:p>
        </w:tc>
        <w:tc>
          <w:tcPr>
            <w:tcW w:w="2608" w:type="dxa"/>
            <w:vAlign w:val="center"/>
          </w:tcPr>
          <w:p w:rsidR="00F06C82" w:rsidRPr="004B6B33" w:rsidRDefault="004B6B33" w:rsidP="004B6B33">
            <w:pPr>
              <w:jc w:val="center"/>
              <w:rPr>
                <w:rFonts w:ascii="宋体" w:eastAsia="宋体" w:hAnsi="宋体" w:hint="eastAsia"/>
                <w:sz w:val="24"/>
                <w:szCs w:val="24"/>
              </w:rPr>
            </w:pPr>
            <w:r>
              <w:rPr>
                <w:rFonts w:ascii="宋体" w:eastAsia="宋体" w:hAnsi="宋体" w:hint="eastAsia"/>
                <w:sz w:val="24"/>
                <w:szCs w:val="24"/>
              </w:rPr>
              <w:t>2018/1</w:t>
            </w:r>
          </w:p>
        </w:tc>
      </w:tr>
      <w:tr w:rsidR="00F06C82" w:rsidTr="00580AF0">
        <w:tblPrEx>
          <w:tblCellMar>
            <w:top w:w="0" w:type="dxa"/>
            <w:bottom w:w="0" w:type="dxa"/>
          </w:tblCellMar>
        </w:tblPrEx>
        <w:trPr>
          <w:trHeight w:val="696"/>
        </w:trPr>
        <w:tc>
          <w:tcPr>
            <w:tcW w:w="1919" w:type="dxa"/>
            <w:vMerge w:val="restart"/>
            <w:vAlign w:val="center"/>
          </w:tcPr>
          <w:p w:rsidR="00F06C82" w:rsidRPr="004B6B33" w:rsidRDefault="00F06C82" w:rsidP="004B6B33">
            <w:pPr>
              <w:spacing w:line="276" w:lineRule="auto"/>
              <w:jc w:val="center"/>
              <w:rPr>
                <w:rFonts w:ascii="宋体" w:eastAsia="宋体" w:hAnsi="宋体" w:hint="eastAsia"/>
                <w:sz w:val="24"/>
                <w:szCs w:val="24"/>
              </w:rPr>
            </w:pPr>
            <w:r w:rsidRPr="004B6B33">
              <w:rPr>
                <w:rFonts w:ascii="宋体" w:eastAsia="宋体" w:hAnsi="宋体" w:hint="eastAsia"/>
                <w:sz w:val="24"/>
                <w:szCs w:val="24"/>
              </w:rPr>
              <w:t>五级</w:t>
            </w:r>
          </w:p>
        </w:tc>
        <w:tc>
          <w:tcPr>
            <w:tcW w:w="3696" w:type="dxa"/>
            <w:vAlign w:val="center"/>
          </w:tcPr>
          <w:p w:rsidR="00F06C82" w:rsidRPr="004B6B33" w:rsidRDefault="004B6B33" w:rsidP="004B6B33">
            <w:pPr>
              <w:spacing w:line="276" w:lineRule="auto"/>
              <w:jc w:val="center"/>
              <w:rPr>
                <w:rFonts w:ascii="宋体" w:eastAsia="宋体" w:hAnsi="宋体" w:hint="eastAsia"/>
                <w:sz w:val="24"/>
                <w:szCs w:val="24"/>
              </w:rPr>
            </w:pPr>
            <w:r>
              <w:rPr>
                <w:rFonts w:ascii="宋体" w:eastAsia="宋体" w:hAnsi="宋体" w:hint="eastAsia"/>
                <w:sz w:val="24"/>
                <w:szCs w:val="24"/>
              </w:rPr>
              <w:t>华为软件公司</w:t>
            </w:r>
          </w:p>
        </w:tc>
        <w:tc>
          <w:tcPr>
            <w:tcW w:w="2608" w:type="dxa"/>
            <w:vAlign w:val="center"/>
          </w:tcPr>
          <w:p w:rsidR="00F06C82" w:rsidRPr="004B6B33" w:rsidRDefault="004B6B33" w:rsidP="004B6B33">
            <w:pPr>
              <w:jc w:val="center"/>
              <w:rPr>
                <w:rFonts w:ascii="宋体" w:eastAsia="宋体" w:hAnsi="宋体" w:hint="eastAsia"/>
                <w:sz w:val="24"/>
                <w:szCs w:val="24"/>
              </w:rPr>
            </w:pPr>
            <w:r w:rsidRPr="004B6B33">
              <w:rPr>
                <w:rFonts w:ascii="宋体" w:eastAsia="宋体" w:hAnsi="宋体" w:hint="eastAsia"/>
                <w:sz w:val="24"/>
                <w:szCs w:val="24"/>
              </w:rPr>
              <w:t>2006/8</w:t>
            </w:r>
          </w:p>
        </w:tc>
      </w:tr>
      <w:tr w:rsidR="00F06C82" w:rsidTr="00580AF0">
        <w:tblPrEx>
          <w:tblCellMar>
            <w:top w:w="0" w:type="dxa"/>
            <w:bottom w:w="0" w:type="dxa"/>
          </w:tblCellMar>
        </w:tblPrEx>
        <w:trPr>
          <w:trHeight w:val="706"/>
        </w:trPr>
        <w:tc>
          <w:tcPr>
            <w:tcW w:w="1919" w:type="dxa"/>
            <w:vMerge/>
            <w:tcBorders>
              <w:bottom w:val="single" w:sz="4" w:space="0" w:color="auto"/>
            </w:tcBorders>
            <w:vAlign w:val="center"/>
          </w:tcPr>
          <w:p w:rsidR="00F06C82" w:rsidRPr="004B6B33" w:rsidRDefault="00F06C82" w:rsidP="004B6B33">
            <w:pPr>
              <w:spacing w:line="276" w:lineRule="auto"/>
              <w:jc w:val="center"/>
              <w:rPr>
                <w:rFonts w:ascii="宋体" w:eastAsia="宋体" w:hAnsi="宋体" w:hint="eastAsia"/>
                <w:sz w:val="24"/>
                <w:szCs w:val="24"/>
              </w:rPr>
            </w:pPr>
          </w:p>
        </w:tc>
        <w:tc>
          <w:tcPr>
            <w:tcW w:w="3696" w:type="dxa"/>
            <w:tcBorders>
              <w:bottom w:val="single" w:sz="4" w:space="0" w:color="auto"/>
            </w:tcBorders>
            <w:vAlign w:val="center"/>
          </w:tcPr>
          <w:p w:rsidR="00F06C82" w:rsidRPr="004B6B33" w:rsidRDefault="004B6B33" w:rsidP="004B6B33">
            <w:pPr>
              <w:pStyle w:val="2"/>
              <w:spacing w:line="276" w:lineRule="auto"/>
              <w:jc w:val="center"/>
              <w:rPr>
                <w:rFonts w:ascii="宋体" w:eastAsia="宋体" w:hAnsi="宋体" w:cstheme="minorBidi" w:hint="eastAsia"/>
                <w:b w:val="0"/>
                <w:bCs w:val="0"/>
                <w:sz w:val="24"/>
                <w:szCs w:val="24"/>
              </w:rPr>
            </w:pPr>
            <w:r w:rsidRPr="004B6B33">
              <w:rPr>
                <w:rFonts w:ascii="宋体" w:eastAsia="宋体" w:hAnsi="宋体" w:cstheme="minorBidi" w:hint="eastAsia"/>
                <w:b w:val="0"/>
                <w:bCs w:val="0"/>
                <w:sz w:val="24"/>
                <w:szCs w:val="24"/>
              </w:rPr>
              <w:t>普天信息技术研究院</w:t>
            </w:r>
          </w:p>
        </w:tc>
        <w:tc>
          <w:tcPr>
            <w:tcW w:w="2608" w:type="dxa"/>
            <w:tcBorders>
              <w:bottom w:val="single" w:sz="4" w:space="0" w:color="auto"/>
            </w:tcBorders>
            <w:vAlign w:val="center"/>
          </w:tcPr>
          <w:p w:rsidR="00F06C82" w:rsidRPr="004B6B33" w:rsidRDefault="004B6B33" w:rsidP="004B6B33">
            <w:pPr>
              <w:jc w:val="center"/>
              <w:rPr>
                <w:rFonts w:ascii="宋体" w:eastAsia="宋体" w:hAnsi="宋体" w:hint="eastAsia"/>
                <w:sz w:val="24"/>
                <w:szCs w:val="24"/>
              </w:rPr>
            </w:pPr>
            <w:r w:rsidRPr="004B6B33">
              <w:rPr>
                <w:rFonts w:ascii="宋体" w:eastAsia="宋体" w:hAnsi="宋体" w:hint="eastAsia"/>
                <w:sz w:val="24"/>
                <w:szCs w:val="24"/>
              </w:rPr>
              <w:t>2006/11</w:t>
            </w:r>
          </w:p>
        </w:tc>
      </w:tr>
    </w:tbl>
    <w:p w:rsidR="00F06C82" w:rsidRPr="005E49F7" w:rsidRDefault="00F06C82" w:rsidP="008936B0">
      <w:pPr>
        <w:spacing w:line="276" w:lineRule="auto"/>
        <w:rPr>
          <w:rFonts w:ascii="宋体" w:eastAsia="宋体" w:hAnsi="宋体" w:hint="eastAsia"/>
          <w:sz w:val="24"/>
          <w:szCs w:val="24"/>
        </w:rPr>
      </w:pPr>
      <w:bookmarkStart w:id="0" w:name="_GoBack"/>
      <w:bookmarkEnd w:id="0"/>
    </w:p>
    <w:sectPr w:rsidR="00F06C82" w:rsidRPr="005E4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51823"/>
    <w:multiLevelType w:val="hybridMultilevel"/>
    <w:tmpl w:val="CC6242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FF30E3"/>
    <w:multiLevelType w:val="hybridMultilevel"/>
    <w:tmpl w:val="E118D6F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DE"/>
    <w:rsid w:val="002E60DE"/>
    <w:rsid w:val="0045152F"/>
    <w:rsid w:val="004B6B33"/>
    <w:rsid w:val="004F28DF"/>
    <w:rsid w:val="00580AF0"/>
    <w:rsid w:val="005E49F7"/>
    <w:rsid w:val="008936B0"/>
    <w:rsid w:val="009E5E32"/>
    <w:rsid w:val="00F06C82"/>
    <w:rsid w:val="00F94E52"/>
    <w:rsid w:val="00FF6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DA7B"/>
  <w15:chartTrackingRefBased/>
  <w15:docId w15:val="{BAC47001-DAE8-49FF-B259-A6690B18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60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60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60DE"/>
    <w:rPr>
      <w:b/>
      <w:bCs/>
      <w:kern w:val="44"/>
      <w:sz w:val="44"/>
      <w:szCs w:val="44"/>
    </w:rPr>
  </w:style>
  <w:style w:type="character" w:customStyle="1" w:styleId="20">
    <w:name w:val="标题 2 字符"/>
    <w:basedOn w:val="a0"/>
    <w:link w:val="2"/>
    <w:uiPriority w:val="9"/>
    <w:rsid w:val="002E60DE"/>
    <w:rPr>
      <w:rFonts w:asciiTheme="majorHAnsi" w:eastAsiaTheme="majorEastAsia" w:hAnsiTheme="majorHAnsi" w:cstheme="majorBidi"/>
      <w:b/>
      <w:bCs/>
      <w:sz w:val="32"/>
      <w:szCs w:val="32"/>
    </w:rPr>
  </w:style>
  <w:style w:type="character" w:styleId="a3">
    <w:name w:val="Hyperlink"/>
    <w:basedOn w:val="a0"/>
    <w:uiPriority w:val="99"/>
    <w:semiHidden/>
    <w:unhideWhenUsed/>
    <w:rsid w:val="005E49F7"/>
    <w:rPr>
      <w:color w:val="0000FF"/>
      <w:u w:val="single"/>
    </w:rPr>
  </w:style>
  <w:style w:type="table" w:styleId="a4">
    <w:name w:val="Table Grid"/>
    <w:basedOn w:val="a1"/>
    <w:uiPriority w:val="39"/>
    <w:rsid w:val="00893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936B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BD%AF%E4%BB%B6%E8%BF%87%E7%A8%8B/122453" TargetMode="External"/><Relationship Id="rId5" Type="http://schemas.openxmlformats.org/officeDocument/2006/relationships/hyperlink" Target="https://baike.baidu.com/item/%E5%BA%A6%E9%87%8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2018-09-21T14:28:00Z</dcterms:created>
  <dcterms:modified xsi:type="dcterms:W3CDTF">2018-09-22T07:27:00Z</dcterms:modified>
</cp:coreProperties>
</file>