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NO : 3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Title : Java classes,objects and methods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labmanual;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java.util.Scanner;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Rectangle {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color;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area;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Constructor 1: Initialize using area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Rectangle(double area, String colour) {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this.area = area;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this.color = colour;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double get_area() {     // return area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area;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String get_color() {    // return color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color;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Experiment3 {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Input for first rectangle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System.out.println("Enter details for first rectangle:");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System.out.print("Area: ");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double area1 = sc.nextDouble();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sc.nextLine();  // Consume newline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System.out.print("Colour: ");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colour1 = sc.nextLine();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Input for second rectangle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System.out.println("\nEnter details for second rectangle:");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System.out.print("Area: ");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double area2 = sc.nextDouble();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sc.nextLine();  // Consume newline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System.out.print("Colour: ");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colour2 = sc.nextLine();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Create objects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Rectangle r1 = new Rectangle(area1, colour1);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Rectangle r2 = new Rectangle(area2, colour2);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Compare area and color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(r1.get_area() == r2.get_area() &amp;&amp; r1.get_color().equalsIgnoreCase(r2.get_color())) {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System.out.println("\nSame Rectangles");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System.out.println("\nDifferent Rectangles");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details for first rectangle: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Area: 50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Colour: Pink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details for second rectangle: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Area: 40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Colour: Pink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Different Rectangles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details for first rectangle: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Area: 20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Colour: red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details for second rectangle: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Area: 59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Colour: purple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Different Rectangles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details for first rectangle: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Area: 30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Colour: blue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details for second rectangle: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Area: 30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Colour: blue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Same Rectangles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Complexity: O(n), because equalsIgnoreCase may compare up to n characters of the color strings (n = length of string). All other operations are O(1).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Complexity: O(n), for storing the two input strings (n = total length of both).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Worst Case Scenario: When the two color strings are long and nearly identical (or identical), equalsIgnoreCase compares every character, taking O(n) time.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1eda9e56-2f3f-42bc-9a74-a67144086ab8</vt:lpwstr>
  </property>
</Properties>
</file>