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U.S. Event Contracts (Prediction Markets)</w:t>
      </w:r>
    </w:p>
    <w:p>
      <w:pPr>
        <w:spacing w:after="120"/>
      </w:pPr>
      <w:r>
        <w:rPr>
          <w:color w:val="2E75B6"/>
          <w:sz w:val="24"/>
          <w:szCs w:val="24"/>
        </w:rPr>
        <w:t xml:space="preserve">Market Structure Primer — DCM / DCO / FCM, Broker Options, and the Competitive Map</w:t>
      </w:r>
    </w:p>
    <w:p>
      <w:pPr>
        <w:pBdr>
          <w:bottom w:val="single" w:color="1F3864" w:sz="6" w:space="6"/>
        </w:pBdr>
        <w:tabs>
          <w:tab w:val="right" w:pos="9360"/>
        </w:tabs>
        <w:spacing w:after="240"/>
      </w:pPr>
      <w:r>
        <w:rPr>
          <w:color w:val="5A5A5A"/>
          <w:sz w:val="18"/>
          <w:szCs w:val="18"/>
        </w:rPr>
        <w:t xml:space="preserve">Initiation — structure &amp; landscape</w:t>
      </w:r>
      <w:r>
        <w:rPr>
          <w:color w:val="5A5A5A"/>
          <w:sz w:val="18"/>
          <w:szCs w:val="18"/>
        </w:rPr>
        <w:t xml:space="preserve">	June 2026</w:t>
      </w:r>
    </w:p>
    <w:p>
      <w:pPr>
        <w:spacing w:after="160" w:line="276"/>
      </w:pPr>
      <w:r>
        <w:rPr>
          <w:b/>
          <w:bCs/>
        </w:rPr>
        <w:t xml:space="preserve">Summary. </w:t>
      </w:r>
      <w:r>
        <w:t xml:space="preserve">U.S. event contracts trade as CFTC-regulated derivatives on a three-tier stack — exchange (DCM), clearinghouse (DCO) and broker (FCM) — not under state gambling law. That single classification confers a 50-state federal footprint and frames the entire competitive contest, which is now a race to own the layers rather than a debate over the rules. Combined monthly volume on the two largest venues rose from under $5bn in Sep-2025 to ~$24bn by Apr-2026; Kalshi alone reported ~$52bn cumulative contracts by Mar-2026 at a $22bn valuation. We map the structure, the four strategic options open to brokers, and where every named incumbent and exchange sits.</w:t>
      </w:r>
    </w:p>
    <w:p>
      <w:pPr>
        <w:pStyle w:val="Heading1"/>
      </w:pPr>
      <w:r>
        <w:t xml:space="preserve">1.  What is the structure</w:t>
      </w:r>
    </w:p>
    <w:p>
      <w:pPr>
        <w:spacing w:after="160" w:line="276"/>
      </w:pPr>
      <w:r>
        <w:t xml:space="preserve">The architecture is lifted directly from the futures complex and governed by the CFTC under the Commodity Exchange Act. Three licenses define it.</w:t>
      </w:r>
    </w:p>
    <w:p>
      <w:pPr>
        <w:spacing w:after="160" w:line="276"/>
      </w:pPr>
      <w:r>
        <w:rPr>
          <w:b/>
          <w:bCs/>
        </w:rPr>
        <w:t xml:space="preserve">DCM (Designated Contract Market) — </w:t>
      </w:r>
      <w:r>
        <w:t xml:space="preserve">the federally licensed exchange. It lists contracts, operates the order book and self-certifies new products, subject to 23 CFTC core principles; CP 3 (not readily susceptible to manipulation), CP 4 (surveillance) and CP 12 (market integrity) are the binding constraints. Only the DCM can list a contract, so control of the DCM is control of the product roadmap.</w:t>
      </w:r>
    </w:p>
    <w:p>
      <w:pPr>
        <w:spacing w:after="160" w:line="276"/>
      </w:pPr>
      <w:r>
        <w:rPr>
          <w:b/>
          <w:bCs/>
        </w:rPr>
        <w:t xml:space="preserve">DCO (Derivatives Clearing Organization) — </w:t>
      </w:r>
      <w:r>
        <w:t xml:space="preserve">the clearinghouse that novates trades and guarantees settlement. Because event contracts are fully collateralised at a fixed $0–$1 payout, the DCO carries materially lower default-fund risk than a leveraged-futures clearer — a structural feature that lowers the capital cost of vertical integration.</w:t>
      </w:r>
    </w:p>
    <w:p>
      <w:pPr>
        <w:spacing w:after="160" w:line="276"/>
      </w:pPr>
      <w:r>
        <w:rPr>
          <w:b/>
          <w:bCs/>
        </w:rPr>
        <w:t xml:space="preserve">FCM (Futures Commission Merchant) — </w:t>
      </w:r>
      <w:r>
        <w:t xml:space="preserve">the broker layer. It onboards clients, custodies funds, manages margin and routes orders, registered with the CFTC and supervised by the NFA. The FCM exists to intermediate leverage and credit.</w:t>
      </w:r>
    </w:p>
    <w:p>
      <w:pPr>
        <w:spacing w:after="160" w:line="276"/>
      </w:pPr>
      <w:r>
        <w:rPr>
          <w:b/>
          <w:bCs/>
        </w:rPr>
        <w:t xml:space="preserve">The economically decisive variable is which layers an operator owns. </w:t>
      </w:r>
      <w:r>
        <w:t xml:space="preserve">A full-stack operator (DCM + DCO + FCM) captures exchange fees, clearing float and brokerage take-rate, plus unilateral control of the contract slate. A distribution-only broker captures a referral economics and bears platform-dependency risk. The regulatory shape is settled — FIA's Apr-2026 comment letter argued for retaining the tripartite model — so the contest is over ownership, and the field is migrating toward integration.</w:t>
      </w:r>
    </w:p>
    <w:p>
      <w:pPr>
        <w:pStyle w:val="Heading2"/>
      </w:pPr>
      <w:r>
        <w:t xml:space="preserve">Spotlight: does Kalshi hold an FCM, and how does it onboard clients directly?</w:t>
      </w:r>
    </w:p>
    <w:p>
      <w:pPr>
        <w:spacing w:after="160" w:line="276"/>
      </w:pPr>
      <w:r>
        <w:t xml:space="preserve">This is the most common point of confusion, and the answer turns on the word </w:t>
      </w:r>
      <w:r>
        <w:rPr>
          <w:i/>
          <w:iCs/>
        </w:rPr>
        <w:t xml:space="preserve">non-intermediated</w:t>
      </w:r>
      <w:r>
        <w:t xml:space="preserve">. Kalshi is a DCM (KalshiEX) with its own DCO (Kalshi Klear, historically cleared via LedgerX). For its core retail business it does </w:t>
      </w:r>
      <w:r>
        <w:rPr>
          <w:i/>
          <w:iCs/>
        </w:rPr>
        <w:t xml:space="preserve">not</w:t>
      </w:r>
      <w:r>
        <w:t xml:space="preserve"> require an FCM, because event contracts are fully collateralised: the trader deposits 100% of the maximum possible loss up front, so there is no margin, no credit extension and therefore no need for an intermediary to stand behind the client. The exchange does its own KYC and admits members directly; the DCO holds member funds in segregated accounts.</w:t>
      </w:r>
    </w:p>
    <w:p>
      <w:pPr>
        <w:spacing w:after="160" w:line="276"/>
      </w:pPr>
      <w:r>
        <w:t xml:space="preserve">In fact, Kalshi's original Order of Designation </w:t>
      </w:r>
      <w:r>
        <w:rPr>
          <w:i/>
          <w:iCs/>
        </w:rPr>
        <w:t xml:space="preserve">prohibited</w:t>
      </w:r>
      <w:r>
        <w:t xml:space="preserve"> FCM intermediation; the CFTC removed that prohibition in an Amended Order of Designation on 17-Jan-2025. Kalshi has since registered an affiliated FCM (Kinetic Markets, early 2026) — but specifically to enable margin trading for institutions, not to support fully-collateralised retail flow, which still clears directly. By contrast, brokers such as Robinhood, Webull, Moomoo, FanDuel and DraftKings reach the exchange </w:t>
      </w:r>
      <w:r>
        <w:rPr>
          <w:i/>
          <w:iCs/>
        </w:rPr>
        <w:t xml:space="preserve">through</w:t>
      </w:r>
      <w:r>
        <w:t xml:space="preserve"> an FCM, which is the conventional intermediated path. The CFTC is currently consulting on whether direct, non-intermediated clearing should continue to be permitted without an FCM (the “retail DCO” question) — the single most important open structural issue for the asset class.</w:t>
      </w:r>
    </w:p>
    <w:p>
      <w:pPr>
        <w:pStyle w:val="Heading2"/>
      </w:pPr>
      <w:r>
        <w:t xml:space="preserve">Exhibit 1:  the regulatory stack and license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FEFEF" w:val="clear"/>
            <w:tcMar>
              <w:top w:type="dxa" w:w="100"/>
              <w:left w:type="dxa" w:w="160"/>
              <w:bottom w:type="dxa" w:w="100"/>
              <w:right w:type="dxa" w:w="160"/>
            </w:tcMar>
          </w:tcPr>
          <w:p>
            <w:pPr>
              <w:spacing w:after="40" w:line="240"/>
            </w:pPr>
            <w:r>
              <w:rPr>
                <w:b/>
                <w:bCs/>
                <w:color w:val="333333"/>
                <w:sz w:val="20"/>
                <w:szCs w:val="20"/>
              </w:rPr>
              <w:t xml:space="preserve">Retail / institutional trader</w:t>
            </w:r>
          </w:p>
          <w:p>
            <w:pPr>
              <w:spacing w:after="0" w:line="240"/>
            </w:pPr>
            <w:r>
              <w:rPr>
                <w:color w:val="333333"/>
                <w:sz w:val="17"/>
                <w:szCs w:val="17"/>
              </w:rPr>
              <w:t xml:space="preserve">Posts funds and orders.</w:t>
            </w:r>
          </w:p>
        </w:tc>
      </w:tr>
      <w:tr>
        <w:tc>
          <w:tcPr>
            <w:tcW w:type="dxa" w:w="9360"/>
            <w:tcBorders>
              <w:top w:val="single" w:color="BFBFBF" w:sz="1"/>
              <w:left w:val="single" w:color="BFBFBF" w:sz="1"/>
              <w:bottom w:val="single" w:color="BFBFBF" w:sz="1"/>
              <w:right w:val="single" w:color="BFBFBF" w:sz="1"/>
            </w:tcBorders>
            <w:shd w:fill="DEEAF6" w:val="clear"/>
            <w:tcMar>
              <w:top w:type="dxa" w:w="100"/>
              <w:left w:type="dxa" w:w="160"/>
              <w:bottom w:type="dxa" w:w="100"/>
              <w:right w:type="dxa" w:w="160"/>
            </w:tcMar>
          </w:tcPr>
          <w:p>
            <w:pPr>
              <w:spacing w:after="40" w:line="240"/>
            </w:pPr>
            <w:r>
              <w:rPr>
                <w:b/>
                <w:bCs/>
                <w:color w:val="1F3864"/>
                <w:sz w:val="20"/>
                <w:szCs w:val="20"/>
              </w:rPr>
              <w:t xml:space="preserve">FCM  —  Futures Commission Merchant (broker)</w:t>
            </w:r>
          </w:p>
          <w:p>
            <w:pPr>
              <w:spacing w:after="0" w:line="240"/>
            </w:pPr>
            <w:r>
              <w:rPr>
                <w:color w:val="1F3864"/>
                <w:sz w:val="17"/>
                <w:szCs w:val="17"/>
              </w:rPr>
              <w:t xml:space="preserve">Onboards clients, custodies funds, manages margin, routes orders. CFTC-registered, NFA-supervised. Robinhood Derivatives · IBKR LLC · Coinbase Financial Markets · Webull · Moomoo · Foris DAX (Crypto.com).</w:t>
            </w:r>
          </w:p>
        </w:tc>
      </w:tr>
      <w:tr>
        <w:tc>
          <w:tcPr>
            <w:tcW w:type="dxa" w:w="9360"/>
            <w:tcBorders>
              <w:top w:val="single" w:color="BFBFBF" w:sz="1"/>
              <w:left w:val="single" w:color="BFBFBF" w:sz="1"/>
              <w:bottom w:val="single" w:color="BFBFBF" w:sz="1"/>
              <w:right w:val="single" w:color="BFBFBF" w:sz="1"/>
            </w:tcBorders>
            <w:shd w:fill="D8EAD3" w:val="clear"/>
            <w:tcMar>
              <w:top w:type="dxa" w:w="100"/>
              <w:left w:type="dxa" w:w="160"/>
              <w:bottom w:type="dxa" w:w="100"/>
              <w:right w:type="dxa" w:w="160"/>
            </w:tcMar>
          </w:tcPr>
          <w:p>
            <w:pPr>
              <w:spacing w:after="40" w:line="240"/>
            </w:pPr>
            <w:r>
              <w:rPr>
                <w:b/>
                <w:bCs/>
                <w:color w:val="274E13"/>
                <w:sz w:val="20"/>
                <w:szCs w:val="20"/>
              </w:rPr>
              <w:t xml:space="preserve">DCM  —  Designated Contract Market (exchange)</w:t>
            </w:r>
          </w:p>
          <w:p>
            <w:pPr>
              <w:spacing w:after="0" w:line="240"/>
            </w:pPr>
            <w:r>
              <w:rPr>
                <w:color w:val="274E13"/>
                <w:sz w:val="17"/>
                <w:szCs w:val="17"/>
              </w:rPr>
              <w:t xml:space="preserve">Lists and self-certifies contracts, runs the order book; meets 23 CFTC core principles. Kalshi · ForecastEx · Rothera · CDNA · CME · Cboe FE · Gemini Titan · QCEX · Bitnomial · Railbird · Aristotle.</w:t>
            </w:r>
          </w:p>
        </w:tc>
      </w:tr>
      <w:tr>
        <w:tc>
          <w:tcPr>
            <w:tcW w:type="dxa" w:w="9360"/>
            <w:tcBorders>
              <w:top w:val="single" w:color="BFBFBF" w:sz="1"/>
              <w:left w:val="single" w:color="BFBFBF" w:sz="1"/>
              <w:bottom w:val="single" w:color="BFBFBF" w:sz="1"/>
              <w:right w:val="single" w:color="BFBFBF" w:sz="1"/>
            </w:tcBorders>
            <w:shd w:fill="E6DCEC" w:val="clear"/>
            <w:tcMar>
              <w:top w:type="dxa" w:w="100"/>
              <w:left w:type="dxa" w:w="160"/>
              <w:bottom w:type="dxa" w:w="100"/>
              <w:right w:type="dxa" w:w="160"/>
            </w:tcMar>
          </w:tcPr>
          <w:p>
            <w:pPr>
              <w:spacing w:after="40" w:line="240"/>
            </w:pPr>
            <w:r>
              <w:rPr>
                <w:b/>
                <w:bCs/>
                <w:color w:val="3C2A4D"/>
                <w:sz w:val="20"/>
                <w:szCs w:val="20"/>
              </w:rPr>
              <w:t xml:space="preserve">DCO  —  Derivatives Clearing Organization (clearer)</w:t>
            </w:r>
          </w:p>
          <w:p>
            <w:pPr>
              <w:spacing w:after="0" w:line="240"/>
            </w:pPr>
            <w:r>
              <w:rPr>
                <w:color w:val="3C2A4D"/>
                <w:sz w:val="17"/>
                <w:szCs w:val="17"/>
              </w:rPr>
              <w:t xml:space="preserve">Novates trades, holds collateral, guarantees settlement; contracts fully collateralised ($0–$1). Kalshi Klear · CME Clearing · Gemini Olympus · ForecastEx · Rothera Clearing · CDNA · QCEX.</w:t>
            </w:r>
          </w:p>
        </w:tc>
      </w:tr>
      <w:tr>
        <w:tc>
          <w:tcPr>
            <w:tcW w:type="dxa" w:w="9360"/>
            <w:tcBorders>
              <w:top w:val="single" w:color="BFBFBF" w:sz="1"/>
              <w:left w:val="single" w:color="BFBFBF" w:sz="1"/>
              <w:bottom w:val="single" w:color="BFBFBF" w:sz="1"/>
              <w:right w:val="single" w:color="BFBFBF" w:sz="1"/>
            </w:tcBorders>
            <w:shd w:fill="FCE5CD" w:val="clear"/>
            <w:tcMar>
              <w:top w:type="dxa" w:w="100"/>
              <w:left w:type="dxa" w:w="160"/>
              <w:bottom w:type="dxa" w:w="100"/>
              <w:right w:type="dxa" w:w="160"/>
            </w:tcMar>
          </w:tcPr>
          <w:p>
            <w:pPr>
              <w:spacing w:after="40" w:line="240"/>
            </w:pPr>
            <w:r>
              <w:rPr>
                <w:b/>
                <w:bCs/>
                <w:color w:val="5B3A0B"/>
                <w:sz w:val="20"/>
                <w:szCs w:val="20"/>
              </w:rPr>
              <w:t xml:space="preserve">Full-stack integrated (DCM + DCO + FCM / controlling equivalent)</w:t>
            </w:r>
          </w:p>
          <w:p>
            <w:pPr>
              <w:spacing w:after="0" w:line="240"/>
            </w:pPr>
            <w:r>
              <w:rPr>
                <w:color w:val="5B3A0B"/>
                <w:sz w:val="17"/>
                <w:szCs w:val="17"/>
              </w:rPr>
              <w:t xml:space="preserve">Robinhood/Rothera · IBKR/ForecastEx · Kraken/Bitnomial · Crypto.com/CDNA · Kalshi (Kinetic) · Gemini (FCM pending).</w:t>
            </w:r>
          </w:p>
        </w:tc>
      </w:tr>
    </w:tbl>
    <w:p>
      <w:pPr>
        <w:spacing w:after="200" w:before="80"/>
      </w:pPr>
      <w:r>
        <w:rPr>
          <w:i/>
          <w:iCs/>
          <w:color w:val="5A5A5A"/>
          <w:sz w:val="16"/>
          <w:szCs w:val="16"/>
        </w:rPr>
        <w:t xml:space="preserve">Source: CFTC filings; company disclosures. Tiers read top-to-bottom from customer to settlement; bottom band lists operators that hold (or control) all three layers.</w:t>
      </w:r>
    </w:p>
    <w:p>
      <w:pPr>
        <w:pStyle w:val="Heading1"/>
      </w:pPr>
      <w:r>
        <w:t xml:space="preserve">2.  What are the options available to brokers</w:t>
      </w:r>
    </w:p>
    <w:p>
      <w:pPr>
        <w:spacing w:after="160" w:line="276"/>
      </w:pPr>
      <w:r>
        <w:t xml:space="preserve">A broker entering the asset class faces a discrete menu of four structural archetypes. This section defines the option set generically; the mapping to named firms follows in Section 3.</w:t>
      </w:r>
    </w:p>
    <w:p>
      <w:pPr>
        <w:pStyle w:val="Heading3"/>
      </w:pPr>
      <w:r>
        <w:t xml:space="preserve">Option A — Pure distribution</w:t>
      </w:r>
    </w:p>
    <w:p>
      <w:pPr>
        <w:pStyle w:val="ListParagraph"/>
        <w:numPr>
          <w:ilvl w:val="0"/>
          <w:numId w:val="2"/>
        </w:numPr>
        <w:spacing w:after="90" w:line="276"/>
      </w:pPr>
      <w:r>
        <w:t xml:space="preserve">Integrate a third-party DCM (in practice, Kalshi) and route flow; build nothing beyond the app integration. Time-to-market is days to weeks and capex is negligible.</w:t>
      </w:r>
    </w:p>
    <w:p>
      <w:pPr>
        <w:pStyle w:val="ListParagraph"/>
        <w:numPr>
          <w:ilvl w:val="0"/>
          <w:numId w:val="2"/>
        </w:numPr>
        <w:spacing w:after="90" w:line="276"/>
      </w:pPr>
      <w:r>
        <w:t xml:space="preserve">Economics: a revenue-share or per-contract referral only. Zero control of the contract roadmap and full platform-dependency risk — the DCM owns the contract-level customer relationship. The lowest-cost, lowest-margin, most-reversible option.</w:t>
      </w:r>
    </w:p>
    <w:p>
      <w:pPr>
        <w:pStyle w:val="Heading3"/>
      </w:pPr>
      <w:r>
        <w:t xml:space="preserve">Option B — Distribution plus owned brokerage (and optional clearing)</w:t>
      </w:r>
    </w:p>
    <w:p>
      <w:pPr>
        <w:pStyle w:val="ListParagraph"/>
        <w:numPr>
          <w:ilvl w:val="0"/>
          <w:numId w:val="2"/>
        </w:numPr>
        <w:spacing w:after="90" w:line="276"/>
      </w:pPr>
      <w:r>
        <w:t xml:space="preserve">Hold an FCM — and become a clearing member of the partner exchange — while still listing on a third-party DCM.</w:t>
      </w:r>
    </w:p>
    <w:p>
      <w:pPr>
        <w:pStyle w:val="ListParagraph"/>
        <w:numPr>
          <w:ilvl w:val="0"/>
          <w:numId w:val="2"/>
        </w:numPr>
        <w:spacing w:after="90" w:line="276"/>
      </w:pPr>
      <w:r>
        <w:t xml:space="preserve">Captures custody float, margin economics, brokerage take-rate and consolidated tax reporting, but still does not control contract design. The natural intermediate rung for a firm climbing the stack.</w:t>
      </w:r>
    </w:p>
    <w:p>
      <w:pPr>
        <w:pStyle w:val="Heading3"/>
      </w:pPr>
      <w:r>
        <w:t xml:space="preserve">Option C — Full-stack build or acquisition</w:t>
      </w:r>
    </w:p>
    <w:p>
      <w:pPr>
        <w:pStyle w:val="ListParagraph"/>
        <w:numPr>
          <w:ilvl w:val="0"/>
          <w:numId w:val="2"/>
        </w:numPr>
        <w:spacing w:after="90" w:line="276"/>
      </w:pPr>
      <w:r>
        <w:t xml:space="preserve">Own DCM + DCO + FCM (or a controlling stake in a DCM/DCO joint venture). Highest-capex, slowest, least-reversible.</w:t>
      </w:r>
    </w:p>
    <w:p>
      <w:pPr>
        <w:pStyle w:val="ListParagraph"/>
        <w:numPr>
          <w:ilvl w:val="0"/>
          <w:numId w:val="2"/>
        </w:numPr>
        <w:spacing w:after="90" w:line="276"/>
      </w:pPr>
      <w:r>
        <w:t xml:space="preserve">The only structure that captures the full economic stack and confers unilateral control over which contracts get listed. Acquiring an existing licensed shell compresses the timeline from years to roughly a quarter, which is why the premium paid for shells has risen sharply.</w:t>
      </w:r>
    </w:p>
    <w:p>
      <w:pPr>
        <w:pStyle w:val="Heading3"/>
      </w:pPr>
      <w:r>
        <w:t xml:space="preserve">Option D — Securities-options wrapper</w:t>
      </w:r>
    </w:p>
    <w:p>
      <w:pPr>
        <w:pStyle w:val="ListParagraph"/>
        <w:numPr>
          <w:ilvl w:val="0"/>
          <w:numId w:val="2"/>
        </w:numPr>
        <w:spacing w:after="90" w:line="276"/>
      </w:pPr>
      <w:r>
        <w:t xml:space="preserve">Sidestep the event-contract DCM perimeter by listing binary-payoff contracts as securities options on an existing options exchange, cleared through the OCC, on the firm's existing options rails.</w:t>
      </w:r>
    </w:p>
    <w:p>
      <w:pPr>
        <w:pStyle w:val="ListParagraph"/>
        <w:numPr>
          <w:ilvl w:val="0"/>
          <w:numId w:val="2"/>
        </w:numPr>
        <w:spacing w:after="90" w:line="276"/>
      </w:pPr>
      <w:r>
        <w:t xml:space="preserve">Avoids the unsettled standalone-prediction-market questions and keeps the product inside the brokerage account — at the cost of confinement to clean, objectively-measurable financial outcomes (index levels, rate prints) and forfeiture of the long-tail sports / politics / culture contracts.</w:t>
      </w:r>
    </w:p>
    <w:p>
      <w:pPr>
        <w:spacing w:after="160" w:line="276"/>
      </w:pPr>
      <w:r>
        <w:rPr>
          <w:b/>
          <w:bCs/>
        </w:rPr>
        <w:t xml:space="preserve">Implication. </w:t>
      </w:r>
      <w:r>
        <w:t xml:space="preserve">Options A→C ascend in lockstep across capex, control, margin capture and irreversibility; Option D sits off-axis — low on both capex and regulatory risk but deliberately narrow in scope. A broker's choice is a revealed estimate of how strategic it judges the category to be: distribution treats event contracts as a feature; full-stack treats them as a franchise.</w:t>
      </w:r>
    </w:p>
    <w:p>
      <w:pPr>
        <w:pStyle w:val="Heading1"/>
      </w:pPr>
      <w:r>
        <w:t xml:space="preserve">3.  What are incumbents doing</w:t>
      </w:r>
    </w:p>
    <w:p>
      <w:pPr>
        <w:spacing w:after="160" w:line="276"/>
      </w:pPr>
      <w:r>
        <w:t xml:space="preserve">Every well-capitalised distributor is migrating upward and inward — toward integration and toward owned customer economics. We group entrants as integrated brokers, distribution brokers, the options-wrapper outlier, and the exchange / clearing layer behind them.</w:t>
      </w:r>
    </w:p>
    <w:p>
      <w:pPr>
        <w:pStyle w:val="Heading2"/>
      </w:pPr>
      <w:r>
        <w:t xml:space="preserve">Integrated brokers (Option C)</w:t>
      </w:r>
    </w:p>
    <w:p>
      <w:pPr>
        <w:spacing w:after="160" w:line="276"/>
      </w:pPr>
      <w:r>
        <w:rPr>
          <w:b/>
          <w:bCs/>
        </w:rPr>
        <w:t xml:space="preserve">Robinhood (HOOD) </w:t>
      </w:r>
      <w:r>
        <w:t xml:space="preserve">has moved decisively off pure distribution. Through Rothera — a CFTC-licensed DCM + DCO (the former MIAXdx / LedgerX, acquired Jan-2026) in a JV with market-maker Susquehanna, with HOOD as controlling partner and MIAX retaining ~10% — it now owns exchange and clearing alongside its FCM (Robinhood Derivatives). It launched Rothera live for the 2026 World Cup and has guided that, in time, most flow should route to its own exchange rather than to Kalshi. Event contracts are HOOD's fastest-growing revenue line — a record 8.8bn contracts in Q1-2026 and &gt;16bn YTD, against &gt;27mn funded U.S. accounts — and HOOD is estimated to have been 25–35% of Kalshi's volume, flow it is now positioned to internalise.</w:t>
      </w:r>
    </w:p>
    <w:p>
      <w:pPr>
        <w:spacing w:after="160" w:line="276"/>
      </w:pPr>
      <w:r>
        <w:rPr>
          <w:b/>
          <w:bCs/>
        </w:rPr>
        <w:t xml:space="preserve">Interactive Brokers (IBKR) </w:t>
      </w:r>
      <w:r>
        <w:t xml:space="preserve">is the earliest full-stack operator: IBKR LLC is the FCM and affiliate ForecastEx is the DCM and DCO. Its differentiator is dual-role — it simultaneously aggregates, offering unified access to Kalshi, CME Group and ForecastEx from one account. ForecastEx prices at a built-in $0.01/contract and pays an interest-like coupon (~3.1% APY) on collateral; it ran ~$6.2mn daily volume in May-2026 with positive operating margin since Q4-2025.</w:t>
      </w:r>
    </w:p>
    <w:p>
      <w:pPr>
        <w:spacing w:after="160" w:line="276"/>
      </w:pPr>
      <w:r>
        <w:rPr>
          <w:b/>
          <w:bCs/>
        </w:rPr>
        <w:t xml:space="preserve">Gemini (GEMI) </w:t>
      </w:r>
      <w:r>
        <w:t xml:space="preserve">took the regulation-first route: DCM (Gemini Titan, Dec-2025, after a five-year application) plus DCO (Gemini Olympus, Apr-2026), with FCM registration reportedly next. The combination lets Gemini design, list and clear its own contracts in one structure — framed as the foundation for a regulated-derivatives super-app extending into crypto perpetuals. Gemini Predictions launched across all 50 states in Mar-2026.</w:t>
      </w:r>
    </w:p>
    <w:p>
      <w:pPr>
        <w:pStyle w:val="Heading2"/>
      </w:pPr>
      <w:r>
        <w:t xml:space="preserve">Distribution brokers (Options A / B)</w:t>
      </w:r>
    </w:p>
    <w:p>
      <w:pPr>
        <w:spacing w:after="160" w:line="276"/>
      </w:pPr>
      <w:r>
        <w:rPr>
          <w:b/>
          <w:bCs/>
        </w:rPr>
        <w:t xml:space="preserve">Coinbase (COIN) </w:t>
      </w:r>
      <w:r>
        <w:t xml:space="preserve">sits at Option B and is migrating to C: launched via a Kalshi integration in Dec-2025 with USD/USDC settlement, holds the FCM (Coinbase Financial Markets), and acquired The Clearing Company (led by Toni Gemayel, ex-growth head at both Polymarket and Kalshi) to internalise clearing for its “Everything Exchange.” The missing exchange/clearing layer is being built, not rented.</w:t>
      </w:r>
    </w:p>
    <w:p>
      <w:pPr>
        <w:spacing w:after="160" w:line="276"/>
      </w:pPr>
      <w:r>
        <w:rPr>
          <w:b/>
          <w:bCs/>
        </w:rPr>
        <w:t xml:space="preserve">Webull (BULL) </w:t>
      </w:r>
      <w:r>
        <w:t xml:space="preserve">is Option B — holds an FCM (Webull Financial), distributes Kalshi at a flat ~$0.02/contract, and is becoming a Kalshi clearing member. </w:t>
      </w:r>
      <w:r>
        <w:rPr>
          <w:b/>
          <w:bCs/>
        </w:rPr>
        <w:t xml:space="preserve">Moomoo / Futu </w:t>
      </w:r>
      <w:r>
        <w:t xml:space="preserve">is the newest entrant — FCM (Moomoo Financial) approved May-2026, Kalshi event contracts launched Jun-2026 across macro, election and World Cup markets, leveraging a 29mn+ global user base. </w:t>
      </w:r>
      <w:r>
        <w:rPr>
          <w:b/>
          <w:bCs/>
        </w:rPr>
        <w:t xml:space="preserve">SoFi </w:t>
      </w:r>
      <w:r>
        <w:t xml:space="preserve">is not yet live: as of mid-2026 it publishes educational content only, a watch-list entrant rather than a participant.</w:t>
      </w:r>
    </w:p>
    <w:p>
      <w:pPr>
        <w:pStyle w:val="Heading2"/>
      </w:pPr>
      <w:r>
        <w:t xml:space="preserve">Securities-options wrapper (Option D) — Charles Schwab</w:t>
      </w:r>
    </w:p>
    <w:p>
      <w:pPr>
        <w:spacing w:after="160" w:line="276"/>
      </w:pPr>
      <w:r>
        <w:rPr>
          <w:b/>
          <w:bCs/>
        </w:rPr>
        <w:t xml:space="preserve">Schwab (SCHW) </w:t>
      </w:r>
      <w:r>
        <w:t xml:space="preserve">is the cleanest test of the wrapper: a reported partnership with Cboe Global Markets to list binary-style S&amp;P 500 contracts through Cboe's options framework (settling above/below a strike, with a “Plus Zone” partial payout) and cleared through the OCC — not an event-contract DCM. This deliberately avoids the standalone-prediction-market perimeter and keeps the product inside the existing brokerage account. The scale is the headline (~39.5mn brokerage accounts, ~$13.14tn client assets as of May-2026), and CEO Rick Wurster's reversal from his Dec-2025 caution marks incumbent-brokerage validation. Schwab concedes the long-tail and contests only the cleanest financial-outcome segment. Because the product is a securities option, Schwab holds none of the three CFTC event-contract licenses — which is precisely the point of Option D.</w:t>
      </w:r>
    </w:p>
    <w:p>
      <w:pPr>
        <w:pStyle w:val="Heading2"/>
      </w:pPr>
      <w:r>
        <w:t xml:space="preserve">The exchange / clearing layer</w:t>
      </w:r>
    </w:p>
    <w:p>
      <w:pPr>
        <w:spacing w:after="160" w:line="276"/>
      </w:pPr>
      <w:r>
        <w:t xml:space="preserve">Behind the brokers sits a consolidating set of DCM/DCO operators. Two are worth detailing.</w:t>
      </w:r>
    </w:p>
    <w:p>
      <w:pPr>
        <w:pStyle w:val="Heading3"/>
      </w:pPr>
      <w:r>
        <w:t xml:space="preserve">CME Group</w:t>
      </w:r>
    </w:p>
    <w:p>
      <w:pPr>
        <w:spacing w:after="160" w:line="276"/>
      </w:pPr>
      <w:r>
        <w:t xml:space="preserve">CME is a DCM with its own clearinghouse (CME Clearing, a DCO) and a decades-old franchise; it began listing retail event contracts in 2022 on financial and commodity outcomes (index levels, gold, oil, crypto), quoted in small cent increments with a fixed $100 notional payout per contract. CME does </w:t>
      </w:r>
      <w:r>
        <w:rPr>
          <w:i/>
          <w:iCs/>
        </w:rPr>
        <w:t xml:space="preserve">not</w:t>
      </w:r>
      <w:r>
        <w:t xml:space="preserve"> operate a retail FCM — clients reach CME event contracts through third-party FCMs, which is why CME is the exchange partner of choice for intermediated distributors: FanDuel and DraftKings Predicts both list CME contracts, and IBKR carries CME event contracts alongside Kalshi and ForecastEx. CME is the “incumbent infrastructure” play — institutional-grade clearing, conservative contract scope, broad FCM access.</w:t>
      </w:r>
    </w:p>
    <w:p>
      <w:pPr>
        <w:pStyle w:val="Heading3"/>
      </w:pPr>
      <w:r>
        <w:t xml:space="preserve">Crypto.com / CDNA</w:t>
      </w:r>
    </w:p>
    <w:p>
      <w:pPr>
        <w:spacing w:after="160" w:line="276"/>
      </w:pPr>
      <w:r>
        <w:t xml:space="preserve">Crypto.com operates the most complete independent stack of any crypto-native platform. Its affiliate </w:t>
      </w:r>
      <w:r>
        <w:rPr>
          <w:b/>
          <w:bCs/>
        </w:rPr>
        <w:t xml:space="preserve">Crypto.com Derivatives North America (CDNA) </w:t>
      </w:r>
      <w:r>
        <w:t xml:space="preserve">— the d/b/a name for the former North American Derivatives Exchange (Nadex) — is a CFTC-registered DCM and DCO, and affiliate Foris DAX Markets is the registered FCM. Crypto.com secured the full DCM + DCO + FCM set on 26-Sep-2025, becoming the first major crypto platform globally to hold all three U.S. derivatives licenses. CDNA offers prediction, economic and crypto event contracts (listed at $0.10–$9.90 increments) and, with the amended DCO, cleared margined derivatives including perpetuals. Critically, CDNA also powers third-party distributors: Fanatics Markets, Trump Media's Truth Predict and Hollywood.com run on CDNA infrastructure, and DraftKings Predictions added CDNA markets in Feb-2026 to supplement CME. CDNA is the clearest example of “infrastructure-as-a-platform” — owning the stack and renting it out.</w:t>
      </w:r>
    </w:p>
    <w:p>
      <w:pPr>
        <w:spacing w:after="160" w:line="276"/>
      </w:pPr>
      <w:r>
        <w:t xml:space="preserve">Rounding out the layer: </w:t>
      </w:r>
      <w:r>
        <w:rPr>
          <w:b/>
          <w:bCs/>
        </w:rPr>
        <w:t xml:space="preserve">Kalshi </w:t>
      </w:r>
      <w:r>
        <w:t xml:space="preserve">(dominant pure-play DCM + DCO, the default distribution partner); </w:t>
      </w:r>
      <w:r>
        <w:rPr>
          <w:b/>
          <w:bCs/>
        </w:rPr>
        <w:t xml:space="preserve">Polymarket </w:t>
      </w:r>
      <w:r>
        <w:t xml:space="preserve">(onshore via the QCEX DCM/DCO acquisition, with ICE committing up to $2bn); </w:t>
      </w:r>
      <w:r>
        <w:rPr>
          <w:b/>
          <w:bCs/>
        </w:rPr>
        <w:t xml:space="preserve">Kraken / Bitnomial </w:t>
      </w:r>
      <w:r>
        <w:t xml:space="preserve">(DCM + DCO + FCM in one acquired stack); </w:t>
      </w:r>
      <w:r>
        <w:rPr>
          <w:b/>
          <w:bCs/>
        </w:rPr>
        <w:t xml:space="preserve">DraftKings </w:t>
      </w:r>
      <w:r>
        <w:t xml:space="preserve">(DCM via Railbird); and </w:t>
      </w:r>
      <w:r>
        <w:rPr>
          <w:b/>
          <w:bCs/>
        </w:rPr>
        <w:t xml:space="preserve">Underdog </w:t>
      </w:r>
      <w:r>
        <w:t xml:space="preserve">(DCM via Aristotle Exchange). The boundary between sportsbook, brokerage and prediction-market exchange is dissolving in real time.</w:t>
      </w:r>
    </w:p>
    <w:p>
      <w:pPr>
        <w:pStyle w:val="Heading2"/>
      </w:pPr>
      <w:r>
        <w:t xml:space="preserve">Cross-sectional read</w:t>
      </w:r>
    </w:p>
    <w:p>
      <w:pPr>
        <w:spacing w:after="160" w:line="276"/>
      </w:pPr>
      <w:r>
        <w:t xml:space="preserve">The field now spans the entire option curve — Moomoo / Webull at the distribution end; IBKR / Robinhood / Gemini full-stack; Coinbase mid-migration; Schwab off-axis on the options wrapper; SoFi not yet in. The signal is uniform: every firm with the balance sheet to integrate is integrating, which is the market's collective judgment that event contracts are a durable retail asset class, not an election-cycle novelty. The 12–24 month battleground is the clean financial-outcome segment, where Schwab's wrapper economics and Cboe / OCC infrastructure will pressure pure-play DCM take-rates — leaving dedicated venues to defend on the long-tail contracts (sports, politics, culture) that securities-options exchanges structurally cannot list.</w:t>
      </w:r>
    </w:p>
    <w:p>
      <w:pPr>
        <w:pStyle w:val="Heading2"/>
      </w:pPr>
      <w:r>
        <w:t xml:space="preserve">Exhibit 2:  DCM / DCO / FCM license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20"/>
        <w:gridCol w:w="720"/>
        <w:gridCol w:w="720"/>
        <w:gridCol w:w="720"/>
        <w:gridCol w:w="5080"/>
      </w:tblGrid>
      <w:tr>
        <w:trPr>
          <w:tblHeader/>
        </w:trPr>
        <w:tc>
          <w:tcPr>
            <w:tcW w:type="dxa" w:w="212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Broker / dealer / exchange</w:t>
            </w:r>
          </w:p>
        </w:tc>
        <w:tc>
          <w:tcPr>
            <w:tcW w:type="dxa" w:w="72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center"/>
            </w:pPr>
            <w:r>
              <w:rPr>
                <w:b/>
                <w:bCs/>
                <w:color w:val="FFFFFF"/>
                <w:sz w:val="18"/>
                <w:szCs w:val="18"/>
              </w:rPr>
              <w:t xml:space="preserve">DCM</w:t>
            </w:r>
          </w:p>
        </w:tc>
        <w:tc>
          <w:tcPr>
            <w:tcW w:type="dxa" w:w="72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center"/>
            </w:pPr>
            <w:r>
              <w:rPr>
                <w:b/>
                <w:bCs/>
                <w:color w:val="FFFFFF"/>
                <w:sz w:val="18"/>
                <w:szCs w:val="18"/>
              </w:rPr>
              <w:t xml:space="preserve">DCO</w:t>
            </w:r>
          </w:p>
        </w:tc>
        <w:tc>
          <w:tcPr>
            <w:tcW w:type="dxa" w:w="72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center"/>
            </w:pPr>
            <w:r>
              <w:rPr>
                <w:b/>
                <w:bCs/>
                <w:color w:val="FFFFFF"/>
                <w:sz w:val="18"/>
                <w:szCs w:val="18"/>
              </w:rPr>
              <w:t xml:space="preserve">FCM</w:t>
            </w:r>
          </w:p>
        </w:tc>
        <w:tc>
          <w:tcPr>
            <w:tcW w:type="dxa" w:w="508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Current model / notes</w:t>
            </w:r>
          </w:p>
        </w:tc>
      </w:tr>
      <w:tr>
        <w:tc>
          <w:tcPr>
            <w:tcW w:type="dxa" w:w="9360"/>
            <w:gridSpan w:val="5"/>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line="240"/>
            </w:pPr>
            <w:r>
              <w:rPr>
                <w:b/>
                <w:bCs/>
                <w:color w:val="1F3864"/>
                <w:sz w:val="18"/>
                <w:szCs w:val="18"/>
              </w:rPr>
              <w:t xml:space="preserve">Integrated brokers — own or control the full stack (Option C)</w:t>
            </w:r>
          </w:p>
        </w:tc>
      </w:tr>
      <w:tr>
        <w:tc>
          <w:tcPr>
            <w:tcW w:type="dxa" w:w="21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bCs/>
                <w:sz w:val="18"/>
                <w:szCs w:val="18"/>
              </w:rPr>
              <w:t xml:space="preserve">Robinhood</w:t>
            </w:r>
            <w:r>
              <w:rPr>
                <w:color w:val="5A5A5A"/>
                <w:sz w:val="16"/>
                <w:szCs w:val="16"/>
              </w:rPr>
              <w:t xml:space="preserve">  HOOD</w:t>
            </w:r>
          </w:p>
        </w:tc>
        <w:tc>
          <w:tcPr>
            <w:tcW w:type="dxa" w:w="720"/>
            <w:tcBorders>
              <w:top w:val="single" w:color="BFBFBF" w:sz="1"/>
              <w:left w:val="single" w:color="BFBFBF" w:sz="1"/>
              <w:bottom w:val="single" w:color="BFBFBF" w:sz="1"/>
              <w:right w:val="single" w:color="BFBFBF" w:sz="1"/>
            </w:tcBorders>
            <w:shd w:fill="D9EAD3" w:val="clear"/>
            <w:tcMar>
              <w:top w:type="dxa" w:w="60"/>
              <w:left w:type="dxa" w:w="110"/>
              <w:bottom w:type="dxa" w:w="60"/>
              <w:right w:type="dxa" w:w="110"/>
            </w:tcMar>
            <w:vAlign w:val="center"/>
          </w:tcPr>
          <w:p>
            <w:pPr>
              <w:spacing w:after="0" w:line="240"/>
              <w:jc w:val="center"/>
            </w:pPr>
            <w:r>
              <w:rPr>
                <w:b/>
                <w:bCs/>
                <w:color w:val="000000"/>
                <w:sz w:val="18"/>
                <w:szCs w:val="18"/>
              </w:rPr>
              <w:t xml:space="preserve">Yes</w:t>
            </w:r>
          </w:p>
        </w:tc>
        <w:tc>
          <w:tcPr>
            <w:tcW w:type="dxa" w:w="720"/>
            <w:tcBorders>
              <w:top w:val="single" w:color="BFBFBF" w:sz="1"/>
              <w:left w:val="single" w:color="BFBFBF" w:sz="1"/>
              <w:bottom w:val="single" w:color="BFBFBF" w:sz="1"/>
              <w:right w:val="single" w:color="BFBFBF" w:sz="1"/>
            </w:tcBorders>
            <w:shd w:fill="D9EAD3" w:val="clear"/>
            <w:tcMar>
              <w:top w:type="dxa" w:w="60"/>
              <w:left w:type="dxa" w:w="110"/>
              <w:bottom w:type="dxa" w:w="60"/>
              <w:right w:type="dxa" w:w="110"/>
            </w:tcMar>
            <w:vAlign w:val="center"/>
          </w:tcPr>
          <w:p>
            <w:pPr>
              <w:spacing w:after="0" w:line="240"/>
              <w:jc w:val="center"/>
            </w:pPr>
            <w:r>
              <w:rPr>
                <w:b/>
                <w:bCs/>
                <w:color w:val="000000"/>
                <w:sz w:val="18"/>
                <w:szCs w:val="18"/>
              </w:rPr>
              <w:t xml:space="preserve">Yes</w:t>
            </w:r>
          </w:p>
        </w:tc>
        <w:tc>
          <w:tcPr>
            <w:tcW w:type="dxa" w:w="720"/>
            <w:tcBorders>
              <w:top w:val="single" w:color="BFBFBF" w:sz="1"/>
              <w:left w:val="single" w:color="BFBFBF" w:sz="1"/>
              <w:bottom w:val="single" w:color="BFBFBF" w:sz="1"/>
              <w:right w:val="single" w:color="BFBFBF" w:sz="1"/>
            </w:tcBorders>
            <w:shd w:fill="D9EAD3" w:val="clear"/>
            <w:tcMar>
              <w:top w:type="dxa" w:w="60"/>
              <w:left w:type="dxa" w:w="110"/>
              <w:bottom w:type="dxa" w:w="60"/>
              <w:right w:type="dxa" w:w="110"/>
            </w:tcMar>
            <w:vAlign w:val="center"/>
          </w:tcPr>
          <w:p>
            <w:pPr>
              <w:spacing w:after="0" w:line="240"/>
              <w:jc w:val="center"/>
            </w:pPr>
            <w:r>
              <w:rPr>
                <w:b/>
                <w:bCs/>
                <w:color w:val="000000"/>
                <w:sz w:val="18"/>
                <w:szCs w:val="18"/>
              </w:rPr>
              <w:t xml:space="preserve">Yes</w:t>
            </w:r>
          </w:p>
        </w:tc>
        <w:tc>
          <w:tcPr>
            <w:tcW w:type="dxa" w:w="50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333333"/>
                <w:sz w:val="18"/>
                <w:szCs w:val="18"/>
              </w:rPr>
              <w:t xml:space="preserve">DCM/DCO via Rothera JV (ex-MIAXdx) with Susquehanna; FCM = Robinhood Derivatives</w:t>
            </w:r>
          </w:p>
        </w:tc>
      </w:tr>
      <w:tr>
        <w:tc>
          <w:tcPr>
            <w:tcW w:type="dxa" w:w="21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bCs/>
                <w:sz w:val="18"/>
                <w:szCs w:val="18"/>
              </w:rPr>
              <w:t xml:space="preserve">Interactive Brokers</w:t>
            </w:r>
            <w:r>
              <w:rPr>
                <w:color w:val="5A5A5A"/>
                <w:sz w:val="16"/>
                <w:szCs w:val="16"/>
              </w:rPr>
              <w:t xml:space="preserve">  IBKR</w:t>
            </w:r>
          </w:p>
        </w:tc>
        <w:tc>
          <w:tcPr>
            <w:tcW w:type="dxa" w:w="720"/>
            <w:tcBorders>
              <w:top w:val="single" w:color="BFBFBF" w:sz="1"/>
              <w:left w:val="single" w:color="BFBFBF" w:sz="1"/>
              <w:bottom w:val="single" w:color="BFBFBF" w:sz="1"/>
              <w:right w:val="single" w:color="BFBFBF" w:sz="1"/>
            </w:tcBorders>
            <w:shd w:fill="D9EAD3" w:val="clear"/>
            <w:tcMar>
              <w:top w:type="dxa" w:w="60"/>
              <w:left w:type="dxa" w:w="110"/>
              <w:bottom w:type="dxa" w:w="60"/>
              <w:right w:type="dxa" w:w="110"/>
            </w:tcMar>
            <w:vAlign w:val="center"/>
          </w:tcPr>
          <w:p>
            <w:pPr>
              <w:spacing w:after="0" w:line="240"/>
              <w:jc w:val="center"/>
            </w:pPr>
            <w:r>
              <w:rPr>
                <w:b/>
                <w:bCs/>
                <w:color w:val="000000"/>
                <w:sz w:val="18"/>
                <w:szCs w:val="18"/>
              </w:rPr>
              <w:t xml:space="preserve">Yes</w:t>
            </w:r>
          </w:p>
        </w:tc>
        <w:tc>
          <w:tcPr>
            <w:tcW w:type="dxa" w:w="720"/>
            <w:tcBorders>
              <w:top w:val="single" w:color="BFBFBF" w:sz="1"/>
              <w:left w:val="single" w:color="BFBFBF" w:sz="1"/>
              <w:bottom w:val="single" w:color="BFBFBF" w:sz="1"/>
              <w:right w:val="single" w:color="BFBFBF" w:sz="1"/>
            </w:tcBorders>
            <w:shd w:fill="D9EAD3" w:val="clear"/>
            <w:tcMar>
              <w:top w:type="dxa" w:w="60"/>
              <w:left w:type="dxa" w:w="110"/>
              <w:bottom w:type="dxa" w:w="60"/>
              <w:right w:type="dxa" w:w="110"/>
            </w:tcMar>
            <w:vAlign w:val="center"/>
          </w:tcPr>
          <w:p>
            <w:pPr>
              <w:spacing w:after="0" w:line="240"/>
              <w:jc w:val="center"/>
            </w:pPr>
            <w:r>
              <w:rPr>
                <w:b/>
                <w:bCs/>
                <w:color w:val="000000"/>
                <w:sz w:val="18"/>
                <w:szCs w:val="18"/>
              </w:rPr>
              <w:t xml:space="preserve">Yes</w:t>
            </w:r>
          </w:p>
        </w:tc>
        <w:tc>
          <w:tcPr>
            <w:tcW w:type="dxa" w:w="720"/>
            <w:tcBorders>
              <w:top w:val="single" w:color="BFBFBF" w:sz="1"/>
              <w:left w:val="single" w:color="BFBFBF" w:sz="1"/>
              <w:bottom w:val="single" w:color="BFBFBF" w:sz="1"/>
              <w:right w:val="single" w:color="BFBFBF" w:sz="1"/>
            </w:tcBorders>
            <w:shd w:fill="D9EAD3" w:val="clear"/>
            <w:tcMar>
              <w:top w:type="dxa" w:w="60"/>
              <w:left w:type="dxa" w:w="110"/>
              <w:bottom w:type="dxa" w:w="60"/>
              <w:right w:type="dxa" w:w="110"/>
            </w:tcMar>
            <w:vAlign w:val="center"/>
          </w:tcPr>
          <w:p>
            <w:pPr>
              <w:spacing w:after="0" w:line="240"/>
              <w:jc w:val="center"/>
            </w:pPr>
            <w:r>
              <w:rPr>
                <w:b/>
                <w:bCs/>
                <w:color w:val="000000"/>
                <w:sz w:val="18"/>
                <w:szCs w:val="18"/>
              </w:rPr>
              <w:t xml:space="preserve">Yes</w:t>
            </w:r>
          </w:p>
        </w:tc>
        <w:tc>
          <w:tcPr>
            <w:tcW w:type="dxa" w:w="50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333333"/>
                <w:sz w:val="18"/>
                <w:szCs w:val="18"/>
              </w:rPr>
              <w:t xml:space="preserve">DCM/DCO = ForecastEx; IBKR LLC is the FCM; also aggregates Kalshi + CME</w:t>
            </w:r>
          </w:p>
        </w:tc>
      </w:tr>
      <w:tr>
        <w:tc>
          <w:tcPr>
            <w:tcW w:type="dxa" w:w="21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bCs/>
                <w:sz w:val="18"/>
                <w:szCs w:val="18"/>
              </w:rPr>
              <w:t xml:space="preserve">Gemini</w:t>
            </w:r>
            <w:r>
              <w:rPr>
                <w:color w:val="5A5A5A"/>
                <w:sz w:val="16"/>
                <w:szCs w:val="16"/>
              </w:rPr>
              <w:t xml:space="preserve">  GEMI</w:t>
            </w:r>
          </w:p>
        </w:tc>
        <w:tc>
          <w:tcPr>
            <w:tcW w:type="dxa" w:w="720"/>
            <w:tcBorders>
              <w:top w:val="single" w:color="BFBFBF" w:sz="1"/>
              <w:left w:val="single" w:color="BFBFBF" w:sz="1"/>
              <w:bottom w:val="single" w:color="BFBFBF" w:sz="1"/>
              <w:right w:val="single" w:color="BFBFBF" w:sz="1"/>
            </w:tcBorders>
            <w:shd w:fill="D9EAD3" w:val="clear"/>
            <w:tcMar>
              <w:top w:type="dxa" w:w="60"/>
              <w:left w:type="dxa" w:w="110"/>
              <w:bottom w:type="dxa" w:w="60"/>
              <w:right w:type="dxa" w:w="110"/>
            </w:tcMar>
            <w:vAlign w:val="center"/>
          </w:tcPr>
          <w:p>
            <w:pPr>
              <w:spacing w:after="0" w:line="240"/>
              <w:jc w:val="center"/>
            </w:pPr>
            <w:r>
              <w:rPr>
                <w:b/>
                <w:bCs/>
                <w:color w:val="000000"/>
                <w:sz w:val="18"/>
                <w:szCs w:val="18"/>
              </w:rPr>
              <w:t xml:space="preserve">Yes</w:t>
            </w:r>
          </w:p>
        </w:tc>
        <w:tc>
          <w:tcPr>
            <w:tcW w:type="dxa" w:w="720"/>
            <w:tcBorders>
              <w:top w:val="single" w:color="BFBFBF" w:sz="1"/>
              <w:left w:val="single" w:color="BFBFBF" w:sz="1"/>
              <w:bottom w:val="single" w:color="BFBFBF" w:sz="1"/>
              <w:right w:val="single" w:color="BFBFBF" w:sz="1"/>
            </w:tcBorders>
            <w:shd w:fill="D9EAD3" w:val="clear"/>
            <w:tcMar>
              <w:top w:type="dxa" w:w="60"/>
              <w:left w:type="dxa" w:w="110"/>
              <w:bottom w:type="dxa" w:w="60"/>
              <w:right w:type="dxa" w:w="110"/>
            </w:tcMar>
            <w:vAlign w:val="center"/>
          </w:tcPr>
          <w:p>
            <w:pPr>
              <w:spacing w:after="0" w:line="240"/>
              <w:jc w:val="center"/>
            </w:pPr>
            <w:r>
              <w:rPr>
                <w:b/>
                <w:bCs/>
                <w:color w:val="000000"/>
                <w:sz w:val="18"/>
                <w:szCs w:val="18"/>
              </w:rPr>
              <w:t xml:space="preserve">Yes</w:t>
            </w:r>
          </w:p>
        </w:tc>
        <w:tc>
          <w:tcPr>
            <w:tcW w:type="dxa" w:w="720"/>
            <w:tcBorders>
              <w:top w:val="single" w:color="BFBFBF" w:sz="1"/>
              <w:left w:val="single" w:color="BFBFBF" w:sz="1"/>
              <w:bottom w:val="single" w:color="BFBFBF" w:sz="1"/>
              <w:right w:val="single" w:color="BFBFBF" w:sz="1"/>
            </w:tcBorders>
            <w:shd w:fill="FCE5CD" w:val="clear"/>
            <w:tcMar>
              <w:top w:type="dxa" w:w="60"/>
              <w:left w:type="dxa" w:w="110"/>
              <w:bottom w:type="dxa" w:w="60"/>
              <w:right w:type="dxa" w:w="110"/>
            </w:tcMar>
            <w:vAlign w:val="center"/>
          </w:tcPr>
          <w:p>
            <w:pPr>
              <w:spacing w:after="0" w:line="240"/>
              <w:jc w:val="center"/>
            </w:pPr>
            <w:r>
              <w:rPr>
                <w:b/>
                <w:bCs/>
                <w:color w:val="000000"/>
                <w:sz w:val="18"/>
                <w:szCs w:val="18"/>
              </w:rPr>
              <w:t xml:space="preserve">Pending</w:t>
            </w:r>
          </w:p>
        </w:tc>
        <w:tc>
          <w:tcPr>
            <w:tcW w:type="dxa" w:w="50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333333"/>
                <w:sz w:val="18"/>
                <w:szCs w:val="18"/>
              </w:rPr>
              <w:t xml:space="preserve">DCM = Gemini Titan; DCO = Gemini Olympus; FCM reportedly in progress</w:t>
            </w:r>
          </w:p>
        </w:tc>
      </w:tr>
      <w:tr>
        <w:tc>
          <w:tcPr>
            <w:tcW w:type="dxa" w:w="9360"/>
            <w:gridSpan w:val="5"/>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line="240"/>
            </w:pPr>
            <w:r>
              <w:rPr>
                <w:b/>
                <w:bCs/>
                <w:color w:val="1F3864"/>
                <w:sz w:val="18"/>
                <w:szCs w:val="18"/>
              </w:rPr>
              <w:t xml:space="preserve">Distribution brokers — partner for the exchange (Options A / B)</w:t>
            </w:r>
          </w:p>
        </w:tc>
      </w:tr>
      <w:tr>
        <w:tc>
          <w:tcPr>
            <w:tcW w:type="dxa" w:w="21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bCs/>
                <w:sz w:val="18"/>
                <w:szCs w:val="18"/>
              </w:rPr>
              <w:t xml:space="preserve">Coinbase</w:t>
            </w:r>
            <w:r>
              <w:rPr>
                <w:color w:val="5A5A5A"/>
                <w:sz w:val="16"/>
                <w:szCs w:val="16"/>
              </w:rPr>
              <w:t xml:space="preserve">  COIN</w:t>
            </w:r>
          </w:p>
        </w:tc>
        <w:tc>
          <w:tcPr>
            <w:tcW w:type="dxa" w:w="720"/>
            <w:tcBorders>
              <w:top w:val="single" w:color="BFBFBF" w:sz="1"/>
              <w:left w:val="single" w:color="BFBFBF" w:sz="1"/>
              <w:bottom w:val="single" w:color="BFBFBF" w:sz="1"/>
              <w:right w:val="single" w:color="BFBFBF" w:sz="1"/>
            </w:tcBorders>
            <w:shd w:fill="FCE5CD" w:val="clear"/>
            <w:tcMar>
              <w:top w:type="dxa" w:w="60"/>
              <w:left w:type="dxa" w:w="110"/>
              <w:bottom w:type="dxa" w:w="60"/>
              <w:right w:type="dxa" w:w="110"/>
            </w:tcMar>
            <w:vAlign w:val="center"/>
          </w:tcPr>
          <w:p>
            <w:pPr>
              <w:spacing w:after="0" w:line="240"/>
              <w:jc w:val="center"/>
            </w:pPr>
            <w:r>
              <w:rPr>
                <w:b/>
                <w:bCs/>
                <w:color w:val="000000"/>
                <w:sz w:val="18"/>
                <w:szCs w:val="18"/>
              </w:rPr>
              <w:t xml:space="preserve">Building</w:t>
            </w:r>
          </w:p>
        </w:tc>
        <w:tc>
          <w:tcPr>
            <w:tcW w:type="dxa" w:w="720"/>
            <w:tcBorders>
              <w:top w:val="single" w:color="BFBFBF" w:sz="1"/>
              <w:left w:val="single" w:color="BFBFBF" w:sz="1"/>
              <w:bottom w:val="single" w:color="BFBFBF" w:sz="1"/>
              <w:right w:val="single" w:color="BFBFBF" w:sz="1"/>
            </w:tcBorders>
            <w:shd w:fill="FCE5CD" w:val="clear"/>
            <w:tcMar>
              <w:top w:type="dxa" w:w="60"/>
              <w:left w:type="dxa" w:w="110"/>
              <w:bottom w:type="dxa" w:w="60"/>
              <w:right w:type="dxa" w:w="110"/>
            </w:tcMar>
            <w:vAlign w:val="center"/>
          </w:tcPr>
          <w:p>
            <w:pPr>
              <w:spacing w:after="0" w:line="240"/>
              <w:jc w:val="center"/>
            </w:pPr>
            <w:r>
              <w:rPr>
                <w:b/>
                <w:bCs/>
                <w:color w:val="000000"/>
                <w:sz w:val="18"/>
                <w:szCs w:val="18"/>
              </w:rPr>
              <w:t xml:space="preserve">Building</w:t>
            </w:r>
          </w:p>
        </w:tc>
        <w:tc>
          <w:tcPr>
            <w:tcW w:type="dxa" w:w="720"/>
            <w:tcBorders>
              <w:top w:val="single" w:color="BFBFBF" w:sz="1"/>
              <w:left w:val="single" w:color="BFBFBF" w:sz="1"/>
              <w:bottom w:val="single" w:color="BFBFBF" w:sz="1"/>
              <w:right w:val="single" w:color="BFBFBF" w:sz="1"/>
            </w:tcBorders>
            <w:shd w:fill="D9EAD3" w:val="clear"/>
            <w:tcMar>
              <w:top w:type="dxa" w:w="60"/>
              <w:left w:type="dxa" w:w="110"/>
              <w:bottom w:type="dxa" w:w="60"/>
              <w:right w:type="dxa" w:w="110"/>
            </w:tcMar>
            <w:vAlign w:val="center"/>
          </w:tcPr>
          <w:p>
            <w:pPr>
              <w:spacing w:after="0" w:line="240"/>
              <w:jc w:val="center"/>
            </w:pPr>
            <w:r>
              <w:rPr>
                <w:b/>
                <w:bCs/>
                <w:color w:val="000000"/>
                <w:sz w:val="18"/>
                <w:szCs w:val="18"/>
              </w:rPr>
              <w:t xml:space="preserve">Yes</w:t>
            </w:r>
          </w:p>
        </w:tc>
        <w:tc>
          <w:tcPr>
            <w:tcW w:type="dxa" w:w="50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333333"/>
                <w:sz w:val="18"/>
                <w:szCs w:val="18"/>
              </w:rPr>
              <w:t xml:space="preserve">Distributes Kalshi; FCM = Coinbase Financial Mkts; acquired The Clearing Company to internalise clearing</w:t>
            </w:r>
          </w:p>
        </w:tc>
      </w:tr>
      <w:tr>
        <w:tc>
          <w:tcPr>
            <w:tcW w:type="dxa" w:w="21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bCs/>
                <w:sz w:val="18"/>
                <w:szCs w:val="18"/>
              </w:rPr>
              <w:t xml:space="preserve">Webull</w:t>
            </w:r>
            <w:r>
              <w:rPr>
                <w:color w:val="5A5A5A"/>
                <w:sz w:val="16"/>
                <w:szCs w:val="16"/>
              </w:rPr>
              <w:t xml:space="preserve">  BULL</w:t>
            </w:r>
          </w:p>
        </w:tc>
        <w:tc>
          <w:tcPr>
            <w:tcW w:type="dxa" w:w="7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center"/>
            </w:pPr>
            <w:r>
              <w:rPr>
                <w:b/>
                <w:bCs/>
                <w:color w:val="000000"/>
                <w:sz w:val="18"/>
                <w:szCs w:val="18"/>
              </w:rPr>
              <w:t xml:space="preserve">No</w:t>
            </w:r>
          </w:p>
        </w:tc>
        <w:tc>
          <w:tcPr>
            <w:tcW w:type="dxa" w:w="7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center"/>
            </w:pPr>
            <w:r>
              <w:rPr>
                <w:b/>
                <w:bCs/>
                <w:color w:val="000000"/>
                <w:sz w:val="18"/>
                <w:szCs w:val="18"/>
              </w:rPr>
              <w:t xml:space="preserve">No</w:t>
            </w:r>
          </w:p>
        </w:tc>
        <w:tc>
          <w:tcPr>
            <w:tcW w:type="dxa" w:w="720"/>
            <w:tcBorders>
              <w:top w:val="single" w:color="BFBFBF" w:sz="1"/>
              <w:left w:val="single" w:color="BFBFBF" w:sz="1"/>
              <w:bottom w:val="single" w:color="BFBFBF" w:sz="1"/>
              <w:right w:val="single" w:color="BFBFBF" w:sz="1"/>
            </w:tcBorders>
            <w:shd w:fill="D9EAD3" w:val="clear"/>
            <w:tcMar>
              <w:top w:type="dxa" w:w="60"/>
              <w:left w:type="dxa" w:w="110"/>
              <w:bottom w:type="dxa" w:w="60"/>
              <w:right w:type="dxa" w:w="110"/>
            </w:tcMar>
            <w:vAlign w:val="center"/>
          </w:tcPr>
          <w:p>
            <w:pPr>
              <w:spacing w:after="0" w:line="240"/>
              <w:jc w:val="center"/>
            </w:pPr>
            <w:r>
              <w:rPr>
                <w:b/>
                <w:bCs/>
                <w:color w:val="000000"/>
                <w:sz w:val="18"/>
                <w:szCs w:val="18"/>
              </w:rPr>
              <w:t xml:space="preserve">Yes</w:t>
            </w:r>
          </w:p>
        </w:tc>
        <w:tc>
          <w:tcPr>
            <w:tcW w:type="dxa" w:w="50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333333"/>
                <w:sz w:val="18"/>
                <w:szCs w:val="18"/>
              </w:rPr>
              <w:t xml:space="preserve">Distributes Kalshi at ~$0.02/contract; becoming a Kalshi clearing member</w:t>
            </w:r>
          </w:p>
        </w:tc>
      </w:tr>
      <w:tr>
        <w:tc>
          <w:tcPr>
            <w:tcW w:type="dxa" w:w="21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bCs/>
                <w:sz w:val="18"/>
                <w:szCs w:val="18"/>
              </w:rPr>
              <w:t xml:space="preserve">Moomoo / Futu</w:t>
            </w:r>
          </w:p>
        </w:tc>
        <w:tc>
          <w:tcPr>
            <w:tcW w:type="dxa" w:w="7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center"/>
            </w:pPr>
            <w:r>
              <w:rPr>
                <w:b/>
                <w:bCs/>
                <w:color w:val="000000"/>
                <w:sz w:val="18"/>
                <w:szCs w:val="18"/>
              </w:rPr>
              <w:t xml:space="preserve">No</w:t>
            </w:r>
          </w:p>
        </w:tc>
        <w:tc>
          <w:tcPr>
            <w:tcW w:type="dxa" w:w="7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center"/>
            </w:pPr>
            <w:r>
              <w:rPr>
                <w:b/>
                <w:bCs/>
                <w:color w:val="000000"/>
                <w:sz w:val="18"/>
                <w:szCs w:val="18"/>
              </w:rPr>
              <w:t xml:space="preserve">No</w:t>
            </w:r>
          </w:p>
        </w:tc>
        <w:tc>
          <w:tcPr>
            <w:tcW w:type="dxa" w:w="720"/>
            <w:tcBorders>
              <w:top w:val="single" w:color="BFBFBF" w:sz="1"/>
              <w:left w:val="single" w:color="BFBFBF" w:sz="1"/>
              <w:bottom w:val="single" w:color="BFBFBF" w:sz="1"/>
              <w:right w:val="single" w:color="BFBFBF" w:sz="1"/>
            </w:tcBorders>
            <w:shd w:fill="D9EAD3" w:val="clear"/>
            <w:tcMar>
              <w:top w:type="dxa" w:w="60"/>
              <w:left w:type="dxa" w:w="110"/>
              <w:bottom w:type="dxa" w:w="60"/>
              <w:right w:type="dxa" w:w="110"/>
            </w:tcMar>
            <w:vAlign w:val="center"/>
          </w:tcPr>
          <w:p>
            <w:pPr>
              <w:spacing w:after="0" w:line="240"/>
              <w:jc w:val="center"/>
            </w:pPr>
            <w:r>
              <w:rPr>
                <w:b/>
                <w:bCs/>
                <w:color w:val="000000"/>
                <w:sz w:val="18"/>
                <w:szCs w:val="18"/>
              </w:rPr>
              <w:t xml:space="preserve">Yes</w:t>
            </w:r>
          </w:p>
        </w:tc>
        <w:tc>
          <w:tcPr>
            <w:tcW w:type="dxa" w:w="50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333333"/>
                <w:sz w:val="18"/>
                <w:szCs w:val="18"/>
              </w:rPr>
              <w:t xml:space="preserve">Distributes Kalshi; FCM (Moomoo Financial) approved May 2026</w:t>
            </w:r>
          </w:p>
        </w:tc>
      </w:tr>
      <w:tr>
        <w:tc>
          <w:tcPr>
            <w:tcW w:type="dxa" w:w="21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bCs/>
                <w:sz w:val="18"/>
                <w:szCs w:val="18"/>
              </w:rPr>
              <w:t xml:space="preserve">SoFi</w:t>
            </w:r>
          </w:p>
        </w:tc>
        <w:tc>
          <w:tcPr>
            <w:tcW w:type="dxa" w:w="7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center"/>
            </w:pPr>
            <w:r>
              <w:rPr>
                <w:b/>
                <w:bCs/>
                <w:color w:val="000000"/>
                <w:sz w:val="18"/>
                <w:szCs w:val="18"/>
              </w:rPr>
              <w:t xml:space="preserve">No</w:t>
            </w:r>
          </w:p>
        </w:tc>
        <w:tc>
          <w:tcPr>
            <w:tcW w:type="dxa" w:w="7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center"/>
            </w:pPr>
            <w:r>
              <w:rPr>
                <w:b/>
                <w:bCs/>
                <w:color w:val="000000"/>
                <w:sz w:val="18"/>
                <w:szCs w:val="18"/>
              </w:rPr>
              <w:t xml:space="preserve">No</w:t>
            </w:r>
          </w:p>
        </w:tc>
        <w:tc>
          <w:tcPr>
            <w:tcW w:type="dxa" w:w="7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center"/>
            </w:pPr>
            <w:r>
              <w:rPr>
                <w:b/>
                <w:bCs/>
                <w:color w:val="000000"/>
                <w:sz w:val="18"/>
                <w:szCs w:val="18"/>
              </w:rPr>
              <w:t xml:space="preserve">No</w:t>
            </w:r>
          </w:p>
        </w:tc>
        <w:tc>
          <w:tcPr>
            <w:tcW w:type="dxa" w:w="50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333333"/>
                <w:sz w:val="18"/>
                <w:szCs w:val="18"/>
              </w:rPr>
              <w:t xml:space="preserve">Not live as of mid-2026; educational content only</w:t>
            </w:r>
          </w:p>
        </w:tc>
      </w:tr>
      <w:tr>
        <w:tc>
          <w:tcPr>
            <w:tcW w:type="dxa" w:w="9360"/>
            <w:gridSpan w:val="5"/>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line="240"/>
            </w:pPr>
            <w:r>
              <w:rPr>
                <w:b/>
                <w:bCs/>
                <w:color w:val="1F3864"/>
                <w:sz w:val="18"/>
                <w:szCs w:val="18"/>
              </w:rPr>
              <w:t xml:space="preserve">Securities-options wrapper (Option D)</w:t>
            </w:r>
          </w:p>
        </w:tc>
      </w:tr>
      <w:tr>
        <w:tc>
          <w:tcPr>
            <w:tcW w:type="dxa" w:w="21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bCs/>
                <w:sz w:val="18"/>
                <w:szCs w:val="18"/>
              </w:rPr>
              <w:t xml:space="preserve">Charles Schwab</w:t>
            </w:r>
            <w:r>
              <w:rPr>
                <w:color w:val="5A5A5A"/>
                <w:sz w:val="16"/>
                <w:szCs w:val="16"/>
              </w:rPr>
              <w:t xml:space="preserve">  SCHW</w:t>
            </w:r>
          </w:p>
        </w:tc>
        <w:tc>
          <w:tcPr>
            <w:tcW w:type="dxa" w:w="7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center"/>
            </w:pPr>
            <w:r>
              <w:rPr>
                <w:b/>
                <w:bCs/>
                <w:color w:val="000000"/>
                <w:sz w:val="18"/>
                <w:szCs w:val="18"/>
              </w:rPr>
              <w:t xml:space="preserve">No</w:t>
            </w:r>
          </w:p>
        </w:tc>
        <w:tc>
          <w:tcPr>
            <w:tcW w:type="dxa" w:w="7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center"/>
            </w:pPr>
            <w:r>
              <w:rPr>
                <w:b/>
                <w:bCs/>
                <w:color w:val="000000"/>
                <w:sz w:val="18"/>
                <w:szCs w:val="18"/>
              </w:rPr>
              <w:t xml:space="preserve">No</w:t>
            </w:r>
          </w:p>
        </w:tc>
        <w:tc>
          <w:tcPr>
            <w:tcW w:type="dxa" w:w="7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center"/>
            </w:pPr>
            <w:r>
              <w:rPr>
                <w:b/>
                <w:bCs/>
                <w:color w:val="000000"/>
                <w:sz w:val="18"/>
                <w:szCs w:val="18"/>
              </w:rPr>
              <w:t xml:space="preserve">No</w:t>
            </w:r>
          </w:p>
        </w:tc>
        <w:tc>
          <w:tcPr>
            <w:tcW w:type="dxa" w:w="50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333333"/>
                <w:sz w:val="18"/>
                <w:szCs w:val="18"/>
              </w:rPr>
              <w:t xml:space="preserve">Binary S&amp;P 500 via Cboe options exchange + OCC clearing — outside the CFTC event-contract stack</w:t>
            </w:r>
          </w:p>
        </w:tc>
      </w:tr>
      <w:tr>
        <w:tc>
          <w:tcPr>
            <w:tcW w:type="dxa" w:w="9360"/>
            <w:gridSpan w:val="5"/>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0" w:line="240"/>
            </w:pPr>
            <w:r>
              <w:rPr>
                <w:b/>
                <w:bCs/>
                <w:color w:val="1F3864"/>
                <w:sz w:val="18"/>
                <w:szCs w:val="18"/>
              </w:rPr>
              <w:t xml:space="preserve">Exchange / clearing operators</w:t>
            </w:r>
          </w:p>
        </w:tc>
      </w:tr>
      <w:tr>
        <w:tc>
          <w:tcPr>
            <w:tcW w:type="dxa" w:w="21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bCs/>
                <w:sz w:val="18"/>
                <w:szCs w:val="18"/>
              </w:rPr>
              <w:t xml:space="preserve">Kalshi</w:t>
            </w:r>
          </w:p>
        </w:tc>
        <w:tc>
          <w:tcPr>
            <w:tcW w:type="dxa" w:w="720"/>
            <w:tcBorders>
              <w:top w:val="single" w:color="BFBFBF" w:sz="1"/>
              <w:left w:val="single" w:color="BFBFBF" w:sz="1"/>
              <w:bottom w:val="single" w:color="BFBFBF" w:sz="1"/>
              <w:right w:val="single" w:color="BFBFBF" w:sz="1"/>
            </w:tcBorders>
            <w:shd w:fill="D9EAD3" w:val="clear"/>
            <w:tcMar>
              <w:top w:type="dxa" w:w="60"/>
              <w:left w:type="dxa" w:w="110"/>
              <w:bottom w:type="dxa" w:w="60"/>
              <w:right w:type="dxa" w:w="110"/>
            </w:tcMar>
            <w:vAlign w:val="center"/>
          </w:tcPr>
          <w:p>
            <w:pPr>
              <w:spacing w:after="0" w:line="240"/>
              <w:jc w:val="center"/>
            </w:pPr>
            <w:r>
              <w:rPr>
                <w:b/>
                <w:bCs/>
                <w:color w:val="000000"/>
                <w:sz w:val="18"/>
                <w:szCs w:val="18"/>
              </w:rPr>
              <w:t xml:space="preserve">Yes</w:t>
            </w:r>
          </w:p>
        </w:tc>
        <w:tc>
          <w:tcPr>
            <w:tcW w:type="dxa" w:w="720"/>
            <w:tcBorders>
              <w:top w:val="single" w:color="BFBFBF" w:sz="1"/>
              <w:left w:val="single" w:color="BFBFBF" w:sz="1"/>
              <w:bottom w:val="single" w:color="BFBFBF" w:sz="1"/>
              <w:right w:val="single" w:color="BFBFBF" w:sz="1"/>
            </w:tcBorders>
            <w:shd w:fill="D9EAD3" w:val="clear"/>
            <w:tcMar>
              <w:top w:type="dxa" w:w="60"/>
              <w:left w:type="dxa" w:w="110"/>
              <w:bottom w:type="dxa" w:w="60"/>
              <w:right w:type="dxa" w:w="110"/>
            </w:tcMar>
            <w:vAlign w:val="center"/>
          </w:tcPr>
          <w:p>
            <w:pPr>
              <w:spacing w:after="0" w:line="240"/>
              <w:jc w:val="center"/>
            </w:pPr>
            <w:r>
              <w:rPr>
                <w:b/>
                <w:bCs/>
                <w:color w:val="000000"/>
                <w:sz w:val="18"/>
                <w:szCs w:val="18"/>
              </w:rPr>
              <w:t xml:space="preserve">Yes</w:t>
            </w:r>
          </w:p>
        </w:tc>
        <w:tc>
          <w:tcPr>
            <w:tcW w:type="dxa" w:w="720"/>
            <w:tcBorders>
              <w:top w:val="single" w:color="BFBFBF" w:sz="1"/>
              <w:left w:val="single" w:color="BFBFBF" w:sz="1"/>
              <w:bottom w:val="single" w:color="BFBFBF" w:sz="1"/>
              <w:right w:val="single" w:color="BFBFBF" w:sz="1"/>
            </w:tcBorders>
            <w:shd w:fill="D9EAD3" w:val="clear"/>
            <w:tcMar>
              <w:top w:type="dxa" w:w="60"/>
              <w:left w:type="dxa" w:w="110"/>
              <w:bottom w:type="dxa" w:w="60"/>
              <w:right w:type="dxa" w:w="110"/>
            </w:tcMar>
            <w:vAlign w:val="center"/>
          </w:tcPr>
          <w:p>
            <w:pPr>
              <w:spacing w:after="0" w:line="240"/>
              <w:jc w:val="center"/>
            </w:pPr>
            <w:r>
              <w:rPr>
                <w:b/>
                <w:bCs/>
                <w:color w:val="000000"/>
                <w:sz w:val="18"/>
                <w:szCs w:val="18"/>
              </w:rPr>
              <w:t xml:space="preserve">Yes</w:t>
            </w:r>
          </w:p>
        </w:tc>
        <w:tc>
          <w:tcPr>
            <w:tcW w:type="dxa" w:w="50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333333"/>
                <w:sz w:val="18"/>
                <w:szCs w:val="18"/>
              </w:rPr>
              <w:t xml:space="preserve">DCM = KalshiEX; DCO = Kalshi Klear. Core retail model is non-intermediated; FCM (Kinetic Markets, 2026) added for institutional margin</w:t>
            </w:r>
          </w:p>
        </w:tc>
      </w:tr>
      <w:tr>
        <w:tc>
          <w:tcPr>
            <w:tcW w:type="dxa" w:w="21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bCs/>
                <w:sz w:val="18"/>
                <w:szCs w:val="18"/>
              </w:rPr>
              <w:t xml:space="preserve">Crypto.com / CDNA</w:t>
            </w:r>
          </w:p>
        </w:tc>
        <w:tc>
          <w:tcPr>
            <w:tcW w:type="dxa" w:w="720"/>
            <w:tcBorders>
              <w:top w:val="single" w:color="BFBFBF" w:sz="1"/>
              <w:left w:val="single" w:color="BFBFBF" w:sz="1"/>
              <w:bottom w:val="single" w:color="BFBFBF" w:sz="1"/>
              <w:right w:val="single" w:color="BFBFBF" w:sz="1"/>
            </w:tcBorders>
            <w:shd w:fill="D9EAD3" w:val="clear"/>
            <w:tcMar>
              <w:top w:type="dxa" w:w="60"/>
              <w:left w:type="dxa" w:w="110"/>
              <w:bottom w:type="dxa" w:w="60"/>
              <w:right w:type="dxa" w:w="110"/>
            </w:tcMar>
            <w:vAlign w:val="center"/>
          </w:tcPr>
          <w:p>
            <w:pPr>
              <w:spacing w:after="0" w:line="240"/>
              <w:jc w:val="center"/>
            </w:pPr>
            <w:r>
              <w:rPr>
                <w:b/>
                <w:bCs/>
                <w:color w:val="000000"/>
                <w:sz w:val="18"/>
                <w:szCs w:val="18"/>
              </w:rPr>
              <w:t xml:space="preserve">Yes</w:t>
            </w:r>
          </w:p>
        </w:tc>
        <w:tc>
          <w:tcPr>
            <w:tcW w:type="dxa" w:w="720"/>
            <w:tcBorders>
              <w:top w:val="single" w:color="BFBFBF" w:sz="1"/>
              <w:left w:val="single" w:color="BFBFBF" w:sz="1"/>
              <w:bottom w:val="single" w:color="BFBFBF" w:sz="1"/>
              <w:right w:val="single" w:color="BFBFBF" w:sz="1"/>
            </w:tcBorders>
            <w:shd w:fill="D9EAD3" w:val="clear"/>
            <w:tcMar>
              <w:top w:type="dxa" w:w="60"/>
              <w:left w:type="dxa" w:w="110"/>
              <w:bottom w:type="dxa" w:w="60"/>
              <w:right w:type="dxa" w:w="110"/>
            </w:tcMar>
            <w:vAlign w:val="center"/>
          </w:tcPr>
          <w:p>
            <w:pPr>
              <w:spacing w:after="0" w:line="240"/>
              <w:jc w:val="center"/>
            </w:pPr>
            <w:r>
              <w:rPr>
                <w:b/>
                <w:bCs/>
                <w:color w:val="000000"/>
                <w:sz w:val="18"/>
                <w:szCs w:val="18"/>
              </w:rPr>
              <w:t xml:space="preserve">Yes</w:t>
            </w:r>
          </w:p>
        </w:tc>
        <w:tc>
          <w:tcPr>
            <w:tcW w:type="dxa" w:w="720"/>
            <w:tcBorders>
              <w:top w:val="single" w:color="BFBFBF" w:sz="1"/>
              <w:left w:val="single" w:color="BFBFBF" w:sz="1"/>
              <w:bottom w:val="single" w:color="BFBFBF" w:sz="1"/>
              <w:right w:val="single" w:color="BFBFBF" w:sz="1"/>
            </w:tcBorders>
            <w:shd w:fill="D9EAD3" w:val="clear"/>
            <w:tcMar>
              <w:top w:type="dxa" w:w="60"/>
              <w:left w:type="dxa" w:w="110"/>
              <w:bottom w:type="dxa" w:w="60"/>
              <w:right w:type="dxa" w:w="110"/>
            </w:tcMar>
            <w:vAlign w:val="center"/>
          </w:tcPr>
          <w:p>
            <w:pPr>
              <w:spacing w:after="0" w:line="240"/>
              <w:jc w:val="center"/>
            </w:pPr>
            <w:r>
              <w:rPr>
                <w:b/>
                <w:bCs/>
                <w:color w:val="000000"/>
                <w:sz w:val="18"/>
                <w:szCs w:val="18"/>
              </w:rPr>
              <w:t xml:space="preserve">Yes</w:t>
            </w:r>
          </w:p>
        </w:tc>
        <w:tc>
          <w:tcPr>
            <w:tcW w:type="dxa" w:w="50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333333"/>
                <w:sz w:val="18"/>
                <w:szCs w:val="18"/>
              </w:rPr>
              <w:t xml:space="preserve">Full stack since Sep 2025. CDNA = d/b/a Nadex; FCM = Foris DAX. Powers Fanatics, Truth Predict, Hollywood.com</w:t>
            </w:r>
          </w:p>
        </w:tc>
      </w:tr>
      <w:tr>
        <w:tc>
          <w:tcPr>
            <w:tcW w:type="dxa" w:w="21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bCs/>
                <w:sz w:val="18"/>
                <w:szCs w:val="18"/>
              </w:rPr>
              <w:t xml:space="preserve">CME Group</w:t>
            </w:r>
            <w:r>
              <w:rPr>
                <w:color w:val="5A5A5A"/>
                <w:sz w:val="16"/>
                <w:szCs w:val="16"/>
              </w:rPr>
              <w:t xml:space="preserve">  CME</w:t>
            </w:r>
          </w:p>
        </w:tc>
        <w:tc>
          <w:tcPr>
            <w:tcW w:type="dxa" w:w="720"/>
            <w:tcBorders>
              <w:top w:val="single" w:color="BFBFBF" w:sz="1"/>
              <w:left w:val="single" w:color="BFBFBF" w:sz="1"/>
              <w:bottom w:val="single" w:color="BFBFBF" w:sz="1"/>
              <w:right w:val="single" w:color="BFBFBF" w:sz="1"/>
            </w:tcBorders>
            <w:shd w:fill="D9EAD3" w:val="clear"/>
            <w:tcMar>
              <w:top w:type="dxa" w:w="60"/>
              <w:left w:type="dxa" w:w="110"/>
              <w:bottom w:type="dxa" w:w="60"/>
              <w:right w:type="dxa" w:w="110"/>
            </w:tcMar>
            <w:vAlign w:val="center"/>
          </w:tcPr>
          <w:p>
            <w:pPr>
              <w:spacing w:after="0" w:line="240"/>
              <w:jc w:val="center"/>
            </w:pPr>
            <w:r>
              <w:rPr>
                <w:b/>
                <w:bCs/>
                <w:color w:val="000000"/>
                <w:sz w:val="18"/>
                <w:szCs w:val="18"/>
              </w:rPr>
              <w:t xml:space="preserve">Yes</w:t>
            </w:r>
          </w:p>
        </w:tc>
        <w:tc>
          <w:tcPr>
            <w:tcW w:type="dxa" w:w="720"/>
            <w:tcBorders>
              <w:top w:val="single" w:color="BFBFBF" w:sz="1"/>
              <w:left w:val="single" w:color="BFBFBF" w:sz="1"/>
              <w:bottom w:val="single" w:color="BFBFBF" w:sz="1"/>
              <w:right w:val="single" w:color="BFBFBF" w:sz="1"/>
            </w:tcBorders>
            <w:shd w:fill="D9EAD3" w:val="clear"/>
            <w:tcMar>
              <w:top w:type="dxa" w:w="60"/>
              <w:left w:type="dxa" w:w="110"/>
              <w:bottom w:type="dxa" w:w="60"/>
              <w:right w:type="dxa" w:w="110"/>
            </w:tcMar>
            <w:vAlign w:val="center"/>
          </w:tcPr>
          <w:p>
            <w:pPr>
              <w:spacing w:after="0" w:line="240"/>
              <w:jc w:val="center"/>
            </w:pPr>
            <w:r>
              <w:rPr>
                <w:b/>
                <w:bCs/>
                <w:color w:val="000000"/>
                <w:sz w:val="18"/>
                <w:szCs w:val="18"/>
              </w:rPr>
              <w:t xml:space="preserve">Yes</w:t>
            </w:r>
          </w:p>
        </w:tc>
        <w:tc>
          <w:tcPr>
            <w:tcW w:type="dxa" w:w="7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center"/>
            </w:pPr>
            <w:r>
              <w:rPr>
                <w:b/>
                <w:bCs/>
                <w:color w:val="000000"/>
                <w:sz w:val="18"/>
                <w:szCs w:val="18"/>
              </w:rPr>
              <w:t xml:space="preserve">No</w:t>
            </w:r>
          </w:p>
        </w:tc>
        <w:tc>
          <w:tcPr>
            <w:tcW w:type="dxa" w:w="50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333333"/>
                <w:sz w:val="18"/>
                <w:szCs w:val="18"/>
              </w:rPr>
              <w:t xml:space="preserve">DCM + CME Clearing (DCO). No retail FCM — accessed via third-party FCMs (FanDuel, DraftKings, IBKR)</w:t>
            </w:r>
          </w:p>
        </w:tc>
      </w:tr>
      <w:tr>
        <w:tc>
          <w:tcPr>
            <w:tcW w:type="dxa" w:w="21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bCs/>
                <w:sz w:val="18"/>
                <w:szCs w:val="18"/>
              </w:rPr>
              <w:t xml:space="preserve">Polymarket / QCEX</w:t>
            </w:r>
          </w:p>
        </w:tc>
        <w:tc>
          <w:tcPr>
            <w:tcW w:type="dxa" w:w="720"/>
            <w:tcBorders>
              <w:top w:val="single" w:color="BFBFBF" w:sz="1"/>
              <w:left w:val="single" w:color="BFBFBF" w:sz="1"/>
              <w:bottom w:val="single" w:color="BFBFBF" w:sz="1"/>
              <w:right w:val="single" w:color="BFBFBF" w:sz="1"/>
            </w:tcBorders>
            <w:shd w:fill="D9EAD3" w:val="clear"/>
            <w:tcMar>
              <w:top w:type="dxa" w:w="60"/>
              <w:left w:type="dxa" w:w="110"/>
              <w:bottom w:type="dxa" w:w="60"/>
              <w:right w:type="dxa" w:w="110"/>
            </w:tcMar>
            <w:vAlign w:val="center"/>
          </w:tcPr>
          <w:p>
            <w:pPr>
              <w:spacing w:after="0" w:line="240"/>
              <w:jc w:val="center"/>
            </w:pPr>
            <w:r>
              <w:rPr>
                <w:b/>
                <w:bCs/>
                <w:color w:val="000000"/>
                <w:sz w:val="18"/>
                <w:szCs w:val="18"/>
              </w:rPr>
              <w:t xml:space="preserve">Yes</w:t>
            </w:r>
          </w:p>
        </w:tc>
        <w:tc>
          <w:tcPr>
            <w:tcW w:type="dxa" w:w="720"/>
            <w:tcBorders>
              <w:top w:val="single" w:color="BFBFBF" w:sz="1"/>
              <w:left w:val="single" w:color="BFBFBF" w:sz="1"/>
              <w:bottom w:val="single" w:color="BFBFBF" w:sz="1"/>
              <w:right w:val="single" w:color="BFBFBF" w:sz="1"/>
            </w:tcBorders>
            <w:shd w:fill="D9EAD3" w:val="clear"/>
            <w:tcMar>
              <w:top w:type="dxa" w:w="60"/>
              <w:left w:type="dxa" w:w="110"/>
              <w:bottom w:type="dxa" w:w="60"/>
              <w:right w:type="dxa" w:w="110"/>
            </w:tcMar>
            <w:vAlign w:val="center"/>
          </w:tcPr>
          <w:p>
            <w:pPr>
              <w:spacing w:after="0" w:line="240"/>
              <w:jc w:val="center"/>
            </w:pPr>
            <w:r>
              <w:rPr>
                <w:b/>
                <w:bCs/>
                <w:color w:val="000000"/>
                <w:sz w:val="18"/>
                <w:szCs w:val="18"/>
              </w:rPr>
              <w:t xml:space="preserve">Yes</w:t>
            </w:r>
          </w:p>
        </w:tc>
        <w:tc>
          <w:tcPr>
            <w:tcW w:type="dxa" w:w="7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center"/>
            </w:pPr>
            <w:r>
              <w:rPr>
                <w:b/>
                <w:bCs/>
                <w:color w:val="000000"/>
                <w:sz w:val="18"/>
                <w:szCs w:val="18"/>
              </w:rPr>
              <w:t xml:space="preserve">No</w:t>
            </w:r>
          </w:p>
        </w:tc>
        <w:tc>
          <w:tcPr>
            <w:tcW w:type="dxa" w:w="50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333333"/>
                <w:sz w:val="18"/>
                <w:szCs w:val="18"/>
              </w:rPr>
              <w:t xml:space="preserve">Onshore via QCEX acquisition; ICE committed up to $2bn</w:t>
            </w:r>
          </w:p>
        </w:tc>
      </w:tr>
      <w:tr>
        <w:tc>
          <w:tcPr>
            <w:tcW w:type="dxa" w:w="21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bCs/>
                <w:sz w:val="18"/>
                <w:szCs w:val="18"/>
              </w:rPr>
              <w:t xml:space="preserve">Kraken / Bitnomial</w:t>
            </w:r>
          </w:p>
        </w:tc>
        <w:tc>
          <w:tcPr>
            <w:tcW w:type="dxa" w:w="720"/>
            <w:tcBorders>
              <w:top w:val="single" w:color="BFBFBF" w:sz="1"/>
              <w:left w:val="single" w:color="BFBFBF" w:sz="1"/>
              <w:bottom w:val="single" w:color="BFBFBF" w:sz="1"/>
              <w:right w:val="single" w:color="BFBFBF" w:sz="1"/>
            </w:tcBorders>
            <w:shd w:fill="D9EAD3" w:val="clear"/>
            <w:tcMar>
              <w:top w:type="dxa" w:w="60"/>
              <w:left w:type="dxa" w:w="110"/>
              <w:bottom w:type="dxa" w:w="60"/>
              <w:right w:type="dxa" w:w="110"/>
            </w:tcMar>
            <w:vAlign w:val="center"/>
          </w:tcPr>
          <w:p>
            <w:pPr>
              <w:spacing w:after="0" w:line="240"/>
              <w:jc w:val="center"/>
            </w:pPr>
            <w:r>
              <w:rPr>
                <w:b/>
                <w:bCs/>
                <w:color w:val="000000"/>
                <w:sz w:val="18"/>
                <w:szCs w:val="18"/>
              </w:rPr>
              <w:t xml:space="preserve">Yes</w:t>
            </w:r>
          </w:p>
        </w:tc>
        <w:tc>
          <w:tcPr>
            <w:tcW w:type="dxa" w:w="720"/>
            <w:tcBorders>
              <w:top w:val="single" w:color="BFBFBF" w:sz="1"/>
              <w:left w:val="single" w:color="BFBFBF" w:sz="1"/>
              <w:bottom w:val="single" w:color="BFBFBF" w:sz="1"/>
              <w:right w:val="single" w:color="BFBFBF" w:sz="1"/>
            </w:tcBorders>
            <w:shd w:fill="D9EAD3" w:val="clear"/>
            <w:tcMar>
              <w:top w:type="dxa" w:w="60"/>
              <w:left w:type="dxa" w:w="110"/>
              <w:bottom w:type="dxa" w:w="60"/>
              <w:right w:type="dxa" w:w="110"/>
            </w:tcMar>
            <w:vAlign w:val="center"/>
          </w:tcPr>
          <w:p>
            <w:pPr>
              <w:spacing w:after="0" w:line="240"/>
              <w:jc w:val="center"/>
            </w:pPr>
            <w:r>
              <w:rPr>
                <w:b/>
                <w:bCs/>
                <w:color w:val="000000"/>
                <w:sz w:val="18"/>
                <w:szCs w:val="18"/>
              </w:rPr>
              <w:t xml:space="preserve">Yes</w:t>
            </w:r>
          </w:p>
        </w:tc>
        <w:tc>
          <w:tcPr>
            <w:tcW w:type="dxa" w:w="720"/>
            <w:tcBorders>
              <w:top w:val="single" w:color="BFBFBF" w:sz="1"/>
              <w:left w:val="single" w:color="BFBFBF" w:sz="1"/>
              <w:bottom w:val="single" w:color="BFBFBF" w:sz="1"/>
              <w:right w:val="single" w:color="BFBFBF" w:sz="1"/>
            </w:tcBorders>
            <w:shd w:fill="D9EAD3" w:val="clear"/>
            <w:tcMar>
              <w:top w:type="dxa" w:w="60"/>
              <w:left w:type="dxa" w:w="110"/>
              <w:bottom w:type="dxa" w:w="60"/>
              <w:right w:type="dxa" w:w="110"/>
            </w:tcMar>
            <w:vAlign w:val="center"/>
          </w:tcPr>
          <w:p>
            <w:pPr>
              <w:spacing w:after="0" w:line="240"/>
              <w:jc w:val="center"/>
            </w:pPr>
            <w:r>
              <w:rPr>
                <w:b/>
                <w:bCs/>
                <w:color w:val="000000"/>
                <w:sz w:val="18"/>
                <w:szCs w:val="18"/>
              </w:rPr>
              <w:t xml:space="preserve">Yes</w:t>
            </w:r>
          </w:p>
        </w:tc>
        <w:tc>
          <w:tcPr>
            <w:tcW w:type="dxa" w:w="50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333333"/>
                <w:sz w:val="18"/>
                <w:szCs w:val="18"/>
              </w:rPr>
              <w:t xml:space="preserve">Acquired the full DCM + DCO + FCM stack in a single move</w:t>
            </w:r>
          </w:p>
        </w:tc>
      </w:tr>
      <w:tr>
        <w:tc>
          <w:tcPr>
            <w:tcW w:type="dxa" w:w="21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bCs/>
                <w:sz w:val="18"/>
                <w:szCs w:val="18"/>
              </w:rPr>
              <w:t xml:space="preserve">DraftKings / Railbird</w:t>
            </w:r>
            <w:r>
              <w:rPr>
                <w:color w:val="5A5A5A"/>
                <w:sz w:val="16"/>
                <w:szCs w:val="16"/>
              </w:rPr>
              <w:t xml:space="preserve">  DKNG</w:t>
            </w:r>
          </w:p>
        </w:tc>
        <w:tc>
          <w:tcPr>
            <w:tcW w:type="dxa" w:w="720"/>
            <w:tcBorders>
              <w:top w:val="single" w:color="BFBFBF" w:sz="1"/>
              <w:left w:val="single" w:color="BFBFBF" w:sz="1"/>
              <w:bottom w:val="single" w:color="BFBFBF" w:sz="1"/>
              <w:right w:val="single" w:color="BFBFBF" w:sz="1"/>
            </w:tcBorders>
            <w:shd w:fill="D9EAD3" w:val="clear"/>
            <w:tcMar>
              <w:top w:type="dxa" w:w="60"/>
              <w:left w:type="dxa" w:w="110"/>
              <w:bottom w:type="dxa" w:w="60"/>
              <w:right w:type="dxa" w:w="110"/>
            </w:tcMar>
            <w:vAlign w:val="center"/>
          </w:tcPr>
          <w:p>
            <w:pPr>
              <w:spacing w:after="0" w:line="240"/>
              <w:jc w:val="center"/>
            </w:pPr>
            <w:r>
              <w:rPr>
                <w:b/>
                <w:bCs/>
                <w:color w:val="000000"/>
                <w:sz w:val="18"/>
                <w:szCs w:val="18"/>
              </w:rPr>
              <w:t xml:space="preserve">Yes</w:t>
            </w:r>
          </w:p>
        </w:tc>
        <w:tc>
          <w:tcPr>
            <w:tcW w:type="dxa" w:w="7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center"/>
            </w:pPr>
            <w:r>
              <w:rPr>
                <w:b/>
                <w:bCs/>
                <w:color w:val="000000"/>
                <w:sz w:val="18"/>
                <w:szCs w:val="18"/>
              </w:rPr>
              <w:t xml:space="preserve">No</w:t>
            </w:r>
          </w:p>
        </w:tc>
        <w:tc>
          <w:tcPr>
            <w:tcW w:type="dxa" w:w="7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center"/>
            </w:pPr>
            <w:r>
              <w:rPr>
                <w:b/>
                <w:bCs/>
                <w:color w:val="000000"/>
                <w:sz w:val="18"/>
                <w:szCs w:val="18"/>
              </w:rPr>
              <w:t xml:space="preserve">No</w:t>
            </w:r>
          </w:p>
        </w:tc>
        <w:tc>
          <w:tcPr>
            <w:tcW w:type="dxa" w:w="50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333333"/>
                <w:sz w:val="18"/>
                <w:szCs w:val="18"/>
              </w:rPr>
              <w:t xml:space="preserve">DCM via Railbird; also lists via CME and CDNA</w:t>
            </w:r>
          </w:p>
        </w:tc>
      </w:tr>
      <w:tr>
        <w:tc>
          <w:tcPr>
            <w:tcW w:type="dxa" w:w="21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bCs/>
                <w:sz w:val="18"/>
                <w:szCs w:val="18"/>
              </w:rPr>
              <w:t xml:space="preserve">Underdog / Aristotle</w:t>
            </w:r>
          </w:p>
        </w:tc>
        <w:tc>
          <w:tcPr>
            <w:tcW w:type="dxa" w:w="720"/>
            <w:tcBorders>
              <w:top w:val="single" w:color="BFBFBF" w:sz="1"/>
              <w:left w:val="single" w:color="BFBFBF" w:sz="1"/>
              <w:bottom w:val="single" w:color="BFBFBF" w:sz="1"/>
              <w:right w:val="single" w:color="BFBFBF" w:sz="1"/>
            </w:tcBorders>
            <w:shd w:fill="D9EAD3" w:val="clear"/>
            <w:tcMar>
              <w:top w:type="dxa" w:w="60"/>
              <w:left w:type="dxa" w:w="110"/>
              <w:bottom w:type="dxa" w:w="60"/>
              <w:right w:type="dxa" w:w="110"/>
            </w:tcMar>
            <w:vAlign w:val="center"/>
          </w:tcPr>
          <w:p>
            <w:pPr>
              <w:spacing w:after="0" w:line="240"/>
              <w:jc w:val="center"/>
            </w:pPr>
            <w:r>
              <w:rPr>
                <w:b/>
                <w:bCs/>
                <w:color w:val="000000"/>
                <w:sz w:val="18"/>
                <w:szCs w:val="18"/>
              </w:rPr>
              <w:t xml:space="preserve">Yes</w:t>
            </w:r>
          </w:p>
        </w:tc>
        <w:tc>
          <w:tcPr>
            <w:tcW w:type="dxa" w:w="7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center"/>
            </w:pPr>
            <w:r>
              <w:rPr>
                <w:b/>
                <w:bCs/>
                <w:color w:val="000000"/>
                <w:sz w:val="18"/>
                <w:szCs w:val="18"/>
              </w:rPr>
              <w:t xml:space="preserve">No</w:t>
            </w:r>
          </w:p>
        </w:tc>
        <w:tc>
          <w:tcPr>
            <w:tcW w:type="dxa" w:w="7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center"/>
            </w:pPr>
            <w:r>
              <w:rPr>
                <w:b/>
                <w:bCs/>
                <w:color w:val="000000"/>
                <w:sz w:val="18"/>
                <w:szCs w:val="18"/>
              </w:rPr>
              <w:t xml:space="preserve">No</w:t>
            </w:r>
          </w:p>
        </w:tc>
        <w:tc>
          <w:tcPr>
            <w:tcW w:type="dxa" w:w="50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333333"/>
                <w:sz w:val="18"/>
                <w:szCs w:val="18"/>
              </w:rPr>
              <w:t xml:space="preserve">DCM via Aristotle Exchange acquisition; previously routed via CDNA</w:t>
            </w:r>
          </w:p>
        </w:tc>
      </w:tr>
    </w:tbl>
    <w:p>
      <w:pPr>
        <w:spacing w:after="80" w:before="100"/>
      </w:pPr>
      <w:r>
        <w:rPr>
          <w:i/>
          <w:iCs/>
          <w:color w:val="5A5A5A"/>
          <w:sz w:val="16"/>
          <w:szCs w:val="16"/>
        </w:rPr>
        <w:t xml:space="preserve">Yes = registered / operational   ·   Building = announced or in progress   ·   Pending = filed, awaiting approval   ·   No = not held.</w:t>
      </w:r>
    </w:p>
    <w:p>
      <w:pPr>
        <w:spacing w:after="60"/>
      </w:pPr>
      <w:r>
        <w:rPr>
          <w:i/>
          <w:iCs/>
          <w:color w:val="5A5A5A"/>
          <w:sz w:val="16"/>
          <w:szCs w:val="16"/>
        </w:rPr>
        <w:t xml:space="preserve">Notes: Kalshi onboards retail directly because fully-collateralised event contracts are non-intermediated; its FCM (Kinetic Markets) supports institutional margin only. Schwab shows “No” across all three columns because its S&amp;P 500 binary is a securities option (Cboe / OCC), outside the CFTC event-contract stack. CME holds DCM + DCO but no retail FCM, so it is reached through third-party FCMs. Positions as of June 2026 and subject to pending CFTC rulemaking on intermediation and “retail DCO” status.</w:t>
      </w:r>
    </w:p>
    <w:p>
      <w:r>
        <w:rPr>
          <w:i/>
          <w:iCs/>
          <w:color w:val="5A5A5A"/>
          <w:sz w:val="16"/>
          <w:szCs w:val="16"/>
        </w:rPr>
        <w:t xml:space="preserve">Source: CFTC orders and filings; company press releases and investor disclosures; trade press. For discussion only; not investment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5A5A"/>
        <w:sz w:val="14"/>
        <w:szCs w:val="14"/>
      </w:rPr>
      <w:t xml:space="preserve">For discussion. Not investment advice. Positions as of June 2026.</w:t>
    </w:r>
    <w:r>
      <w:rPr>
        <w:color w:val="5A5A5A"/>
        <w:sz w:val="14"/>
        <w:szCs w:val="14"/>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color w:val="5A5A5A"/>
        <w:sz w:val="16"/>
        <w:szCs w:val="16"/>
      </w:rPr>
      <w:t xml:space="preserve">U.S. Event Contracts — Market Structure Primer</w:t>
    </w:r>
    <w:r>
      <w:rPr>
        <w:color w:val="5A5A5A"/>
        <w:sz w:val="16"/>
        <w:szCs w:val="16"/>
      </w:rPr>
      <w:t xml:space="preserve">	Thematic / Brokers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1F3864"/>
      <w:sz w:val="24"/>
      <w:szCs w:val="24"/>
    </w:rPr>
  </w:style>
  <w:style w:type="paragraph" w:styleId="Heading3">
    <w:name w:val="Heading 3"/>
    <w:basedOn w:val="Normal"/>
    <w:next w:val="Normal"/>
    <w:qFormat/>
    <w:pPr>
      <w:spacing w:after="80" w:before="160"/>
      <w:outlineLvl w:val="2"/>
    </w:pPr>
    <w:rPr>
      <w:rFonts w:ascii="Arial" w:cs="Arial" w:eastAsia="Arial" w:hAnsi="Arial"/>
      <w:b/>
      <w:bCs/>
      <w:color w:val="0000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Equity Research</dc:creator>
  <cp:lastModifiedBy>Un-named</cp:lastModifiedBy>
  <cp:revision>1</cp:revision>
  <dcterms:created xsi:type="dcterms:W3CDTF">2026-06-23T05:54:25.379Z</dcterms:created>
  <dcterms:modified xsi:type="dcterms:W3CDTF">2026-06-23T05:54:25.379Z</dcterms:modified>
</cp:coreProperties>
</file>

<file path=docProps/custom.xml><?xml version="1.0" encoding="utf-8"?>
<Properties xmlns="http://schemas.openxmlformats.org/officeDocument/2006/custom-properties" xmlns:vt="http://schemas.openxmlformats.org/officeDocument/2006/docPropsVTypes"/>
</file>