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853" w:type="dxa"/>
        <w:tblCellSpacing w:w="15" w:type="dxa"/>
        <w:tblBorders>
          <w:top w:val="single" w:sz="6" w:space="0" w:color="auto"/>
          <w:left w:val="single" w:sz="6" w:space="0" w:color="auto"/>
          <w:bottom w:val="single" w:sz="6"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886"/>
        <w:gridCol w:w="2378"/>
        <w:gridCol w:w="1398"/>
        <w:gridCol w:w="1463"/>
        <w:gridCol w:w="1266"/>
        <w:gridCol w:w="1516"/>
        <w:gridCol w:w="990"/>
        <w:gridCol w:w="2956"/>
      </w:tblGrid>
      <w:tr w:rsidR="002667B6" w:rsidRPr="002667B6" w:rsidTr="002667B6">
        <w:trPr>
          <w:trHeight w:val="916"/>
          <w:tblCellSpacing w:w="15" w:type="dxa"/>
        </w:trPr>
        <w:tc>
          <w:tcPr>
            <w:tcW w:w="1406" w:type="dxa"/>
            <w:tcBorders>
              <w:top w:val="nil"/>
              <w:left w:val="single" w:sz="6" w:space="0" w:color="DDDDDD"/>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bookmarkStart w:id="0" w:name="_GoBack"/>
            <w:bookmarkEnd w:id="0"/>
            <w:r w:rsidRPr="002667B6">
              <w:rPr>
                <w:rFonts w:ascii="Arial" w:eastAsia="Times New Roman" w:hAnsi="Arial" w:cs="Arial"/>
                <w:b/>
                <w:bCs/>
                <w:color w:val="666677"/>
                <w:sz w:val="18"/>
                <w:szCs w:val="18"/>
                <w:lang w:eastAsia="en-GB"/>
              </w:rPr>
              <w:t>Short name</w:t>
            </w:r>
          </w:p>
        </w:tc>
        <w:tc>
          <w:tcPr>
            <w:tcW w:w="2348" w:type="dxa"/>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Metric name</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Category</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Subcategory</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Type</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Unit</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Interval</w:t>
            </w:r>
          </w:p>
        </w:tc>
        <w:tc>
          <w:tcPr>
            <w:tcW w:w="0" w:type="auto"/>
            <w:tcBorders>
              <w:top w:val="nil"/>
              <w:left w:val="nil"/>
              <w:bottom w:val="nil"/>
              <w:right w:val="single" w:sz="6" w:space="0" w:color="DDDDDD"/>
            </w:tcBorders>
            <w:shd w:val="clear" w:color="auto" w:fill="F0EDF0"/>
            <w:tcMar>
              <w:top w:w="120" w:type="dxa"/>
              <w:left w:w="150" w:type="dxa"/>
              <w:bottom w:w="120" w:type="dxa"/>
              <w:right w:w="150" w:type="dxa"/>
            </w:tcMar>
            <w:vAlign w:val="center"/>
            <w:hideMark/>
          </w:tcPr>
          <w:p w:rsidR="002667B6" w:rsidRPr="002667B6" w:rsidRDefault="002667B6" w:rsidP="002667B6">
            <w:pPr>
              <w:spacing w:after="0" w:line="270" w:lineRule="atLeast"/>
              <w:rPr>
                <w:rFonts w:ascii="Arial" w:eastAsia="Times New Roman" w:hAnsi="Arial" w:cs="Arial"/>
                <w:b/>
                <w:bCs/>
                <w:color w:val="666677"/>
                <w:sz w:val="18"/>
                <w:szCs w:val="18"/>
                <w:lang w:eastAsia="en-GB"/>
              </w:rPr>
            </w:pPr>
            <w:r w:rsidRPr="002667B6">
              <w:rPr>
                <w:rFonts w:ascii="Arial" w:eastAsia="Times New Roman" w:hAnsi="Arial" w:cs="Arial"/>
                <w:b/>
                <w:bCs/>
                <w:color w:val="666677"/>
                <w:sz w:val="18"/>
                <w:szCs w:val="18"/>
                <w:lang w:eastAsia="en-GB"/>
              </w:rPr>
              <w:t>Definition</w:t>
            </w:r>
          </w:p>
        </w:tc>
      </w:tr>
      <w:tr w:rsidR="002667B6" w:rsidRPr="002667B6" w:rsidTr="002667B6">
        <w:trPr>
          <w:trHeight w:val="1717"/>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AdrActCnt</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Addresses, active, count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Addresses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Activity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Addresses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count of unique addresses that were active in the network (either as a recipient or originator of a ledger change) that day. All parties in a ledger change action (recipients and originators) are counted. Individual addresses are not double-counted if previously active.</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BlkCnt</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 count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Blockchain / ledger</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count of blocks created that day that were included in the main (base) chain.</w:t>
            </w:r>
          </w:p>
        </w:tc>
      </w:tr>
      <w:tr w:rsidR="002667B6" w:rsidRPr="002667B6" w:rsidTr="002667B6">
        <w:trPr>
          <w:trHeight w:val="64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BlkSizeMeanByte</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 size, mean, bytes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Blockchain / ledger</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Blocks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Bytes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mean size (in bytes) of all blocks created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CapMVRVCur</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Capitalization, MVRV, current 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 Capitalization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ratio of the sum USD value of the current supply to the sum "realized" USD value of the current supply.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CapMrktCurUSD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Capitalization, market, current supply,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 Capitalization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Product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 xml:space="preserve">The sum USD value of the current supply. Also referred to </w:t>
            </w:r>
            <w:r w:rsidRPr="002667B6">
              <w:rPr>
                <w:rFonts w:ascii="Arial" w:eastAsia="Times New Roman" w:hAnsi="Arial" w:cs="Arial"/>
                <w:color w:val="666677"/>
                <w:sz w:val="18"/>
                <w:szCs w:val="18"/>
                <w:lang w:eastAsia="en-GB"/>
              </w:rPr>
              <w:lastRenderedPageBreak/>
              <w:t>as network value or market capitalization.</w:t>
            </w:r>
          </w:p>
        </w:tc>
      </w:tr>
      <w:tr w:rsidR="002667B6" w:rsidRPr="002667B6" w:rsidTr="002667B6">
        <w:trPr>
          <w:trHeight w:val="64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CapRealUSD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Capitalization, realized,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 Capitalization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Product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USD value based on the USD closing price on the day that a native unit last moved (i.e., last transacted) for all native units.</w:t>
            </w:r>
          </w:p>
        </w:tc>
      </w:tr>
      <w:tr w:rsidR="002667B6" w:rsidRPr="002667B6" w:rsidTr="002667B6">
        <w:trPr>
          <w:trHeight w:val="2146"/>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DiffMean</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Difficulty, 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Mining</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Mining</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mean difficulty of finding a hash that meets the protocol-designated requirement (i.e., the difficulty of finding a new block) that day. The requirement is unique to each applicable cryptocurrency protocol. Difficulty is adjusted periodically by the protocol as a function of how much hashing power is being deployed by miners.</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FeeMeanUSD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transaction, mean,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and revenue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USD value of the mean fee per transaction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FeeMedUSD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transaction, median,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and revenue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Median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USD value of the median fee per transaction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FeeTotUSD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total,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 and revenue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Fees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USD value of all fees paid to miners that day. Fees do not include new issuance.</w:t>
            </w:r>
          </w:p>
        </w:tc>
      </w:tr>
      <w:tr w:rsidR="002667B6" w:rsidRPr="002667B6" w:rsidTr="002667B6">
        <w:trPr>
          <w:trHeight w:val="107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IssContNtv</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 continuous, 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of new native units issued that day. Only those native units that are issued by a protocol-mandated continuous emission schedule are included.</w:t>
            </w:r>
          </w:p>
        </w:tc>
      </w:tr>
      <w:tr w:rsidR="002667B6" w:rsidRPr="002667B6" w:rsidTr="002667B6">
        <w:trPr>
          <w:trHeight w:val="1287"/>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IssContPctAnn</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 continuous, percent, annualized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Percentage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year</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percentage of new native units (continuous) issued on that day, extrapolated to one year (i.e., multiplied by 365), and divided by the current supply on that day. Also referred to as the annual inflation rate.</w:t>
            </w:r>
          </w:p>
        </w:tc>
      </w:tr>
      <w:tr w:rsidR="002667B6" w:rsidRPr="002667B6" w:rsidTr="002667B6">
        <w:trPr>
          <w:trHeight w:val="429"/>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IssTotUSD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 total,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Issuance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USD value of all new native units issued that day.</w:t>
            </w:r>
          </w:p>
        </w:tc>
      </w:tr>
      <w:tr w:rsidR="002667B6" w:rsidRPr="002667B6" w:rsidTr="002667B6">
        <w:trPr>
          <w:trHeight w:val="64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NVTAdj</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NVT, adjusted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Valuation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Valuation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ratio of the network value (or market capitalization, current supply) divided by the adjusted transfer value. Also referred to as NVT.</w:t>
            </w:r>
          </w:p>
        </w:tc>
      </w:tr>
      <w:tr w:rsidR="002667B6" w:rsidRPr="002667B6" w:rsidTr="002667B6">
        <w:trPr>
          <w:trHeight w:val="1287"/>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NVTAdj90</w:t>
            </w:r>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NVT, adjusted, 90d MA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Valuation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Valuation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 xml:space="preserve">The ratio of the network value (or market capitalization, current supply) to the 90-day moving </w:t>
            </w:r>
            <w:r w:rsidRPr="002667B6">
              <w:rPr>
                <w:rFonts w:ascii="Arial" w:eastAsia="Times New Roman" w:hAnsi="Arial" w:cs="Arial"/>
                <w:color w:val="666677"/>
                <w:sz w:val="18"/>
                <w:szCs w:val="18"/>
                <w:lang w:eastAsia="en-GB"/>
              </w:rPr>
              <w:lastRenderedPageBreak/>
              <w:t>average of the adjusted transfer value. Also referred to as NVT.</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PriceBTC</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Price, BTC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Price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BTC</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fixed closing price of the asset as of 00:00 UTC the following day (i.e., midnight UTC of the current day) denominated in BTC.</w:t>
            </w:r>
          </w:p>
        </w:tc>
      </w:tr>
      <w:tr w:rsidR="002667B6" w:rsidRPr="002667B6" w:rsidTr="002667B6">
        <w:trPr>
          <w:trHeight w:val="107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PriceUSD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Price,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Price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fixed closing price of the asset as of 00:00 UTC the following day (i.e., midnight UTC of the current day) denominated in USD. This price is generated by Coin Metrics' fixing/reference rate service.</w:t>
            </w:r>
          </w:p>
        </w:tc>
      </w:tr>
      <w:tr w:rsidR="002667B6" w:rsidRPr="002667B6" w:rsidTr="002667B6">
        <w:trPr>
          <w:trHeight w:val="1287"/>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SplyCur</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Supply, current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Current supply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All time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of all native units ever created and visible on the ledger (i.e., issued) as of that day. For account-based protocols, only accounts with positive balances are counted.</w:t>
            </w:r>
          </w:p>
        </w:tc>
      </w:tr>
      <w:tr w:rsidR="002667B6" w:rsidRPr="002667B6" w:rsidTr="002667B6">
        <w:trPr>
          <w:trHeight w:val="2790"/>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TxCnt</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count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count of transactions that day. Transactions represent a bundle of intended actions to alter the ledger initiated by a user (human or machine). Transactions are counted whether they execute or not and whether they result in the transfer of native units or not (a transaction can result in no, one, or many transfers). Changes to the ledger mandated by the protocol (and not by a user) or post-launch new issuance issued by a founder or controlling entity are not included here.</w:t>
            </w:r>
          </w:p>
        </w:tc>
      </w:tr>
      <w:tr w:rsidR="002667B6" w:rsidRPr="002667B6" w:rsidTr="002667B6">
        <w:trPr>
          <w:trHeight w:val="1502"/>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count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count of transfers that day. Transfers represent movements of native units from one ledger entity to another distinct ledger entity. Only transfers that are the result of a transaction and that have a positive (non-zero) value are counted.</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TxTfrValAdjNtv</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adjusted, 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 xml:space="preserve">The sum of native units transferred that day removing noise and certain </w:t>
            </w:r>
            <w:proofErr w:type="spellStart"/>
            <w:r w:rsidRPr="002667B6">
              <w:rPr>
                <w:rFonts w:ascii="Arial" w:eastAsia="Times New Roman" w:hAnsi="Arial" w:cs="Arial"/>
                <w:color w:val="666677"/>
                <w:sz w:val="18"/>
                <w:szCs w:val="18"/>
                <w:lang w:eastAsia="en-GB"/>
              </w:rPr>
              <w:t>artifacts</w:t>
            </w:r>
            <w:proofErr w:type="spellEnd"/>
            <w:r w:rsidRPr="002667B6">
              <w:rPr>
                <w:rFonts w:ascii="Arial" w:eastAsia="Times New Roman" w:hAnsi="Arial" w:cs="Arial"/>
                <w:color w:val="666677"/>
                <w:sz w:val="18"/>
                <w:szCs w:val="18"/>
                <w:lang w:eastAsia="en-GB"/>
              </w:rPr>
              <w:t>.</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TxTfrValAdjUSD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adjusted,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 xml:space="preserve">The USD value of the sum of native units transferred that day removing noise and certain </w:t>
            </w:r>
            <w:proofErr w:type="spellStart"/>
            <w:r w:rsidRPr="002667B6">
              <w:rPr>
                <w:rFonts w:ascii="Arial" w:eastAsia="Times New Roman" w:hAnsi="Arial" w:cs="Arial"/>
                <w:color w:val="666677"/>
                <w:sz w:val="18"/>
                <w:szCs w:val="18"/>
                <w:lang w:eastAsia="en-GB"/>
              </w:rPr>
              <w:t>artifacts</w:t>
            </w:r>
            <w:proofErr w:type="spellEnd"/>
            <w:r w:rsidRPr="002667B6">
              <w:rPr>
                <w:rFonts w:ascii="Arial" w:eastAsia="Times New Roman" w:hAnsi="Arial" w:cs="Arial"/>
                <w:color w:val="666677"/>
                <w:sz w:val="18"/>
                <w:szCs w:val="18"/>
                <w:lang w:eastAsia="en-GB"/>
              </w:rPr>
              <w:t>.</w:t>
            </w:r>
          </w:p>
        </w:tc>
      </w:tr>
      <w:tr w:rsidR="002667B6" w:rsidRPr="002667B6" w:rsidTr="002667B6">
        <w:trPr>
          <w:trHeight w:val="64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TxTfrValMeanNtv</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mean, 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mean count of native units transferred per transaction (i.e., the mean "size" of a transaction)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TxTfrValMeanUSD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mean,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USD value of native units transferred divided by the count of transfers (i.e., the mean "size" in USD of a transfer)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TxTfrValMedNtv</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median, 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Median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median count of native units transferred per transfer (i.e., the median "size" of a transfer)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TxTfrValMedUSD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median,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Median</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median USD value transferred per transfer (i.e., the median "size" in USD of a transfer)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t>TxTfrValNtv</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Native units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of native units transferred (i.e., the aggregate "size" of all transfers) that day.</w:t>
            </w:r>
          </w:p>
        </w:tc>
      </w:tr>
      <w:tr w:rsidR="002667B6" w:rsidRPr="002667B6" w:rsidTr="002667B6">
        <w:trPr>
          <w:trHeight w:val="643"/>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proofErr w:type="spellStart"/>
            <w:r w:rsidRPr="002667B6">
              <w:rPr>
                <w:rFonts w:ascii="Arial" w:eastAsia="Times New Roman" w:hAnsi="Arial" w:cs="Arial"/>
                <w:color w:val="666677"/>
                <w:sz w:val="18"/>
                <w:szCs w:val="18"/>
                <w:lang w:eastAsia="en-GB"/>
              </w:rPr>
              <w:lastRenderedPageBreak/>
              <w:t>TxTfrValUSD</w:t>
            </w:r>
            <w:proofErr w:type="spellEnd"/>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 transfers, value, 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Transactions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Transfer value</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Sum</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USD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 day</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sum USD value of all native units transferred (i.e., the aggregate size in USD of all transfers) that day.</w:t>
            </w:r>
          </w:p>
        </w:tc>
      </w:tr>
      <w:tr w:rsidR="002667B6" w:rsidRPr="002667B6" w:rsidTr="002667B6">
        <w:trPr>
          <w:trHeight w:val="858"/>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VtyDayRet180d</w:t>
            </w:r>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Volatility, daily returns, 180d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Returns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180 days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180D volatility, measured as the deviation of log returns</w:t>
            </w:r>
          </w:p>
        </w:tc>
      </w:tr>
      <w:tr w:rsidR="002667B6" w:rsidRPr="002667B6" w:rsidTr="002667B6">
        <w:trPr>
          <w:trHeight w:val="429"/>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VtyDayRet30d</w:t>
            </w:r>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Volatility, daily returns, 30d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Returns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30 days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90D volatility, measured as the deviation of log returns</w:t>
            </w:r>
          </w:p>
        </w:tc>
      </w:tr>
      <w:tr w:rsidR="002667B6" w:rsidRPr="002667B6" w:rsidTr="002667B6">
        <w:trPr>
          <w:trHeight w:val="429"/>
          <w:tblCellSpacing w:w="15" w:type="dxa"/>
        </w:trPr>
        <w:tc>
          <w:tcPr>
            <w:tcW w:w="1406" w:type="dxa"/>
            <w:tcBorders>
              <w:top w:val="single" w:sz="6" w:space="0" w:color="DDDDDD"/>
              <w:left w:val="single" w:sz="6" w:space="0" w:color="DDDDDD"/>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VtyDayRet60d</w:t>
            </w:r>
          </w:p>
        </w:tc>
        <w:tc>
          <w:tcPr>
            <w:tcW w:w="2348" w:type="dxa"/>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Volatility, daily returns, 60d</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Market</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Returns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Ratio</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Dimensionless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60 days</w:t>
            </w:r>
          </w:p>
        </w:tc>
        <w:tc>
          <w:tcPr>
            <w:tcW w:w="0" w:type="auto"/>
            <w:tcBorders>
              <w:top w:val="single" w:sz="6" w:space="0" w:color="DDDDDD"/>
              <w:left w:val="nil"/>
              <w:bottom w:val="nil"/>
              <w:right w:val="single" w:sz="6" w:space="0" w:color="DDDDDD"/>
            </w:tcBorders>
            <w:shd w:val="clear" w:color="auto" w:fill="FFFFFF"/>
            <w:tcMar>
              <w:top w:w="120" w:type="dxa"/>
              <w:left w:w="150" w:type="dxa"/>
              <w:bottom w:w="120" w:type="dxa"/>
              <w:right w:w="150" w:type="dxa"/>
            </w:tcMar>
            <w:hideMark/>
          </w:tcPr>
          <w:p w:rsidR="002667B6" w:rsidRPr="002667B6" w:rsidRDefault="002667B6" w:rsidP="002667B6">
            <w:pPr>
              <w:spacing w:after="0" w:line="270" w:lineRule="atLeast"/>
              <w:rPr>
                <w:rFonts w:ascii="Arial" w:eastAsia="Times New Roman" w:hAnsi="Arial" w:cs="Arial"/>
                <w:color w:val="666677"/>
                <w:sz w:val="18"/>
                <w:szCs w:val="18"/>
                <w:lang w:eastAsia="en-GB"/>
              </w:rPr>
            </w:pPr>
            <w:r w:rsidRPr="002667B6">
              <w:rPr>
                <w:rFonts w:ascii="Arial" w:eastAsia="Times New Roman" w:hAnsi="Arial" w:cs="Arial"/>
                <w:color w:val="666677"/>
                <w:sz w:val="18"/>
                <w:szCs w:val="18"/>
                <w:lang w:eastAsia="en-GB"/>
              </w:rPr>
              <w:t>The 60D volatility, measured as the deviation of log returns</w:t>
            </w:r>
          </w:p>
        </w:tc>
      </w:tr>
    </w:tbl>
    <w:p w:rsidR="00AE3979" w:rsidRDefault="00AE3979"/>
    <w:sectPr w:rsidR="00AE3979" w:rsidSect="002667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B6"/>
    <w:rsid w:val="002667B6"/>
    <w:rsid w:val="00AE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B7170-A3A7-4AD0-8379-EA80082B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9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09BCC-90C9-44C1-BEC9-44CC9D4C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Junyi</dc:creator>
  <cp:keywords/>
  <dc:description/>
  <cp:lastModifiedBy>Hou, Junyi</cp:lastModifiedBy>
  <cp:revision>1</cp:revision>
  <dcterms:created xsi:type="dcterms:W3CDTF">2019-06-26T22:25:00Z</dcterms:created>
  <dcterms:modified xsi:type="dcterms:W3CDTF">2019-06-26T22:26:00Z</dcterms:modified>
</cp:coreProperties>
</file>