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D369C" w14:textId="77777777" w:rsidR="000B6302" w:rsidRDefault="000B6302"/>
    <w:sectPr w:rsidR="000B6302" w:rsidSect="00F707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A7"/>
    <w:rsid w:val="000B6302"/>
    <w:rsid w:val="00F70723"/>
    <w:rsid w:val="00F8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D4066"/>
  <w14:defaultImageDpi w14:val="32767"/>
  <w15:chartTrackingRefBased/>
  <w15:docId w15:val="{D499597B-47A8-1A45-B1E3-8F3A3701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Manas (Reuters)</dc:creator>
  <cp:keywords/>
  <dc:description/>
  <cp:lastModifiedBy>Sharma, Manas (Reuters)</cp:lastModifiedBy>
  <cp:revision>1</cp:revision>
  <dcterms:created xsi:type="dcterms:W3CDTF">2021-02-12T07:30:00Z</dcterms:created>
  <dcterms:modified xsi:type="dcterms:W3CDTF">2021-02-12T07:31:00Z</dcterms:modified>
</cp:coreProperties>
</file>