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5D0D52">
      <w:pPr>
        <w:spacing w:after="1920"/>
        <w:jc w:val="center"/>
        <w:rPr>
          <w:sz w:val="96"/>
          <w:szCs w:val="96"/>
        </w:rPr>
      </w:pPr>
    </w:p>
    <w:p w14:paraId="7FD4B450">
      <w:pPr>
        <w:jc w:val="center"/>
        <w:rPr>
          <w:sz w:val="96"/>
          <w:szCs w:val="96"/>
        </w:rPr>
      </w:pPr>
      <w:bookmarkStart w:id="23" w:name="_GoBack"/>
      <w:bookmarkEnd w:id="23"/>
    </w:p>
    <w:p w14:paraId="1E1663BD">
      <w:pPr>
        <w:spacing w:after="320"/>
        <w:jc w:val="center"/>
        <w:rPr>
          <w:rFonts w:ascii="微软雅黑" w:hAnsi="微软雅黑" w:eastAsia="微软雅黑" w:cs="微软雅黑"/>
          <w:b/>
          <w:sz w:val="52"/>
          <w:szCs w:val="52"/>
        </w:rPr>
      </w:pPr>
      <w:r>
        <w:rPr>
          <w:rFonts w:eastAsia="黑体"/>
          <w:b/>
          <w:sz w:val="36"/>
        </w:rPr>
        <w:t>《深度学习课程论文》</w:t>
      </w:r>
    </w:p>
    <w:p w14:paraId="5BFD1B1B">
      <w:pPr>
        <w:spacing w:after="720"/>
        <w:jc w:val="center"/>
        <w:rPr>
          <w:rFonts w:ascii="微软雅黑" w:hAnsi="微软雅黑" w:eastAsia="微软雅黑" w:cs="微软雅黑"/>
          <w:b/>
          <w:sz w:val="52"/>
          <w:szCs w:val="52"/>
        </w:rPr>
      </w:pPr>
      <w:r>
        <w:rPr>
          <w:rFonts w:eastAsia="黑体"/>
          <w:b/>
          <w:sz w:val="44"/>
        </w:rPr>
        <w:t>课程报告</w:t>
      </w:r>
    </w:p>
    <w:p w14:paraId="1805C5A9">
      <w:pPr>
        <w:spacing w:after="680"/>
        <w:ind w:firstLine="520" w:firstLineChars="200"/>
        <w:jc w:val="center"/>
        <w:rPr>
          <w:rFonts w:ascii="黑体" w:hAnsi="方正大标宋简体" w:eastAsia="黑体"/>
          <w:bCs/>
          <w:spacing w:val="44"/>
          <w:sz w:val="30"/>
          <w:szCs w:val="30"/>
          <w:u w:val="single"/>
        </w:rPr>
      </w:pPr>
      <w:r>
        <w:rPr>
          <w:sz w:val="26"/>
        </w:rPr>
        <w:t>报告题目    深度学习模型的发展历程与最新架构趋势调研</w:t>
      </w:r>
    </w:p>
    <w:p w14:paraId="307C989F">
      <w:pPr>
        <w:spacing w:after="540"/>
        <w:ind w:firstLine="480" w:firstLineChars="200"/>
        <w:jc w:val="center"/>
        <w:rPr>
          <w:rFonts w:ascii="黑体" w:hAnsi="方正大标宋简体" w:eastAsia="黑体"/>
          <w:bCs/>
          <w:spacing w:val="44"/>
          <w:sz w:val="30"/>
          <w:szCs w:val="30"/>
        </w:rPr>
      </w:pPr>
      <w:r>
        <w:rPr>
          <w:sz w:val="24"/>
        </w:rPr>
        <w:t>学院系别    学院</w:t>
      </w:r>
    </w:p>
    <w:p w14:paraId="36F7D664">
      <w:pPr>
        <w:spacing w:after="540"/>
        <w:ind w:firstLine="480" w:firstLineChars="200"/>
        <w:jc w:val="center"/>
        <w:rPr>
          <w:rFonts w:ascii="黑体" w:hAnsi="方正大标宋简体" w:eastAsia="黑体"/>
          <w:bCs/>
          <w:spacing w:val="44"/>
          <w:sz w:val="30"/>
          <w:szCs w:val="30"/>
        </w:rPr>
      </w:pPr>
      <w:r>
        <w:rPr>
          <w:sz w:val="24"/>
        </w:rPr>
        <w:t>专业名称    专业</w:t>
      </w:r>
    </w:p>
    <w:p w14:paraId="5CE890DE">
      <w:pPr>
        <w:spacing w:after="540"/>
        <w:ind w:firstLine="480" w:firstLineChars="200"/>
        <w:jc w:val="center"/>
        <w:rPr>
          <w:rFonts w:ascii="黑体" w:hAnsi="方正大标宋简体" w:eastAsia="黑体"/>
          <w:bCs/>
          <w:spacing w:val="44"/>
          <w:sz w:val="30"/>
          <w:szCs w:val="30"/>
          <w:u w:val="single"/>
        </w:rPr>
      </w:pPr>
      <w:r>
        <w:rPr>
          <w:sz w:val="24"/>
        </w:rPr>
        <w:t>学生姓名    学生</w:t>
      </w:r>
    </w:p>
    <w:p w14:paraId="610A8CFB">
      <w:pPr>
        <w:spacing w:after="540"/>
        <w:ind w:firstLine="480" w:firstLineChars="200"/>
        <w:jc w:val="center"/>
        <w:rPr>
          <w:rFonts w:ascii="黑体" w:hAnsi="方正大标宋简体" w:eastAsia="黑体"/>
          <w:bCs/>
          <w:spacing w:val="44"/>
          <w:sz w:val="30"/>
          <w:szCs w:val="30"/>
          <w:u w:val="single"/>
        </w:rPr>
      </w:pPr>
      <w:r>
        <w:rPr>
          <w:sz w:val="24"/>
        </w:rPr>
        <w:t>学生学号    学号</w:t>
      </w:r>
    </w:p>
    <w:p w14:paraId="6CCF6E72">
      <w:pPr>
        <w:spacing w:after="540"/>
        <w:ind w:firstLine="480" w:firstLineChars="200"/>
        <w:jc w:val="center"/>
        <w:rPr>
          <w:rFonts w:ascii="黑体" w:hAnsi="方正大标宋简体" w:eastAsia="黑体"/>
          <w:b/>
          <w:bCs/>
          <w:spacing w:val="44"/>
          <w:sz w:val="30"/>
          <w:szCs w:val="30"/>
          <w:u w:val="single"/>
        </w:rPr>
      </w:pPr>
      <w:r>
        <w:rPr>
          <w:sz w:val="24"/>
        </w:rPr>
        <w:t>任课教师    教师</w:t>
      </w:r>
    </w:p>
    <w:p w14:paraId="6CCCEF84">
      <w:pPr>
        <w:spacing w:before="960"/>
        <w:jc w:val="center"/>
        <w:rPr>
          <w:spacing w:val="-10"/>
          <w:sz w:val="28"/>
          <w:szCs w:val="28"/>
          <w:u w:val="single"/>
        </w:rPr>
      </w:pPr>
      <w:r>
        <w:rPr>
          <w:sz w:val="24"/>
        </w:rPr>
        <w:t>2026 年 6 月 9 日</w:t>
      </w:r>
    </w:p>
    <w:p w14:paraId="0D0D8E92">
      <w:r>
        <w:br w:type="page"/>
      </w:r>
    </w:p>
    <w:p w14:paraId="5C233501">
      <w:pPr>
        <w:spacing w:before="240" w:after="240"/>
        <w:jc w:val="center"/>
      </w:pPr>
      <w:r>
        <w:rPr>
          <w:rFonts w:eastAsia="黑体"/>
          <w:b/>
          <w:sz w:val="36"/>
        </w:rPr>
        <w:t>目 录</w:t>
      </w:r>
    </w:p>
    <w:p w14:paraId="7CF016A5">
      <w:pPr>
        <w:pStyle w:val="10"/>
        <w:rPr>
          <w:rFonts w:asciiTheme="minorHAnsi" w:hAnsiTheme="minorHAnsi" w:eastAsiaTheme="minorEastAsia" w:cstheme="minorBidi"/>
          <w:b w:val="0"/>
          <w14:ligatures w14:val="standardContextual"/>
        </w:rPr>
      </w:pPr>
      <w:r>
        <w:fldChar w:fldCharType="begin"/>
      </w:r>
      <w:r>
        <w:instrText xml:space="preserve">TOC \o "1-3" \h \z \u</w:instrText>
      </w:r>
      <w:r>
        <w:fldChar w:fldCharType="separate"/>
      </w:r>
      <w:r>
        <w:fldChar w:fldCharType="begin"/>
      </w:r>
      <w:r>
        <w:instrText xml:space="preserve"> HYPERLINK \l "_Toc231937640" </w:instrText>
      </w:r>
      <w:r>
        <w:fldChar w:fldCharType="separate"/>
      </w:r>
      <w:r>
        <w:rPr>
          <w:rStyle w:val="18"/>
        </w:rPr>
        <w:t>第一章 摘要</w:t>
      </w:r>
      <w:r>
        <w:tab/>
      </w:r>
      <w:r>
        <w:fldChar w:fldCharType="begin"/>
      </w:r>
      <w:r>
        <w:instrText xml:space="preserve"> PAGEREF _Toc231937640 \h </w:instrText>
      </w:r>
      <w:r>
        <w:fldChar w:fldCharType="separate"/>
      </w:r>
      <w:r>
        <w:t>3</w:t>
      </w:r>
      <w:r>
        <w:fldChar w:fldCharType="end"/>
      </w:r>
      <w:r>
        <w:fldChar w:fldCharType="end"/>
      </w:r>
    </w:p>
    <w:p w14:paraId="21A1BA3E">
      <w:pPr>
        <w:pStyle w:val="10"/>
        <w:rPr>
          <w:rFonts w:asciiTheme="minorHAnsi" w:hAnsiTheme="minorHAnsi" w:eastAsiaTheme="minorEastAsia" w:cstheme="minorBidi"/>
          <w:b w:val="0"/>
          <w14:ligatures w14:val="standardContextual"/>
        </w:rPr>
      </w:pPr>
      <w:r>
        <w:fldChar w:fldCharType="begin"/>
      </w:r>
      <w:r>
        <w:instrText xml:space="preserve"> HYPERLINK \l "_Toc231937641" </w:instrText>
      </w:r>
      <w:r>
        <w:fldChar w:fldCharType="separate"/>
      </w:r>
      <w:r>
        <w:rPr>
          <w:rStyle w:val="18"/>
        </w:rPr>
        <w:t>第二章 引言：为什么要从“架构史”理解深度学习</w:t>
      </w:r>
      <w:r>
        <w:tab/>
      </w:r>
      <w:r>
        <w:fldChar w:fldCharType="begin"/>
      </w:r>
      <w:r>
        <w:instrText xml:space="preserve"> PAGEREF _Toc231937641 \h </w:instrText>
      </w:r>
      <w:r>
        <w:fldChar w:fldCharType="separate"/>
      </w:r>
      <w:r>
        <w:t>3</w:t>
      </w:r>
      <w:r>
        <w:fldChar w:fldCharType="end"/>
      </w:r>
      <w:r>
        <w:fldChar w:fldCharType="end"/>
      </w:r>
    </w:p>
    <w:p w14:paraId="5472B191">
      <w:pPr>
        <w:pStyle w:val="10"/>
        <w:rPr>
          <w:rFonts w:asciiTheme="minorHAnsi" w:hAnsiTheme="minorHAnsi" w:eastAsiaTheme="minorEastAsia" w:cstheme="minorBidi"/>
          <w:b w:val="0"/>
          <w14:ligatures w14:val="standardContextual"/>
        </w:rPr>
      </w:pPr>
      <w:r>
        <w:fldChar w:fldCharType="begin"/>
      </w:r>
      <w:r>
        <w:instrText xml:space="preserve"> HYPERLINK \l "_Toc231937642" </w:instrText>
      </w:r>
      <w:r>
        <w:fldChar w:fldCharType="separate"/>
      </w:r>
      <w:r>
        <w:rPr>
          <w:rStyle w:val="18"/>
        </w:rPr>
        <w:t>第三章 深度学习模型的发展历程</w:t>
      </w:r>
      <w:r>
        <w:tab/>
      </w:r>
      <w:r>
        <w:fldChar w:fldCharType="begin"/>
      </w:r>
      <w:r>
        <w:instrText xml:space="preserve"> PAGEREF _Toc231937642 \h </w:instrText>
      </w:r>
      <w:r>
        <w:fldChar w:fldCharType="separate"/>
      </w:r>
      <w:r>
        <w:t>4</w:t>
      </w:r>
      <w:r>
        <w:fldChar w:fldCharType="end"/>
      </w:r>
      <w:r>
        <w:fldChar w:fldCharType="end"/>
      </w:r>
    </w:p>
    <w:p w14:paraId="4F12E7BC">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"_Toc231937643" </w:instrText>
      </w:r>
      <w:r>
        <w:fldChar w:fldCharType="separate"/>
      </w:r>
      <w:r>
        <w:rPr>
          <w:rStyle w:val="18"/>
        </w:rPr>
        <w:t>3.1 早期神经网络：从感知机到反向传播</w:t>
      </w:r>
      <w:r>
        <w:tab/>
      </w:r>
      <w:r>
        <w:fldChar w:fldCharType="begin"/>
      </w:r>
      <w:r>
        <w:instrText xml:space="preserve"> PAGEREF _Toc231937643 \h </w:instrText>
      </w:r>
      <w:r>
        <w:fldChar w:fldCharType="separate"/>
      </w:r>
      <w:r>
        <w:t>4</w:t>
      </w:r>
      <w:r>
        <w:fldChar w:fldCharType="end"/>
      </w:r>
      <w:r>
        <w:fldChar w:fldCharType="end"/>
      </w:r>
    </w:p>
    <w:p w14:paraId="2350EBE5">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"_Toc231937644" </w:instrText>
      </w:r>
      <w:r>
        <w:fldChar w:fldCharType="separate"/>
      </w:r>
      <w:r>
        <w:rPr>
          <w:rStyle w:val="18"/>
        </w:rPr>
        <w:t>3.2 CNN 与视觉突破：从手工特征到端到端表示</w:t>
      </w:r>
      <w:r>
        <w:tab/>
      </w:r>
      <w:r>
        <w:fldChar w:fldCharType="begin"/>
      </w:r>
      <w:r>
        <w:instrText xml:space="preserve"> PAGEREF _Toc231937644 \h </w:instrText>
      </w:r>
      <w:r>
        <w:fldChar w:fldCharType="separate"/>
      </w:r>
      <w:r>
        <w:t>4</w:t>
      </w:r>
      <w:r>
        <w:fldChar w:fldCharType="end"/>
      </w:r>
      <w:r>
        <w:fldChar w:fldCharType="end"/>
      </w:r>
    </w:p>
    <w:p w14:paraId="72766670">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"_Toc231937645" </w:instrText>
      </w:r>
      <w:r>
        <w:fldChar w:fldCharType="separate"/>
      </w:r>
      <w:r>
        <w:rPr>
          <w:rStyle w:val="18"/>
        </w:rPr>
        <w:t>3.3 RNN/LSTM 与序列建模：记忆问题的早期答案</w:t>
      </w:r>
      <w:r>
        <w:tab/>
      </w:r>
      <w:r>
        <w:fldChar w:fldCharType="begin"/>
      </w:r>
      <w:r>
        <w:instrText xml:space="preserve"> PAGEREF _Toc231937645 \h </w:instrText>
      </w:r>
      <w:r>
        <w:fldChar w:fldCharType="separate"/>
      </w:r>
      <w:r>
        <w:t>5</w:t>
      </w:r>
      <w:r>
        <w:fldChar w:fldCharType="end"/>
      </w:r>
      <w:r>
        <w:fldChar w:fldCharType="end"/>
      </w:r>
    </w:p>
    <w:p w14:paraId="4344C402">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"_Toc231937646" </w:instrText>
      </w:r>
      <w:r>
        <w:fldChar w:fldCharType="separate"/>
      </w:r>
      <w:r>
        <w:rPr>
          <w:rStyle w:val="18"/>
        </w:rPr>
        <w:t>3.4 生成模型：GAN、扩散模型与从识别到生成的转向</w:t>
      </w:r>
      <w:r>
        <w:tab/>
      </w:r>
      <w:r>
        <w:fldChar w:fldCharType="begin"/>
      </w:r>
      <w:r>
        <w:instrText xml:space="preserve"> PAGEREF _Toc231937646 \h </w:instrText>
      </w:r>
      <w:r>
        <w:fldChar w:fldCharType="separate"/>
      </w:r>
      <w:r>
        <w:t>5</w:t>
      </w:r>
      <w:r>
        <w:fldChar w:fldCharType="end"/>
      </w:r>
      <w:r>
        <w:fldChar w:fldCharType="end"/>
      </w:r>
    </w:p>
    <w:p w14:paraId="40205B2A">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"_Toc231937647" </w:instrText>
      </w:r>
      <w:r>
        <w:fldChar w:fldCharType="separate"/>
      </w:r>
      <w:r>
        <w:rPr>
          <w:rStyle w:val="18"/>
        </w:rPr>
        <w:t>3.5 Transformer 与基础模型时代</w:t>
      </w:r>
      <w:r>
        <w:tab/>
      </w:r>
      <w:r>
        <w:fldChar w:fldCharType="begin"/>
      </w:r>
      <w:r>
        <w:instrText xml:space="preserve"> PAGEREF _Toc231937647 \h </w:instrText>
      </w:r>
      <w:r>
        <w:fldChar w:fldCharType="separate"/>
      </w:r>
      <w:r>
        <w:t>5</w:t>
      </w:r>
      <w:r>
        <w:fldChar w:fldCharType="end"/>
      </w:r>
      <w:r>
        <w:fldChar w:fldCharType="end"/>
      </w:r>
    </w:p>
    <w:p w14:paraId="34563D50">
      <w:pPr>
        <w:pStyle w:val="10"/>
        <w:rPr>
          <w:rFonts w:asciiTheme="minorHAnsi" w:hAnsiTheme="minorHAnsi" w:eastAsiaTheme="minorEastAsia" w:cstheme="minorBidi"/>
          <w:b w:val="0"/>
          <w14:ligatures w14:val="standardContextual"/>
        </w:rPr>
      </w:pPr>
      <w:r>
        <w:fldChar w:fldCharType="begin"/>
      </w:r>
      <w:r>
        <w:instrText xml:space="preserve"> HYPERLINK \l "_Toc231937648" </w:instrText>
      </w:r>
      <w:r>
        <w:fldChar w:fldCharType="separate"/>
      </w:r>
      <w:r>
        <w:rPr>
          <w:rStyle w:val="18"/>
        </w:rPr>
        <w:t>第四章 目前最新公开深度学习模型架构</w:t>
      </w:r>
      <w:r>
        <w:tab/>
      </w:r>
      <w:r>
        <w:fldChar w:fldCharType="begin"/>
      </w:r>
      <w:r>
        <w:instrText xml:space="preserve"> PAGEREF _Toc231937648 \h </w:instrText>
      </w:r>
      <w:r>
        <w:fldChar w:fldCharType="separate"/>
      </w:r>
      <w:r>
        <w:t>6</w:t>
      </w:r>
      <w:r>
        <w:fldChar w:fldCharType="end"/>
      </w:r>
      <w:r>
        <w:fldChar w:fldCharType="end"/>
      </w:r>
    </w:p>
    <w:p w14:paraId="6B7B04D8">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"_Toc231937649" </w:instrText>
      </w:r>
      <w:r>
        <w:fldChar w:fldCharType="separate"/>
      </w:r>
      <w:r>
        <w:rPr>
          <w:rStyle w:val="18"/>
        </w:rPr>
        <w:t>4.1 Transformer 仍是主干，但不再是唯一答案</w:t>
      </w:r>
      <w:r>
        <w:tab/>
      </w:r>
      <w:r>
        <w:fldChar w:fldCharType="begin"/>
      </w:r>
      <w:r>
        <w:instrText xml:space="preserve"> PAGEREF _Toc231937649 \h </w:instrText>
      </w:r>
      <w:r>
        <w:fldChar w:fldCharType="separate"/>
      </w:r>
      <w:r>
        <w:t>6</w:t>
      </w:r>
      <w:r>
        <w:fldChar w:fldCharType="end"/>
      </w:r>
      <w:r>
        <w:fldChar w:fldCharType="end"/>
      </w:r>
    </w:p>
    <w:p w14:paraId="6975CA0D">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"_Toc231937650" </w:instrText>
      </w:r>
      <w:r>
        <w:fldChar w:fldCharType="separate"/>
      </w:r>
      <w:r>
        <w:rPr>
          <w:rStyle w:val="18"/>
        </w:rPr>
        <w:t>4.2 稀疏 Mixture-of-Experts：从参数规模转向条件计算</w:t>
      </w:r>
      <w:r>
        <w:tab/>
      </w:r>
      <w:r>
        <w:fldChar w:fldCharType="begin"/>
      </w:r>
      <w:r>
        <w:instrText xml:space="preserve"> PAGEREF _Toc231937650 \h </w:instrText>
      </w:r>
      <w:r>
        <w:fldChar w:fldCharType="separate"/>
      </w:r>
      <w:r>
        <w:t>7</w:t>
      </w:r>
      <w:r>
        <w:fldChar w:fldCharType="end"/>
      </w:r>
      <w:r>
        <w:fldChar w:fldCharType="end"/>
      </w:r>
    </w:p>
    <w:p w14:paraId="66D55107">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"_Toc231937651" </w:instrText>
      </w:r>
      <w:r>
        <w:fldChar w:fldCharType="separate"/>
      </w:r>
      <w:r>
        <w:rPr>
          <w:rStyle w:val="18"/>
        </w:rPr>
        <w:t>4.3 MLA 与系统协同：注意力机制开始服务部署约束</w:t>
      </w:r>
      <w:r>
        <w:tab/>
      </w:r>
      <w:r>
        <w:fldChar w:fldCharType="begin"/>
      </w:r>
      <w:r>
        <w:instrText xml:space="preserve"> PAGEREF _Toc231937651 \h </w:instrText>
      </w:r>
      <w:r>
        <w:fldChar w:fldCharType="separate"/>
      </w:r>
      <w:r>
        <w:t>7</w:t>
      </w:r>
      <w:r>
        <w:fldChar w:fldCharType="end"/>
      </w:r>
      <w:r>
        <w:fldChar w:fldCharType="end"/>
      </w:r>
    </w:p>
    <w:p w14:paraId="2092607F">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"_Toc231937652" </w:instrText>
      </w:r>
      <w:r>
        <w:fldChar w:fldCharType="separate"/>
      </w:r>
      <w:r>
        <w:rPr>
          <w:rStyle w:val="18"/>
        </w:rPr>
        <w:t>4.4 状态空间模型与 Mamba：长序列效率的新路线</w:t>
      </w:r>
      <w:r>
        <w:tab/>
      </w:r>
      <w:r>
        <w:fldChar w:fldCharType="begin"/>
      </w:r>
      <w:r>
        <w:instrText xml:space="preserve"> PAGEREF _Toc231937652 \h </w:instrText>
      </w:r>
      <w:r>
        <w:fldChar w:fldCharType="separate"/>
      </w:r>
      <w:r>
        <w:t>7</w:t>
      </w:r>
      <w:r>
        <w:fldChar w:fldCharType="end"/>
      </w:r>
      <w:r>
        <w:fldChar w:fldCharType="end"/>
      </w:r>
    </w:p>
    <w:p w14:paraId="2A8CB1A5">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"_Toc231937653" </w:instrText>
      </w:r>
      <w:r>
        <w:fldChar w:fldCharType="separate"/>
      </w:r>
      <w:r>
        <w:rPr>
          <w:rStyle w:val="18"/>
        </w:rPr>
        <w:t>4.5 Diffusion Transformer 与多模态统一</w:t>
      </w:r>
      <w:r>
        <w:tab/>
      </w:r>
      <w:r>
        <w:fldChar w:fldCharType="begin"/>
      </w:r>
      <w:r>
        <w:instrText xml:space="preserve"> PAGEREF _Toc231937653 \h </w:instrText>
      </w:r>
      <w:r>
        <w:fldChar w:fldCharType="separate"/>
      </w:r>
      <w:r>
        <w:t>8</w:t>
      </w:r>
      <w:r>
        <w:fldChar w:fldCharType="end"/>
      </w:r>
      <w:r>
        <w:fldChar w:fldCharType="end"/>
      </w:r>
    </w:p>
    <w:p w14:paraId="7287C1AF">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"_Toc231937654" </w:instrText>
      </w:r>
      <w:r>
        <w:fldChar w:fldCharType="separate"/>
      </w:r>
      <w:r>
        <w:rPr>
          <w:rStyle w:val="18"/>
        </w:rPr>
        <w:t>4.6 Titans、ATLAS 与测试时记忆：模型能否在推理时持续学习</w:t>
      </w:r>
      <w:r>
        <w:tab/>
      </w:r>
      <w:r>
        <w:fldChar w:fldCharType="begin"/>
      </w:r>
      <w:r>
        <w:instrText xml:space="preserve"> PAGEREF _Toc231937654 \h </w:instrText>
      </w:r>
      <w:r>
        <w:fldChar w:fldCharType="separate"/>
      </w:r>
      <w:r>
        <w:t>8</w:t>
      </w:r>
      <w:r>
        <w:fldChar w:fldCharType="end"/>
      </w:r>
      <w:r>
        <w:fldChar w:fldCharType="end"/>
      </w:r>
    </w:p>
    <w:p w14:paraId="5D1E3FFF">
      <w:pPr>
        <w:pStyle w:val="10"/>
        <w:rPr>
          <w:rFonts w:asciiTheme="minorHAnsi" w:hAnsiTheme="minorHAnsi" w:eastAsiaTheme="minorEastAsia" w:cstheme="minorBidi"/>
          <w:b w:val="0"/>
          <w14:ligatures w14:val="standardContextual"/>
        </w:rPr>
      </w:pPr>
      <w:r>
        <w:fldChar w:fldCharType="begin"/>
      </w:r>
      <w:r>
        <w:instrText xml:space="preserve"> HYPERLINK \l "_Toc231937655" </w:instrText>
      </w:r>
      <w:r>
        <w:fldChar w:fldCharType="separate"/>
      </w:r>
      <w:r>
        <w:rPr>
          <w:rStyle w:val="18"/>
        </w:rPr>
        <w:t>第五章 个人思考：深度学习未来发展的方向</w:t>
      </w:r>
      <w:r>
        <w:tab/>
      </w:r>
      <w:r>
        <w:fldChar w:fldCharType="begin"/>
      </w:r>
      <w:r>
        <w:instrText xml:space="preserve"> PAGEREF _Toc231937655 \h </w:instrText>
      </w:r>
      <w:r>
        <w:fldChar w:fldCharType="separate"/>
      </w:r>
      <w:r>
        <w:t>9</w:t>
      </w:r>
      <w:r>
        <w:fldChar w:fldCharType="end"/>
      </w:r>
      <w:r>
        <w:fldChar w:fldCharType="end"/>
      </w:r>
    </w:p>
    <w:p w14:paraId="6C8A095A">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"_Toc231937656" </w:instrText>
      </w:r>
      <w:r>
        <w:fldChar w:fldCharType="separate"/>
      </w:r>
      <w:r>
        <w:rPr>
          <w:rStyle w:val="18"/>
        </w:rPr>
        <w:t>5.1 第一，规模化仍重要，但“有效计算”比“总参数”更重要</w:t>
      </w:r>
      <w:r>
        <w:tab/>
      </w:r>
      <w:r>
        <w:fldChar w:fldCharType="begin"/>
      </w:r>
      <w:r>
        <w:instrText xml:space="preserve"> PAGEREF _Toc231937656 \h </w:instrText>
      </w:r>
      <w:r>
        <w:fldChar w:fldCharType="separate"/>
      </w:r>
      <w:r>
        <w:t>9</w:t>
      </w:r>
      <w:r>
        <w:fldChar w:fldCharType="end"/>
      </w:r>
      <w:r>
        <w:fldChar w:fldCharType="end"/>
      </w:r>
    </w:p>
    <w:p w14:paraId="0695BB3C">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"_Toc231937657" </w:instrText>
      </w:r>
      <w:r>
        <w:fldChar w:fldCharType="separate"/>
      </w:r>
      <w:r>
        <w:rPr>
          <w:rStyle w:val="18"/>
        </w:rPr>
        <w:t>5.2 第二，模型会从静态函数走向带记忆的任务系统</w:t>
      </w:r>
      <w:r>
        <w:tab/>
      </w:r>
      <w:r>
        <w:fldChar w:fldCharType="begin"/>
      </w:r>
      <w:r>
        <w:instrText xml:space="preserve"> PAGEREF _Toc231937657 \h </w:instrText>
      </w:r>
      <w:r>
        <w:fldChar w:fldCharType="separate"/>
      </w:r>
      <w:r>
        <w:t>10</w:t>
      </w:r>
      <w:r>
        <w:fldChar w:fldCharType="end"/>
      </w:r>
      <w:r>
        <w:fldChar w:fldCharType="end"/>
      </w:r>
    </w:p>
    <w:p w14:paraId="393C91E3">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"_Toc231937658" </w:instrText>
      </w:r>
      <w:r>
        <w:fldChar w:fldCharType="separate"/>
      </w:r>
      <w:r>
        <w:rPr>
          <w:rStyle w:val="18"/>
        </w:rPr>
        <w:t>5.3 第三，多模态统一会继续推进，但专用归纳偏置不会消失</w:t>
      </w:r>
      <w:r>
        <w:tab/>
      </w:r>
      <w:r>
        <w:fldChar w:fldCharType="begin"/>
      </w:r>
      <w:r>
        <w:instrText xml:space="preserve"> PAGEREF _Toc231937658 \h </w:instrText>
      </w:r>
      <w:r>
        <w:fldChar w:fldCharType="separate"/>
      </w:r>
      <w:r>
        <w:t>10</w:t>
      </w:r>
      <w:r>
        <w:fldChar w:fldCharType="end"/>
      </w:r>
      <w:r>
        <w:fldChar w:fldCharType="end"/>
      </w:r>
    </w:p>
    <w:p w14:paraId="63B587EE">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"_Toc231937659" </w:instrText>
      </w:r>
      <w:r>
        <w:fldChar w:fldCharType="separate"/>
      </w:r>
      <w:r>
        <w:rPr>
          <w:rStyle w:val="18"/>
        </w:rPr>
        <w:t>5.4 第四，可信、可验证和可解释会成为架构指标</w:t>
      </w:r>
      <w:r>
        <w:tab/>
      </w:r>
      <w:r>
        <w:fldChar w:fldCharType="begin"/>
      </w:r>
      <w:r>
        <w:instrText xml:space="preserve"> PAGEREF _Toc231937659 \h </w:instrText>
      </w:r>
      <w:r>
        <w:fldChar w:fldCharType="separate"/>
      </w:r>
      <w:r>
        <w:t>10</w:t>
      </w:r>
      <w:r>
        <w:fldChar w:fldCharType="end"/>
      </w:r>
      <w:r>
        <w:fldChar w:fldCharType="end"/>
      </w:r>
    </w:p>
    <w:p w14:paraId="462CA6D4">
      <w:pPr>
        <w:pStyle w:val="12"/>
        <w:ind w:left="420"/>
        <w:rPr>
          <w:rFonts w:asciiTheme="minorHAnsi" w:hAnsiTheme="minorHAnsi" w:eastAsiaTheme="minorEastAsia" w:cstheme="minorBidi"/>
          <w:sz w:val="22"/>
          <w14:ligatures w14:val="standardContextual"/>
        </w:rPr>
      </w:pPr>
      <w:r>
        <w:fldChar w:fldCharType="begin"/>
      </w:r>
      <w:r>
        <w:instrText xml:space="preserve"> HYPERLINK \l "_Toc231937660" </w:instrText>
      </w:r>
      <w:r>
        <w:fldChar w:fldCharType="separate"/>
      </w:r>
      <w:r>
        <w:rPr>
          <w:rStyle w:val="18"/>
        </w:rPr>
        <w:t>5.5 第五，开源与标准化基准会影响架构方向</w:t>
      </w:r>
      <w:r>
        <w:tab/>
      </w:r>
      <w:r>
        <w:fldChar w:fldCharType="begin"/>
      </w:r>
      <w:r>
        <w:instrText xml:space="preserve"> PAGEREF _Toc231937660 \h </w:instrText>
      </w:r>
      <w:r>
        <w:fldChar w:fldCharType="separate"/>
      </w:r>
      <w:r>
        <w:t>10</w:t>
      </w:r>
      <w:r>
        <w:fldChar w:fldCharType="end"/>
      </w:r>
      <w:r>
        <w:fldChar w:fldCharType="end"/>
      </w:r>
    </w:p>
    <w:p w14:paraId="3A08E609">
      <w:pPr>
        <w:pStyle w:val="10"/>
        <w:rPr>
          <w:rFonts w:asciiTheme="minorHAnsi" w:hAnsiTheme="minorHAnsi" w:eastAsiaTheme="minorEastAsia" w:cstheme="minorBidi"/>
          <w:b w:val="0"/>
          <w14:ligatures w14:val="standardContextual"/>
        </w:rPr>
      </w:pPr>
      <w:r>
        <w:fldChar w:fldCharType="begin"/>
      </w:r>
      <w:r>
        <w:instrText xml:space="preserve"> HYPERLINK \l "_Toc231937661" </w:instrText>
      </w:r>
      <w:r>
        <w:fldChar w:fldCharType="separate"/>
      </w:r>
      <w:r>
        <w:rPr>
          <w:rStyle w:val="18"/>
        </w:rPr>
        <w:t>第六章 结论</w:t>
      </w:r>
      <w:r>
        <w:tab/>
      </w:r>
      <w:r>
        <w:fldChar w:fldCharType="begin"/>
      </w:r>
      <w:r>
        <w:instrText xml:space="preserve"> PAGEREF _Toc231937661 \h </w:instrText>
      </w:r>
      <w:r>
        <w:fldChar w:fldCharType="separate"/>
      </w:r>
      <w:r>
        <w:t>11</w:t>
      </w:r>
      <w:r>
        <w:fldChar w:fldCharType="end"/>
      </w:r>
      <w:r>
        <w:fldChar w:fldCharType="end"/>
      </w:r>
    </w:p>
    <w:p w14:paraId="026DCB01">
      <w:pPr>
        <w:pStyle w:val="10"/>
        <w:rPr>
          <w:rFonts w:asciiTheme="minorHAnsi" w:hAnsiTheme="minorHAnsi" w:eastAsiaTheme="minorEastAsia" w:cstheme="minorBidi"/>
          <w:b w:val="0"/>
          <w14:ligatures w14:val="standardContextual"/>
        </w:rPr>
      </w:pPr>
      <w:r>
        <w:fldChar w:fldCharType="begin"/>
      </w:r>
      <w:r>
        <w:instrText xml:space="preserve"> HYPERLINK \l "_Toc231937662" </w:instrText>
      </w:r>
      <w:r>
        <w:fldChar w:fldCharType="separate"/>
      </w:r>
      <w:r>
        <w:rPr>
          <w:rStyle w:val="18"/>
        </w:rPr>
        <w:t>参考文献</w:t>
      </w:r>
      <w:r>
        <w:tab/>
      </w:r>
      <w:r>
        <w:fldChar w:fldCharType="begin"/>
      </w:r>
      <w:r>
        <w:instrText xml:space="preserve"> PAGEREF _Toc231937662 \h </w:instrText>
      </w:r>
      <w:r>
        <w:fldChar w:fldCharType="separate"/>
      </w:r>
      <w:r>
        <w:t>13</w:t>
      </w:r>
      <w:r>
        <w:fldChar w:fldCharType="end"/>
      </w:r>
      <w:r>
        <w:fldChar w:fldCharType="end"/>
      </w:r>
    </w:p>
    <w:p w14:paraId="4DB54985">
      <w:pPr>
        <w:spacing w:after="160"/>
      </w:pPr>
      <w:r>
        <w:fldChar w:fldCharType="end"/>
      </w:r>
    </w:p>
    <w:p w14:paraId="3ED24B35">
      <w:r>
        <w:br w:type="page"/>
      </w:r>
    </w:p>
    <w:p w14:paraId="249C0C91">
      <w:pPr>
        <w:pStyle w:val="2"/>
        <w:spacing w:before="240" w:after="120"/>
        <w:jc w:val="center"/>
      </w:pPr>
      <w:bookmarkStart w:id="0" w:name="_Toc231937640"/>
      <w:r>
        <w:t>第一章 摘要</w:t>
      </w:r>
      <w:bookmarkEnd w:id="0"/>
    </w:p>
    <w:p w14:paraId="119AE820">
      <w:pPr>
        <w:spacing w:after="120" w:line="300" w:lineRule="auto"/>
        <w:ind w:firstLine="420"/>
      </w:pPr>
      <w:r>
        <w:t>深度学习的发展并不是某一个模型突然取代另一个模型，而是训练算法、数据规模、硬件算力和网络结构共同推进的结果。本文围绕“深度学习模型的发展历程”和“目前最新公开架构趋势”展开调研：先回顾从感知机、反向传播、CNN、RNN/LSTM、ResNet 到 Transformer 的主线，再分析生成式模型、视觉 Transformer、扩散模型和大语言模型如何把深度学习推向基础模型时代。进一步地，本文重点讨论截至 2026 年 6 月 9 日仍有公开资料可验证的前沿架构，包括稀疏 Mixture-of-Experts、Multi-head Latent Attention、选择性状态空间模型 Mamba/Mamba-2、Transformer-Mamba 混合架构、Diffusion Transformer，以及测试时记忆模型 Titans/ATLAS。本文的个人判断是：未来深度学习的核心问题会从“继续扩大参数量”转向“在可验证、可部署、可持续的成本下获得更长上下文、更强推理、更低能耗和更可靠行为”。</w:t>
      </w:r>
    </w:p>
    <w:p w14:paraId="7EC7D81B">
      <w:pPr>
        <w:pStyle w:val="2"/>
        <w:spacing w:before="240" w:after="120"/>
        <w:jc w:val="center"/>
      </w:pPr>
      <w:bookmarkStart w:id="1" w:name="_Toc231937641"/>
      <w:r>
        <w:t>第二章 引言：为什么要从“架构史”理解深度学习</w:t>
      </w:r>
      <w:bookmarkEnd w:id="1"/>
    </w:p>
    <w:p w14:paraId="53BA84C2">
      <w:pPr>
        <w:spacing w:after="120" w:line="300" w:lineRule="auto"/>
        <w:ind w:firstLine="420"/>
      </w:pPr>
      <w:r>
        <w:t>深度学习常被简化为“堆更多层、用更多数据、训练更大模型”。这种理解并不完全错误，但它忽略了一个关键事实：每一次真正重要的突破，都解决了当时某个瓶颈。反向传播解决了多层网络如何训练的问题；CNN 利用局部连接和权值共享降低了图像建模难度；LSTM 试图解决长序列中的梯度消失；ResNet 解决了深层网络退化和优化困难；Transformer 则把序列建模变成高度并行的注意力计算。换句话说，架构史不是模型名称清单，而是一连串“瓶颈—结构—能力边界”的演化。</w:t>
      </w:r>
    </w:p>
    <w:p w14:paraId="3583F78B">
      <w:pPr>
        <w:spacing w:after="120" w:line="300" w:lineRule="auto"/>
        <w:ind w:firstLine="420"/>
      </w:pPr>
      <w:r>
        <w:t>本文采用公开可追踪资料作为事实依据。对于 GPT、Gemini、Claude 等闭源前沿系统，公开信息往往只披露能力、接口或安全策略，而不完整披露训练细节和模型结构。因此本文把“最新架构”限定为截至 2026 年 6 月 9 日能够通过论文、官方技术报告、开源仓库或标准化基准说明进行核验的架构趋势。这个边界很重要：课程报告应避免把社交媒体猜测写成事实，也应把“个人推断”和“已公开证据”分开。</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0"/>
        <w:gridCol w:w="2910"/>
        <w:gridCol w:w="2910"/>
      </w:tblGrid>
      <w:tr w14:paraId="31A3D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10" w:type="dxa"/>
            <w:shd w:val="clear" w:color="auto" w:fill="D9EAF7"/>
            <w:vAlign w:val="center"/>
          </w:tcPr>
          <w:p w14:paraId="22BC6D02">
            <w:pPr>
              <w:jc w:val="center"/>
            </w:pPr>
            <w:r>
              <w:rPr>
                <w:b/>
              </w:rPr>
              <w:t>内容类型</w:t>
            </w:r>
          </w:p>
        </w:tc>
        <w:tc>
          <w:tcPr>
            <w:tcW w:w="2910" w:type="dxa"/>
            <w:shd w:val="clear" w:color="auto" w:fill="D9EAF7"/>
            <w:vAlign w:val="center"/>
          </w:tcPr>
          <w:p w14:paraId="31AEB394">
            <w:pPr>
              <w:jc w:val="center"/>
            </w:pPr>
            <w:r>
              <w:rPr>
                <w:b/>
              </w:rPr>
              <w:t>本文处理方式</w:t>
            </w:r>
          </w:p>
        </w:tc>
        <w:tc>
          <w:tcPr>
            <w:tcW w:w="2910" w:type="dxa"/>
            <w:shd w:val="clear" w:color="auto" w:fill="D9EAF7"/>
            <w:vAlign w:val="center"/>
          </w:tcPr>
          <w:p w14:paraId="162C040B">
            <w:pPr>
              <w:jc w:val="center"/>
            </w:pPr>
            <w:r>
              <w:rPr>
                <w:b/>
              </w:rPr>
              <w:t>质量控制</w:t>
            </w:r>
          </w:p>
        </w:tc>
      </w:tr>
      <w:tr w14:paraId="26E95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10" w:type="dxa"/>
            <w:vAlign w:val="center"/>
          </w:tcPr>
          <w:p w14:paraId="751120FD">
            <w:pPr>
              <w:jc w:val="center"/>
            </w:pPr>
            <w:r>
              <w:rPr>
                <w:sz w:val="20"/>
              </w:rPr>
              <w:t>公开论文事实</w:t>
            </w:r>
          </w:p>
        </w:tc>
        <w:tc>
          <w:tcPr>
            <w:tcW w:w="2910" w:type="dxa"/>
            <w:vAlign w:val="center"/>
          </w:tcPr>
          <w:p w14:paraId="2D2B700A">
            <w:pPr>
              <w:jc w:val="left"/>
            </w:pPr>
            <w:r>
              <w:rPr>
                <w:sz w:val="20"/>
              </w:rPr>
              <w:t>采用论文、技术报告、官方仓库或 MLCommons 文章</w:t>
            </w:r>
          </w:p>
        </w:tc>
        <w:tc>
          <w:tcPr>
            <w:tcW w:w="2910" w:type="dxa"/>
            <w:vAlign w:val="center"/>
          </w:tcPr>
          <w:p w14:paraId="7675F949">
            <w:pPr>
              <w:jc w:val="center"/>
            </w:pPr>
            <w:r>
              <w:rPr>
                <w:sz w:val="20"/>
              </w:rPr>
              <w:t>在文末资料中给出可追踪链接</w:t>
            </w:r>
          </w:p>
        </w:tc>
      </w:tr>
      <w:tr w14:paraId="5125C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10" w:type="dxa"/>
            <w:vAlign w:val="center"/>
          </w:tcPr>
          <w:p w14:paraId="605DF9A5">
            <w:pPr>
              <w:jc w:val="center"/>
            </w:pPr>
            <w:r>
              <w:rPr>
                <w:sz w:val="20"/>
              </w:rPr>
              <w:t>闭源模型细节</w:t>
            </w:r>
          </w:p>
        </w:tc>
        <w:tc>
          <w:tcPr>
            <w:tcW w:w="2910" w:type="dxa"/>
            <w:vAlign w:val="center"/>
          </w:tcPr>
          <w:p w14:paraId="103F06E9">
            <w:pPr>
              <w:jc w:val="center"/>
            </w:pPr>
            <w:r>
              <w:rPr>
                <w:sz w:val="20"/>
              </w:rPr>
              <w:t>不把未公开结构写成事实</w:t>
            </w:r>
          </w:p>
        </w:tc>
        <w:tc>
          <w:tcPr>
            <w:tcW w:w="2910" w:type="dxa"/>
            <w:vAlign w:val="center"/>
          </w:tcPr>
          <w:p w14:paraId="5CF8D58F">
            <w:pPr>
              <w:jc w:val="center"/>
            </w:pPr>
            <w:r>
              <w:rPr>
                <w:sz w:val="20"/>
              </w:rPr>
              <w:t>只讨论公开可验证的通用趋势</w:t>
            </w:r>
          </w:p>
        </w:tc>
      </w:tr>
      <w:tr w14:paraId="63FE9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10" w:type="dxa"/>
            <w:vAlign w:val="center"/>
          </w:tcPr>
          <w:p w14:paraId="30A8D270">
            <w:pPr>
              <w:jc w:val="center"/>
            </w:pPr>
            <w:r>
              <w:rPr>
                <w:sz w:val="20"/>
              </w:rPr>
              <w:t>AI 生成插图</w:t>
            </w:r>
          </w:p>
        </w:tc>
        <w:tc>
          <w:tcPr>
            <w:tcW w:w="2910" w:type="dxa"/>
            <w:vAlign w:val="center"/>
          </w:tcPr>
          <w:p w14:paraId="579DE9C1">
            <w:pPr>
              <w:jc w:val="center"/>
            </w:pPr>
            <w:r>
              <w:rPr>
                <w:sz w:val="20"/>
              </w:rPr>
              <w:t>只作为概念图和视觉导入</w:t>
            </w:r>
          </w:p>
        </w:tc>
        <w:tc>
          <w:tcPr>
            <w:tcW w:w="2910" w:type="dxa"/>
            <w:vAlign w:val="center"/>
          </w:tcPr>
          <w:p w14:paraId="601D6D80">
            <w:pPr>
              <w:jc w:val="center"/>
            </w:pPr>
            <w:r>
              <w:rPr>
                <w:sz w:val="20"/>
              </w:rPr>
              <w:t>不作为实验或事实证据</w:t>
            </w:r>
          </w:p>
        </w:tc>
      </w:tr>
      <w:tr w14:paraId="36900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10" w:type="dxa"/>
            <w:vAlign w:val="center"/>
          </w:tcPr>
          <w:p w14:paraId="3A49BABC">
            <w:pPr>
              <w:jc w:val="center"/>
            </w:pPr>
            <w:r>
              <w:rPr>
                <w:sz w:val="20"/>
              </w:rPr>
              <w:t>个人判断</w:t>
            </w:r>
          </w:p>
        </w:tc>
        <w:tc>
          <w:tcPr>
            <w:tcW w:w="2910" w:type="dxa"/>
            <w:vAlign w:val="center"/>
          </w:tcPr>
          <w:p w14:paraId="398D9943">
            <w:pPr>
              <w:jc w:val="center"/>
            </w:pPr>
            <w:r>
              <w:rPr>
                <w:sz w:val="20"/>
              </w:rPr>
              <w:t>单独在“个人思考”中展开</w:t>
            </w:r>
          </w:p>
        </w:tc>
        <w:tc>
          <w:tcPr>
            <w:tcW w:w="2910" w:type="dxa"/>
            <w:vAlign w:val="center"/>
          </w:tcPr>
          <w:p w14:paraId="083D6673">
            <w:pPr>
              <w:jc w:val="center"/>
            </w:pPr>
            <w:r>
              <w:rPr>
                <w:sz w:val="20"/>
              </w:rPr>
              <w:t>与文献事实区分表述</w:t>
            </w:r>
          </w:p>
        </w:tc>
      </w:tr>
    </w:tbl>
    <w:p w14:paraId="4F1E3F53"/>
    <w:p w14:paraId="567036CE">
      <w:pPr>
        <w:spacing w:before="120"/>
        <w:jc w:val="center"/>
      </w:pPr>
      <w:r>
        <w:drawing>
          <wp:inline distT="0" distB="0" distL="0" distR="0">
            <wp:extent cx="5219700" cy="2937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20000" cy="2937811"/>
                    </a:xfrm>
                    <a:prstGeom prst="rect">
                      <a:avLst/>
                    </a:prstGeom>
                  </pic:spPr>
                </pic:pic>
              </a:graphicData>
            </a:graphic>
          </wp:inline>
        </w:drawing>
      </w:r>
    </w:p>
    <w:p w14:paraId="29F36D01">
      <w:pPr>
        <w:spacing w:after="120"/>
        <w:jc w:val="center"/>
      </w:pPr>
      <w:r>
        <w:t>图2.1 概念图：从早期网络到现代基础模型的架构演化</w:t>
      </w:r>
    </w:p>
    <w:p w14:paraId="7AA995FA">
      <w:pPr>
        <w:pStyle w:val="2"/>
        <w:spacing w:before="240" w:after="120"/>
        <w:jc w:val="center"/>
      </w:pPr>
      <w:bookmarkStart w:id="2" w:name="_Toc231937642"/>
      <w:r>
        <w:t>第三章 深度学习模型的发展历程</w:t>
      </w:r>
      <w:bookmarkEnd w:id="2"/>
    </w:p>
    <w:p w14:paraId="56EB971F">
      <w:pPr>
        <w:pStyle w:val="31"/>
        <w:spacing w:before="200" w:after="80"/>
      </w:pPr>
      <w:bookmarkStart w:id="3" w:name="_Toc231937643"/>
      <w:r>
        <w:t>3.1 早期神经网络：从感知机到反向传播</w:t>
      </w:r>
      <w:bookmarkEnd w:id="3"/>
    </w:p>
    <w:p w14:paraId="2711717B">
      <w:pPr>
        <w:spacing w:after="120" w:line="300" w:lineRule="auto"/>
        <w:ind w:firstLine="420"/>
      </w:pPr>
      <w:r>
        <w:t>1958 年 Rosenblatt 提出的感知机把分类问题写成了可学习权重的线性模型，它的意义不在于能力有多强，而在于把“从样本中自动调整参数”变成了具体计算过程。早期感知机表达能力有限，无法处理许多非线性问题，但它提供了神经元、权重、激活和学习规则这些基本语言。</w:t>
      </w:r>
    </w:p>
    <w:p w14:paraId="633B40C4">
      <w:pPr>
        <w:spacing w:after="120" w:line="300" w:lineRule="auto"/>
        <w:ind w:firstLine="420"/>
      </w:pPr>
      <w:r>
        <w:t>1986 年 Rumelhart、Hinton 和 Williams 的反向传播论文使多层网络训练重新受到重视。反向传播通过链式法则把输出误差逐层传回隐藏层，使隐藏层能够学习中间表示。这里出现了深度学习的核心思想：模型不是人工设计所有特征，而是在数据驱动下学习多层抽象表示。LeCun、Bengio 和 Hinton 在 2015 年 Nature 综述中把深度学习概括为“多层处理单元学习多层抽象表示”，这个定义至今仍然准确。</w:t>
      </w:r>
    </w:p>
    <w:p w14:paraId="73308B2C">
      <w:pPr>
        <w:pStyle w:val="31"/>
        <w:spacing w:before="200" w:after="80"/>
      </w:pPr>
      <w:bookmarkStart w:id="4" w:name="_Toc231937644"/>
      <w:r>
        <w:t>3.2 CNN 与视觉突破：从手工特征到端到端表示</w:t>
      </w:r>
      <w:bookmarkEnd w:id="4"/>
    </w:p>
    <w:p w14:paraId="28580D5F">
      <w:pPr>
        <w:spacing w:after="120" w:line="300" w:lineRule="auto"/>
        <w:ind w:firstLine="420"/>
      </w:pPr>
      <w:r>
        <w:t>2012 年 AlexNet 在 ImageNet 竞赛中的成功通常被视为深度学习复兴的重要标志。它并不是第一个 CNN，但它把卷积结构、大规模标注数据、ReLU、Dropout 和 GPU 训练结合起来，证明深层网络可以在真实视觉任务上显著优于传统方法。CNN 的关键优势在于局部感受野、平移共享和层级特征：低层学边缘纹理，中层学局部部件，高层学语义目标。</w:t>
      </w:r>
    </w:p>
    <w:p w14:paraId="5505CF0D">
      <w:pPr>
        <w:spacing w:after="120" w:line="300" w:lineRule="auto"/>
        <w:ind w:firstLine="420"/>
      </w:pPr>
      <w:r>
        <w:t>2015 年 ResNet 进一步解决了深度增加后的优化退化问题。残差连接让网络学习相对变化而不是完整映射，也为梯度提供更直接的传播路径。ResNet 的意义超出了图像分类：后来的 Transformer、扩散模型、视觉模型和大语言模型中都能看到残差连接和归一化的影子。它说明深度学习架构不仅要表达能力强，还要让优化过程可行。</w:t>
      </w:r>
    </w:p>
    <w:p w14:paraId="5AE501E2">
      <w:pPr>
        <w:pStyle w:val="31"/>
        <w:spacing w:before="200" w:after="80"/>
      </w:pPr>
      <w:bookmarkStart w:id="5" w:name="_Toc231937645"/>
      <w:r>
        <w:t>3.3 RNN/LSTM 与序列建模：记忆问题的早期答案</w:t>
      </w:r>
      <w:bookmarkEnd w:id="5"/>
    </w:p>
    <w:p w14:paraId="1E8624FA">
      <w:pPr>
        <w:spacing w:after="120" w:line="300" w:lineRule="auto"/>
        <w:ind w:firstLine="420"/>
      </w:pPr>
      <w:r>
        <w:t>在 Transformer 之前，序列任务主要依赖 RNN、LSTM 和 GRU 等循环网络。LSTM 通过输入门、遗忘门和输出门控制信息写入、保留与读取，缓解了普通 RNN 的梯度消失问题。它在语音识别、机器翻译、文本建模等任务中长期发挥作用。</w:t>
      </w:r>
    </w:p>
    <w:p w14:paraId="1B45578D">
      <w:pPr>
        <w:spacing w:after="120" w:line="300" w:lineRule="auto"/>
        <w:ind w:firstLine="420"/>
      </w:pPr>
      <w:r>
        <w:t>但循环结构的局限也很明显：时间步之间存在依赖，训练并行度低；长距离依赖虽然被门控机制缓解，但仍难以稳定捕捉非常长的上下文。这些问题为后来注意力机制和 Transformer 的兴起埋下伏笔。</w:t>
      </w:r>
    </w:p>
    <w:p w14:paraId="4E3C6FB3">
      <w:pPr>
        <w:pStyle w:val="31"/>
        <w:spacing w:before="200" w:after="80"/>
      </w:pPr>
      <w:bookmarkStart w:id="6" w:name="_Toc231937646"/>
      <w:r>
        <w:t>3.4 生成模型：GAN、扩散模型与从识别到生成的转向</w:t>
      </w:r>
      <w:bookmarkEnd w:id="6"/>
    </w:p>
    <w:p w14:paraId="7F95F7B2">
      <w:pPr>
        <w:spacing w:after="120" w:line="300" w:lineRule="auto"/>
        <w:ind w:firstLine="420"/>
      </w:pPr>
      <w:r>
        <w:t>2014 年 GAN 提出了生成器和判别器对抗训练的框架，使深度学习从“识别输入是什么”扩展到“生成可能的数据样本”。GAN 的图像质量在一段时期内非常突出，但训练稳定性、模式崩溃和可控性一直是难点。</w:t>
      </w:r>
    </w:p>
    <w:p w14:paraId="374C676B">
      <w:pPr>
        <w:spacing w:after="120" w:line="300" w:lineRule="auto"/>
        <w:ind w:firstLine="420"/>
      </w:pPr>
      <w:r>
        <w:t>2020 年前后，扩散模型开始成为生成建模的重要路线。DDPM 把生成过程写成逐步去噪：训练时学习如何从噪声中恢复数据分布，生成时从纯噪声反向采样。扩散模型训练更稳定、覆盖模式更好，后来又与 Transformer 结合形成 DiT 等架构。DiT 的重要性在于：生成模型的主干也开始被 Transformer 化，说明 Transformer 不只属于文本，而是一种通用 token/patch 建模骨架。</w:t>
      </w:r>
    </w:p>
    <w:p w14:paraId="0928422D">
      <w:pPr>
        <w:pStyle w:val="31"/>
        <w:spacing w:before="200" w:after="80"/>
      </w:pPr>
      <w:bookmarkStart w:id="7" w:name="_Toc231937647"/>
      <w:r>
        <w:t>3.5 Transformer 与基础模型时代</w:t>
      </w:r>
      <w:bookmarkEnd w:id="7"/>
    </w:p>
    <w:p w14:paraId="687F64B4">
      <w:pPr>
        <w:spacing w:after="120" w:line="300" w:lineRule="auto"/>
        <w:ind w:firstLine="420"/>
      </w:pPr>
      <w:r>
        <w:t>2017 年《Attention Is All You Need》提出完全基于自注意力的 Transformer 架构。与 RNN 相比，Transformer 不需要按时间顺序逐步递推，可以并行处理整个序列，并通过注意力权重直接建模任意位置之间的依赖。自注意力、前馈网络、残差连接、层归一化和位置编码构成了此后大多数语言模型的基本骨架。</w:t>
      </w:r>
    </w:p>
    <w:p w14:paraId="7A473B9B">
      <w:pPr>
        <w:spacing w:after="120" w:line="300" w:lineRule="auto"/>
        <w:ind w:firstLine="420"/>
      </w:pPr>
      <w:r>
        <w:t>BERT 展示了双向 Transformer 预训练加微调在自然语言理解任务上的强大效果；GPT-3 则展示了自回归语言模型在大规模参数和数据下出现的少样本学习能力。2020 年之后，Transformer 进一步进入视觉领域。ViT 把图像切成 patch，当作 token 序列输入 Transformer 编码器；扩散模型中的 DiT 又把 Transformer 用作生成过程主干。由此，深度学习进入基础模型时代：模型不再只为单一任务训练，而是先在大规模数据上学习通用表示，再通过提示、微调、检索或工具调用适配任务。</w:t>
      </w:r>
    </w:p>
    <w:p w14:paraId="19C6B0EE">
      <w:pPr>
        <w:spacing w:before="120"/>
        <w:jc w:val="center"/>
      </w:pPr>
      <w:r>
        <w:drawing>
          <wp:inline distT="0" distB="0" distL="0" distR="0">
            <wp:extent cx="5687695" cy="28435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688000" cy="2844000"/>
                    </a:xfrm>
                    <a:prstGeom prst="rect">
                      <a:avLst/>
                    </a:prstGeom>
                  </pic:spPr>
                </pic:pic>
              </a:graphicData>
            </a:graphic>
          </wp:inline>
        </w:drawing>
      </w:r>
    </w:p>
    <w:p w14:paraId="767E6B9B">
      <w:pPr>
        <w:spacing w:after="120"/>
        <w:jc w:val="center"/>
      </w:pPr>
      <w:r>
        <w:t>图3.1 自绘图：深度学习模型架构发展脉络</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3"/>
        <w:gridCol w:w="2183"/>
        <w:gridCol w:w="2183"/>
        <w:gridCol w:w="2183"/>
      </w:tblGrid>
      <w:tr w14:paraId="2DB4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3" w:type="dxa"/>
            <w:shd w:val="clear" w:color="auto" w:fill="D9EAF7"/>
            <w:vAlign w:val="center"/>
          </w:tcPr>
          <w:p w14:paraId="6AF30EA5">
            <w:pPr>
              <w:jc w:val="center"/>
            </w:pPr>
            <w:r>
              <w:rPr>
                <w:b/>
              </w:rPr>
              <w:t>阶段</w:t>
            </w:r>
          </w:p>
        </w:tc>
        <w:tc>
          <w:tcPr>
            <w:tcW w:w="2183" w:type="dxa"/>
            <w:shd w:val="clear" w:color="auto" w:fill="D9EAF7"/>
            <w:vAlign w:val="center"/>
          </w:tcPr>
          <w:p w14:paraId="0985BB2B">
            <w:pPr>
              <w:jc w:val="center"/>
            </w:pPr>
            <w:r>
              <w:rPr>
                <w:b/>
              </w:rPr>
              <w:t>代表架构</w:t>
            </w:r>
          </w:p>
        </w:tc>
        <w:tc>
          <w:tcPr>
            <w:tcW w:w="2183" w:type="dxa"/>
            <w:shd w:val="clear" w:color="auto" w:fill="D9EAF7"/>
            <w:vAlign w:val="center"/>
          </w:tcPr>
          <w:p w14:paraId="6A6A1166">
            <w:pPr>
              <w:jc w:val="center"/>
            </w:pPr>
            <w:r>
              <w:rPr>
                <w:b/>
              </w:rPr>
              <w:t>解决的主要瓶颈</w:t>
            </w:r>
          </w:p>
        </w:tc>
        <w:tc>
          <w:tcPr>
            <w:tcW w:w="2183" w:type="dxa"/>
            <w:shd w:val="clear" w:color="auto" w:fill="D9EAF7"/>
            <w:vAlign w:val="center"/>
          </w:tcPr>
          <w:p w14:paraId="022A596A">
            <w:pPr>
              <w:jc w:val="center"/>
            </w:pPr>
            <w:r>
              <w:rPr>
                <w:b/>
              </w:rPr>
              <w:t>对后续模型的影响</w:t>
            </w:r>
          </w:p>
        </w:tc>
      </w:tr>
      <w:tr w14:paraId="44A7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3" w:type="dxa"/>
            <w:vAlign w:val="center"/>
          </w:tcPr>
          <w:p w14:paraId="0FD2E0CB">
            <w:pPr>
              <w:jc w:val="center"/>
            </w:pPr>
            <w:r>
              <w:rPr>
                <w:sz w:val="20"/>
              </w:rPr>
              <w:t>1950s-1980s</w:t>
            </w:r>
          </w:p>
        </w:tc>
        <w:tc>
          <w:tcPr>
            <w:tcW w:w="2183" w:type="dxa"/>
            <w:vAlign w:val="center"/>
          </w:tcPr>
          <w:p w14:paraId="280693D4">
            <w:pPr>
              <w:jc w:val="center"/>
            </w:pPr>
            <w:r>
              <w:rPr>
                <w:sz w:val="20"/>
              </w:rPr>
              <w:t>感知机、MLP、反向传播</w:t>
            </w:r>
          </w:p>
        </w:tc>
        <w:tc>
          <w:tcPr>
            <w:tcW w:w="2183" w:type="dxa"/>
            <w:vAlign w:val="center"/>
          </w:tcPr>
          <w:p w14:paraId="1F61FBD1">
            <w:pPr>
              <w:jc w:val="center"/>
            </w:pPr>
            <w:r>
              <w:rPr>
                <w:sz w:val="20"/>
              </w:rPr>
              <w:t>如何从数据中训练多层参数</w:t>
            </w:r>
          </w:p>
        </w:tc>
        <w:tc>
          <w:tcPr>
            <w:tcW w:w="2183" w:type="dxa"/>
            <w:vAlign w:val="center"/>
          </w:tcPr>
          <w:p w14:paraId="0D064590">
            <w:pPr>
              <w:jc w:val="center"/>
            </w:pPr>
            <w:r>
              <w:rPr>
                <w:sz w:val="20"/>
              </w:rPr>
              <w:t>奠定神经元、权重、梯度和表示学习语言</w:t>
            </w:r>
          </w:p>
        </w:tc>
      </w:tr>
      <w:tr w14:paraId="6314B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3" w:type="dxa"/>
            <w:vAlign w:val="center"/>
          </w:tcPr>
          <w:p w14:paraId="653975B4">
            <w:pPr>
              <w:jc w:val="center"/>
            </w:pPr>
            <w:r>
              <w:rPr>
                <w:sz w:val="20"/>
              </w:rPr>
              <w:t>1990s-2010s</w:t>
            </w:r>
          </w:p>
        </w:tc>
        <w:tc>
          <w:tcPr>
            <w:tcW w:w="2183" w:type="dxa"/>
            <w:vAlign w:val="center"/>
          </w:tcPr>
          <w:p w14:paraId="6865780B">
            <w:pPr>
              <w:jc w:val="center"/>
            </w:pPr>
            <w:r>
              <w:rPr>
                <w:sz w:val="20"/>
              </w:rPr>
              <w:t>CNN、LSTM</w:t>
            </w:r>
          </w:p>
        </w:tc>
        <w:tc>
          <w:tcPr>
            <w:tcW w:w="2183" w:type="dxa"/>
            <w:vAlign w:val="center"/>
          </w:tcPr>
          <w:p w14:paraId="17BB2F4A">
            <w:pPr>
              <w:jc w:val="center"/>
            </w:pPr>
            <w:r>
              <w:rPr>
                <w:sz w:val="20"/>
              </w:rPr>
              <w:t>图像局部结构和序列记忆</w:t>
            </w:r>
          </w:p>
        </w:tc>
        <w:tc>
          <w:tcPr>
            <w:tcW w:w="2183" w:type="dxa"/>
            <w:vAlign w:val="center"/>
          </w:tcPr>
          <w:p w14:paraId="0311F5F0">
            <w:pPr>
              <w:jc w:val="center"/>
            </w:pPr>
            <w:r>
              <w:rPr>
                <w:sz w:val="20"/>
              </w:rPr>
              <w:t>形成端到端特征学习和门控记忆机制</w:t>
            </w:r>
          </w:p>
        </w:tc>
      </w:tr>
      <w:tr w14:paraId="7452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3" w:type="dxa"/>
            <w:vAlign w:val="center"/>
          </w:tcPr>
          <w:p w14:paraId="2D23F240">
            <w:pPr>
              <w:jc w:val="center"/>
            </w:pPr>
            <w:r>
              <w:rPr>
                <w:sz w:val="20"/>
              </w:rPr>
              <w:t>2012-2016</w:t>
            </w:r>
          </w:p>
        </w:tc>
        <w:tc>
          <w:tcPr>
            <w:tcW w:w="2183" w:type="dxa"/>
            <w:vAlign w:val="center"/>
          </w:tcPr>
          <w:p w14:paraId="571147E8">
            <w:pPr>
              <w:jc w:val="center"/>
            </w:pPr>
            <w:r>
              <w:rPr>
                <w:sz w:val="20"/>
              </w:rPr>
              <w:t>AlexNet、VGG、ResNet</w:t>
            </w:r>
          </w:p>
        </w:tc>
        <w:tc>
          <w:tcPr>
            <w:tcW w:w="2183" w:type="dxa"/>
            <w:vAlign w:val="center"/>
          </w:tcPr>
          <w:p w14:paraId="4D007422">
            <w:pPr>
              <w:jc w:val="center"/>
            </w:pPr>
            <w:r>
              <w:rPr>
                <w:sz w:val="20"/>
              </w:rPr>
              <w:t>深层视觉网络训练与优化</w:t>
            </w:r>
          </w:p>
        </w:tc>
        <w:tc>
          <w:tcPr>
            <w:tcW w:w="2183" w:type="dxa"/>
            <w:vAlign w:val="center"/>
          </w:tcPr>
          <w:p w14:paraId="257428ED">
            <w:pPr>
              <w:jc w:val="center"/>
            </w:pPr>
            <w:r>
              <w:rPr>
                <w:sz w:val="20"/>
              </w:rPr>
              <w:t>GPU、大数据、残差连接成为标准组件</w:t>
            </w:r>
          </w:p>
        </w:tc>
      </w:tr>
      <w:tr w14:paraId="6F35F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3" w:type="dxa"/>
            <w:vAlign w:val="center"/>
          </w:tcPr>
          <w:p w14:paraId="26AE8F04">
            <w:pPr>
              <w:jc w:val="center"/>
            </w:pPr>
            <w:r>
              <w:rPr>
                <w:sz w:val="20"/>
              </w:rPr>
              <w:t>2017-2020</w:t>
            </w:r>
          </w:p>
        </w:tc>
        <w:tc>
          <w:tcPr>
            <w:tcW w:w="2183" w:type="dxa"/>
            <w:vAlign w:val="center"/>
          </w:tcPr>
          <w:p w14:paraId="11B14554">
            <w:pPr>
              <w:jc w:val="left"/>
            </w:pPr>
            <w:r>
              <w:rPr>
                <w:sz w:val="20"/>
              </w:rPr>
              <w:t>Transformer、BERT、GPT-3、ViT</w:t>
            </w:r>
          </w:p>
        </w:tc>
        <w:tc>
          <w:tcPr>
            <w:tcW w:w="2183" w:type="dxa"/>
            <w:vAlign w:val="center"/>
          </w:tcPr>
          <w:p w14:paraId="58BD55D2">
            <w:pPr>
              <w:jc w:val="center"/>
            </w:pPr>
            <w:r>
              <w:rPr>
                <w:sz w:val="20"/>
              </w:rPr>
              <w:t>序列并行、预训练迁移、规模化</w:t>
            </w:r>
          </w:p>
        </w:tc>
        <w:tc>
          <w:tcPr>
            <w:tcW w:w="2183" w:type="dxa"/>
            <w:vAlign w:val="center"/>
          </w:tcPr>
          <w:p w14:paraId="72923CDE">
            <w:pPr>
              <w:jc w:val="left"/>
            </w:pPr>
            <w:r>
              <w:rPr>
                <w:sz w:val="20"/>
              </w:rPr>
              <w:t>基础模型范式成形，跨模态 token 化开始</w:t>
            </w:r>
          </w:p>
        </w:tc>
      </w:tr>
      <w:tr w14:paraId="059FB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3" w:type="dxa"/>
            <w:vAlign w:val="center"/>
          </w:tcPr>
          <w:p w14:paraId="04BED493">
            <w:pPr>
              <w:jc w:val="center"/>
            </w:pPr>
            <w:r>
              <w:rPr>
                <w:sz w:val="20"/>
              </w:rPr>
              <w:t>2021-2026</w:t>
            </w:r>
          </w:p>
        </w:tc>
        <w:tc>
          <w:tcPr>
            <w:tcW w:w="2183" w:type="dxa"/>
            <w:vAlign w:val="center"/>
          </w:tcPr>
          <w:p w14:paraId="27EDBDAE">
            <w:pPr>
              <w:jc w:val="left"/>
            </w:pPr>
            <w:r>
              <w:rPr>
                <w:sz w:val="20"/>
              </w:rPr>
              <w:t>DiT、MoE、Mamba、Titans、MLA</w:t>
            </w:r>
          </w:p>
        </w:tc>
        <w:tc>
          <w:tcPr>
            <w:tcW w:w="2183" w:type="dxa"/>
            <w:vAlign w:val="center"/>
          </w:tcPr>
          <w:p w14:paraId="6692917A">
            <w:pPr>
              <w:jc w:val="center"/>
            </w:pPr>
            <w:r>
              <w:rPr>
                <w:sz w:val="20"/>
              </w:rPr>
              <w:t>生成、长上下文、稀疏计算、部署成本</w:t>
            </w:r>
          </w:p>
        </w:tc>
        <w:tc>
          <w:tcPr>
            <w:tcW w:w="2183" w:type="dxa"/>
            <w:vAlign w:val="center"/>
          </w:tcPr>
          <w:p w14:paraId="1FE3EA49">
            <w:pPr>
              <w:jc w:val="left"/>
            </w:pPr>
            <w:r>
              <w:rPr>
                <w:sz w:val="20"/>
              </w:rPr>
              <w:t>架构从“单一主干”转向“主干+专家+记忆+系统协同”</w:t>
            </w:r>
          </w:p>
        </w:tc>
      </w:tr>
    </w:tbl>
    <w:p w14:paraId="5BCC357C"/>
    <w:p w14:paraId="442CB8CD">
      <w:pPr>
        <w:pStyle w:val="2"/>
        <w:spacing w:before="240" w:after="120"/>
        <w:jc w:val="center"/>
      </w:pPr>
      <w:bookmarkStart w:id="8" w:name="_Toc231937648"/>
      <w:r>
        <w:t>第四章 目前最新公开深度学习模型架构</w:t>
      </w:r>
      <w:bookmarkEnd w:id="8"/>
    </w:p>
    <w:p w14:paraId="02BA79C0">
      <w:pPr>
        <w:pStyle w:val="31"/>
        <w:spacing w:before="200" w:after="80"/>
      </w:pPr>
      <w:bookmarkStart w:id="9" w:name="_Toc231937649"/>
      <w:r>
        <w:t>4.1 Transformer 仍是主干，但不再是唯一答案</w:t>
      </w:r>
      <w:bookmarkEnd w:id="9"/>
    </w:p>
    <w:p w14:paraId="46DD7618">
      <w:pPr>
        <w:spacing w:after="120" w:line="300" w:lineRule="auto"/>
        <w:ind w:firstLine="420"/>
      </w:pPr>
      <w:r>
        <w:t>截至 2026 年 6 月 9 日，公开资料显示 Transformer 仍然是大多数前沿基础模型的中心结构。原因很直接：它训练稳定、并行效率高、生态成熟，并且已经在语言、视觉、语音、多模态和生成任务中形成统一接口。但是 Transformer 的代价也越来越突出：标准自注意力的时间和显存开销随上下文长度近似二次增长；KV cache 在长上下文推理中造成显存和带宽压力；密集模型在推理阶段每个 token 都激活全部参数，成本很高。</w:t>
      </w:r>
    </w:p>
    <w:p w14:paraId="39084B2B">
      <w:pPr>
        <w:spacing w:after="120" w:line="300" w:lineRule="auto"/>
        <w:ind w:firstLine="420"/>
      </w:pPr>
      <w:r>
        <w:t>因此，最新架构并不是简单地“后 Transformer”，而是“Transformer plus”：在注意力主干上叠加稀疏专家、低秩注意力压缩、状态空间模块、记忆模块、扩散生成模块和软硬件协同训练策略。这个趋势比“某个模型将取代 Transformer”的叙事更可靠。</w:t>
      </w:r>
    </w:p>
    <w:p w14:paraId="0E386FF0">
      <w:pPr>
        <w:pStyle w:val="31"/>
        <w:spacing w:before="200" w:after="80"/>
      </w:pPr>
      <w:bookmarkStart w:id="10" w:name="_Toc231937650"/>
      <w:r>
        <w:t>4.2 稀疏 Mixture-of-Experts：从参数规模转向条件计算</w:t>
      </w:r>
      <w:bookmarkEnd w:id="10"/>
    </w:p>
    <w:p w14:paraId="262B1053">
      <w:pPr>
        <w:spacing w:after="120" w:line="300" w:lineRule="auto"/>
        <w:ind w:firstLine="420"/>
      </w:pPr>
      <w:r>
        <w:t>MoE 的核心思想是：模型可以拥有很多专家参数，但每个 token 只路由到少数专家，因此总参数量和单次计算量解耦。DeepSeek-V3 是公开资料中很有代表性的例子。其技术报告和官方仓库说明该模型为 MoE 语言模型，总参数量 671B，每个 token 激活约 37B 参数，并采用 Multi-head Latent Attention、DeepSeekMoE、多 token 预测训练目标和无辅助损失的负载均衡策略。MLCommons 在 2026 年 5 月将 DeepSeek-V3 引入 MLPerf Training v6.0 的大规模 MoE 预训练基准，也说明稀疏 MoE 已经从论文技巧进入工业训练效率评估体系。</w:t>
      </w:r>
    </w:p>
    <w:p w14:paraId="5D1DF43A">
      <w:pPr>
        <w:spacing w:after="120" w:line="300" w:lineRule="auto"/>
        <w:ind w:firstLine="420"/>
      </w:pPr>
      <w:r>
        <w:t>我认为 MoE 的价值不只是“更便宜的大模型”，更重要的是它改变了模型能力的组织方式。密集模型像一个统一大脑，所有知识都挤在同一组参数里；MoE 更像一个有共享层和专业分工的系统。如果路由机制足够可靠，模型可以把通用知识、代码能力、数学能力、多语言能力和领域知识分布到不同专家中。但 MoE 也带来新问题：专家负载不均、通信开销、路由可解释性和小批量推理效率。未来 MoE 能否继续扩大，取决于模型算法和系统工程是否能同时进步。</w:t>
      </w:r>
    </w:p>
    <w:p w14:paraId="612F3820">
      <w:pPr>
        <w:pStyle w:val="31"/>
        <w:spacing w:before="200" w:after="80"/>
      </w:pPr>
      <w:bookmarkStart w:id="11" w:name="_Toc231937651"/>
      <w:r>
        <w:t>4.3 MLA 与系统协同：注意力机制开始服务部署约束</w:t>
      </w:r>
      <w:bookmarkEnd w:id="11"/>
    </w:p>
    <w:p w14:paraId="6B890268">
      <w:pPr>
        <w:spacing w:after="120" w:line="300" w:lineRule="auto"/>
        <w:ind w:firstLine="420"/>
      </w:pPr>
      <w:r>
        <w:t>DeepSeek-V3 的 Multi-head Latent Attention 值得单独讨论。传统多头注意力在长上下文推理时需要保存大量 Key-Value cache，显存和带宽压力会随上下文增长迅速放大。MLA 通过对 KV 表示做低秩联合压缩来降低缓存压力，其意义不只是节省内存，而是把“模型结构”和“推理系统瓶颈”直接绑定起来。</w:t>
      </w:r>
    </w:p>
    <w:p w14:paraId="022E475F">
      <w:pPr>
        <w:spacing w:after="120" w:line="300" w:lineRule="auto"/>
        <w:ind w:firstLine="420"/>
      </w:pPr>
      <w:r>
        <w:t>这代表了最新架构的一个重要变化：模型设计不再只追求论文指标，而是要考虑训练吞吐、显存占用、跨 GPU 通信、低比特数值格式、KV cache、批大小和服务成本。MLCommons 对 DeepSeek-V3 的基准说明中也把专家并行、全局 batch size、负载均衡和 MoE 稳态训练作为重点，这说明前沿深度学习正在走向模型-系统-硬件协同设计。</w:t>
      </w:r>
    </w:p>
    <w:p w14:paraId="4474B717">
      <w:pPr>
        <w:pStyle w:val="31"/>
        <w:spacing w:before="200" w:after="80"/>
      </w:pPr>
      <w:bookmarkStart w:id="12" w:name="_Toc231937652"/>
      <w:r>
        <w:t>4.4 状态空间模型与 Mamba：长序列效率的新路线</w:t>
      </w:r>
      <w:bookmarkEnd w:id="12"/>
    </w:p>
    <w:p w14:paraId="4CA0D44F">
      <w:pPr>
        <w:spacing w:after="120" w:line="300" w:lineRule="auto"/>
        <w:ind w:firstLine="420"/>
      </w:pPr>
      <w:r>
        <w:t>Mamba 提出选择性状态空间模型，将状态空间模型的线性序列扩展能力与输入相关的选择机制结合起来。根据 Mamba 论文，选择性 SSM 可以根据当前 token 动态决定传播或遗忘哪些信息，并在长序列上具有线性扩展优势。Mamba-2 进一步从结构化状态空间对偶性的角度连接注意力和 SSM，论文报告其核心层相较 Mamba 有 2-8 倍速度改进，同时在语言建模中保持竞争力。</w:t>
      </w:r>
    </w:p>
    <w:p w14:paraId="50FDBB35">
      <w:pPr>
        <w:spacing w:after="120" w:line="300" w:lineRule="auto"/>
        <w:ind w:firstLine="420"/>
      </w:pPr>
      <w:r>
        <w:t>这一路线的启发是：注意力擅长精确检索当前上下文中的 token 关系，但长上下文成本高；状态空间模型擅长压缩历史并线性处理长序列，但早期模型在内容选择上不如注意力。Mamba 的选择性机制试图把二者拉近。Jamba 则采用 Transformer-Mamba-MoE 混合架构，说明工业模型并不一定押注纯 SSM，而是更愿意把注意力、状态空间和专家路由组合起来。</w:t>
      </w:r>
    </w:p>
    <w:p w14:paraId="3103B84C">
      <w:pPr>
        <w:pStyle w:val="31"/>
        <w:spacing w:before="200" w:after="80"/>
      </w:pPr>
      <w:bookmarkStart w:id="13" w:name="_Toc231937653"/>
      <w:r>
        <w:t>4.5 Diffusion Transformer 与多模态统一</w:t>
      </w:r>
      <w:bookmarkEnd w:id="13"/>
    </w:p>
    <w:p w14:paraId="76C1FF7E">
      <w:pPr>
        <w:spacing w:after="120" w:line="300" w:lineRule="auto"/>
        <w:ind w:firstLine="420"/>
      </w:pPr>
      <w:r>
        <w:t>在视觉和生成领域，Transformer 也在继续扩展。ViT 证明图像可以被 patch/token 化并输入 Transformer；DiT 进一步把扩散模型的主干改为 Transformer，使生成模型也能够享受可扩展架构的好处。当前多模态模型普遍把文本、图像、音频甚至视频转化为某种 token 或 latent token，再交给统一的序列建模结构处理。</w:t>
      </w:r>
    </w:p>
    <w:p w14:paraId="0B737458">
      <w:pPr>
        <w:spacing w:after="120" w:line="300" w:lineRule="auto"/>
        <w:ind w:firstLine="420"/>
      </w:pPr>
      <w:r>
        <w:t>这种趋势的本质是“模态边界变弱”。早期深度学习按任务分工：CNN 做图像，RNN 做文本，声学模型做语音。现在的基础模型更像统一的信息处理系统：视觉 patch、文本 token、语音片段、动作轨迹、工具调用结果都可以进入共享的表示空间。未来架构的重要问题将是：怎样在统一表示和模态专用归纳偏置之间取得平衡。</w:t>
      </w:r>
    </w:p>
    <w:p w14:paraId="67431946">
      <w:pPr>
        <w:pStyle w:val="31"/>
        <w:spacing w:before="200" w:after="80"/>
      </w:pPr>
      <w:bookmarkStart w:id="14" w:name="_Toc231937654"/>
      <w:r>
        <w:t>4.6 Titans、ATLAS 与测试时记忆：模型能否在推理时持续学习</w:t>
      </w:r>
      <w:bookmarkEnd w:id="14"/>
    </w:p>
    <w:p w14:paraId="142D934F">
      <w:pPr>
        <w:spacing w:after="120" w:line="300" w:lineRule="auto"/>
        <w:ind w:firstLine="420"/>
      </w:pPr>
      <w:r>
        <w:t>Transformer 的上下文窗口可以看作短期记忆：输入还在窗口内时，模型可以注意到它；一旦超出窗口，信息就不再直接可见。Titans 提出神经长期记忆模块，把注意力视为短期记忆，把神经记忆视为更持久的历史存储，并探索模型在测试时学习如何记忆上下文。ATLAS 进一步讨论如何更优地记忆上下文，试图增强长上下文理解。</w:t>
      </w:r>
    </w:p>
    <w:p w14:paraId="3379015C">
      <w:pPr>
        <w:spacing w:after="120" w:line="300" w:lineRule="auto"/>
        <w:ind w:firstLine="420"/>
      </w:pPr>
      <w:r>
        <w:t>我认为测试时记忆是未来值得关注但也必须谨慎的方向。它有潜力让模型真正适应长期任务，而不是每次对话都从静态参数和短上下文重新开始；但它也会带来安全、隐私、遗忘、污染和可审计性问题。模型如果能在推理时更新内部记忆，就必须回答“记了什么、为什么记、何时忘、谁能读、能否撤销”这些工程和伦理问题。</w:t>
      </w:r>
    </w:p>
    <w:p w14:paraId="44360116">
      <w:pPr>
        <w:spacing w:before="120"/>
        <w:jc w:val="center"/>
      </w:pPr>
      <w:r>
        <w:drawing>
          <wp:inline distT="0" distB="0" distL="0" distR="0">
            <wp:extent cx="5687695" cy="32315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688000" cy="3231818"/>
                    </a:xfrm>
                    <a:prstGeom prst="rect">
                      <a:avLst/>
                    </a:prstGeom>
                  </pic:spPr>
                </pic:pic>
              </a:graphicData>
            </a:graphic>
          </wp:inline>
        </w:drawing>
      </w:r>
    </w:p>
    <w:p w14:paraId="66D47A96">
      <w:pPr>
        <w:spacing w:after="120"/>
        <w:jc w:val="center"/>
      </w:pPr>
      <w:r>
        <w:t>图4.1 自绘图：当前最新公开架构趋势版图</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1746"/>
        <w:gridCol w:w="1746"/>
        <w:gridCol w:w="1746"/>
        <w:gridCol w:w="1746"/>
      </w:tblGrid>
      <w:tr w14:paraId="1AB49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6" w:type="dxa"/>
            <w:shd w:val="clear" w:color="auto" w:fill="D9EAF7"/>
            <w:vAlign w:val="center"/>
          </w:tcPr>
          <w:p w14:paraId="006FC548">
            <w:pPr>
              <w:jc w:val="center"/>
            </w:pPr>
            <w:r>
              <w:rPr>
                <w:b/>
              </w:rPr>
              <w:t>架构趋势</w:t>
            </w:r>
          </w:p>
        </w:tc>
        <w:tc>
          <w:tcPr>
            <w:tcW w:w="1746" w:type="dxa"/>
            <w:shd w:val="clear" w:color="auto" w:fill="D9EAF7"/>
            <w:vAlign w:val="center"/>
          </w:tcPr>
          <w:p w14:paraId="5AF00723">
            <w:pPr>
              <w:jc w:val="center"/>
            </w:pPr>
            <w:r>
              <w:rPr>
                <w:b/>
              </w:rPr>
              <w:t>代表公开工作</w:t>
            </w:r>
          </w:p>
        </w:tc>
        <w:tc>
          <w:tcPr>
            <w:tcW w:w="1746" w:type="dxa"/>
            <w:shd w:val="clear" w:color="auto" w:fill="D9EAF7"/>
            <w:vAlign w:val="center"/>
          </w:tcPr>
          <w:p w14:paraId="454EBB75">
            <w:pPr>
              <w:jc w:val="center"/>
            </w:pPr>
            <w:r>
              <w:rPr>
                <w:b/>
              </w:rPr>
              <w:t>核心机制</w:t>
            </w:r>
          </w:p>
        </w:tc>
        <w:tc>
          <w:tcPr>
            <w:tcW w:w="1746" w:type="dxa"/>
            <w:shd w:val="clear" w:color="auto" w:fill="D9EAF7"/>
            <w:vAlign w:val="center"/>
          </w:tcPr>
          <w:p w14:paraId="787A5277">
            <w:pPr>
              <w:jc w:val="center"/>
            </w:pPr>
            <w:r>
              <w:rPr>
                <w:b/>
              </w:rPr>
              <w:t>优势</w:t>
            </w:r>
          </w:p>
        </w:tc>
        <w:tc>
          <w:tcPr>
            <w:tcW w:w="1746" w:type="dxa"/>
            <w:shd w:val="clear" w:color="auto" w:fill="D9EAF7"/>
            <w:vAlign w:val="center"/>
          </w:tcPr>
          <w:p w14:paraId="07BA8CB4">
            <w:pPr>
              <w:jc w:val="center"/>
            </w:pPr>
            <w:r>
              <w:rPr>
                <w:b/>
              </w:rPr>
              <w:t>局限与风险</w:t>
            </w:r>
          </w:p>
        </w:tc>
      </w:tr>
      <w:tr w14:paraId="3FB86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6" w:type="dxa"/>
            <w:vAlign w:val="center"/>
          </w:tcPr>
          <w:p w14:paraId="1D21253C">
            <w:pPr>
              <w:jc w:val="center"/>
            </w:pPr>
            <w:r>
              <w:rPr>
                <w:sz w:val="20"/>
              </w:rPr>
              <w:t>稀疏 MoE</w:t>
            </w:r>
          </w:p>
        </w:tc>
        <w:tc>
          <w:tcPr>
            <w:tcW w:w="1746" w:type="dxa"/>
            <w:vAlign w:val="center"/>
          </w:tcPr>
          <w:p w14:paraId="1B9E27F8">
            <w:pPr>
              <w:jc w:val="left"/>
            </w:pPr>
            <w:r>
              <w:rPr>
                <w:sz w:val="20"/>
              </w:rPr>
              <w:t>DeepSeek-V3、Jamba、Switch/Mixtral 系列</w:t>
            </w:r>
          </w:p>
        </w:tc>
        <w:tc>
          <w:tcPr>
            <w:tcW w:w="1746" w:type="dxa"/>
            <w:vAlign w:val="center"/>
          </w:tcPr>
          <w:p w14:paraId="1D701F46">
            <w:pPr>
              <w:jc w:val="center"/>
            </w:pPr>
            <w:r>
              <w:rPr>
                <w:sz w:val="20"/>
              </w:rPr>
              <w:t>专家路由、条件计算、共享专家</w:t>
            </w:r>
          </w:p>
        </w:tc>
        <w:tc>
          <w:tcPr>
            <w:tcW w:w="1746" w:type="dxa"/>
            <w:vAlign w:val="center"/>
          </w:tcPr>
          <w:p w14:paraId="716C9386">
            <w:pPr>
              <w:jc w:val="left"/>
            </w:pPr>
            <w:r>
              <w:rPr>
                <w:sz w:val="20"/>
              </w:rPr>
              <w:t>总参数与激活计算解耦，提升训练/推理经济性</w:t>
            </w:r>
          </w:p>
        </w:tc>
        <w:tc>
          <w:tcPr>
            <w:tcW w:w="1746" w:type="dxa"/>
            <w:vAlign w:val="center"/>
          </w:tcPr>
          <w:p w14:paraId="6D646660">
            <w:pPr>
              <w:jc w:val="center"/>
            </w:pPr>
            <w:r>
              <w:rPr>
                <w:sz w:val="20"/>
              </w:rPr>
              <w:t>负载均衡、专家通信、路由稳定性复杂</w:t>
            </w:r>
          </w:p>
        </w:tc>
      </w:tr>
      <w:tr w14:paraId="0885C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6" w:type="dxa"/>
            <w:vAlign w:val="center"/>
          </w:tcPr>
          <w:p w14:paraId="1FDCF4C7">
            <w:pPr>
              <w:jc w:val="center"/>
            </w:pPr>
            <w:r>
              <w:rPr>
                <w:sz w:val="20"/>
              </w:rPr>
              <w:t>MLA/KV 压缩</w:t>
            </w:r>
          </w:p>
        </w:tc>
        <w:tc>
          <w:tcPr>
            <w:tcW w:w="1746" w:type="dxa"/>
            <w:vAlign w:val="center"/>
          </w:tcPr>
          <w:p w14:paraId="7AA72CB0">
            <w:pPr>
              <w:jc w:val="left"/>
            </w:pPr>
            <w:r>
              <w:rPr>
                <w:sz w:val="20"/>
              </w:rPr>
              <w:t>DeepSeek-V2/V3 相关公开说明</w:t>
            </w:r>
          </w:p>
        </w:tc>
        <w:tc>
          <w:tcPr>
            <w:tcW w:w="1746" w:type="dxa"/>
            <w:vAlign w:val="center"/>
          </w:tcPr>
          <w:p w14:paraId="7A6A5731">
            <w:pPr>
              <w:jc w:val="left"/>
            </w:pPr>
            <w:r>
              <w:rPr>
                <w:sz w:val="20"/>
              </w:rPr>
              <w:t>低秩联合压缩 Key-Value 表示</w:t>
            </w:r>
          </w:p>
        </w:tc>
        <w:tc>
          <w:tcPr>
            <w:tcW w:w="1746" w:type="dxa"/>
            <w:vAlign w:val="center"/>
          </w:tcPr>
          <w:p w14:paraId="5C9FEB5C">
            <w:pPr>
              <w:jc w:val="center"/>
            </w:pPr>
            <w:r>
              <w:rPr>
                <w:sz w:val="20"/>
              </w:rPr>
              <w:t>降低长上下文 KV cache 压力</w:t>
            </w:r>
          </w:p>
        </w:tc>
        <w:tc>
          <w:tcPr>
            <w:tcW w:w="1746" w:type="dxa"/>
            <w:vAlign w:val="center"/>
          </w:tcPr>
          <w:p w14:paraId="7E150C4C">
            <w:pPr>
              <w:jc w:val="center"/>
            </w:pPr>
            <w:r>
              <w:rPr>
                <w:sz w:val="20"/>
              </w:rPr>
              <w:t>需要与训练、推理框架深度适配</w:t>
            </w:r>
          </w:p>
        </w:tc>
      </w:tr>
      <w:tr w14:paraId="4256F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6" w:type="dxa"/>
            <w:vAlign w:val="center"/>
          </w:tcPr>
          <w:p w14:paraId="0ED737D5">
            <w:pPr>
              <w:jc w:val="center"/>
            </w:pPr>
            <w:r>
              <w:rPr>
                <w:sz w:val="20"/>
              </w:rPr>
              <w:t>SSM/Mamba</w:t>
            </w:r>
          </w:p>
        </w:tc>
        <w:tc>
          <w:tcPr>
            <w:tcW w:w="1746" w:type="dxa"/>
            <w:vAlign w:val="center"/>
          </w:tcPr>
          <w:p w14:paraId="71859A14">
            <w:pPr>
              <w:jc w:val="center"/>
            </w:pPr>
            <w:r>
              <w:rPr>
                <w:sz w:val="20"/>
              </w:rPr>
              <w:t>Mamba、Mamba-2</w:t>
            </w:r>
          </w:p>
        </w:tc>
        <w:tc>
          <w:tcPr>
            <w:tcW w:w="1746" w:type="dxa"/>
            <w:vAlign w:val="center"/>
          </w:tcPr>
          <w:p w14:paraId="2D74D7D8">
            <w:pPr>
              <w:jc w:val="center"/>
            </w:pPr>
            <w:r>
              <w:rPr>
                <w:sz w:val="20"/>
              </w:rPr>
              <w:t>选择性状态空间、线性序列扩展</w:t>
            </w:r>
          </w:p>
        </w:tc>
        <w:tc>
          <w:tcPr>
            <w:tcW w:w="1746" w:type="dxa"/>
            <w:vAlign w:val="center"/>
          </w:tcPr>
          <w:p w14:paraId="76894691">
            <w:pPr>
              <w:jc w:val="left"/>
            </w:pPr>
            <w:r>
              <w:rPr>
                <w:sz w:val="20"/>
              </w:rPr>
              <w:t>长序列成本更低，适合音频、基因组、长文本</w:t>
            </w:r>
          </w:p>
        </w:tc>
        <w:tc>
          <w:tcPr>
            <w:tcW w:w="1746" w:type="dxa"/>
            <w:vAlign w:val="center"/>
          </w:tcPr>
          <w:p w14:paraId="0B65255C">
            <w:pPr>
              <w:jc w:val="center"/>
            </w:pPr>
            <w:r>
              <w:rPr>
                <w:sz w:val="20"/>
              </w:rPr>
              <w:t>大规模语言能力和生态成熟度仍需验证</w:t>
            </w:r>
          </w:p>
        </w:tc>
      </w:tr>
      <w:tr w14:paraId="3279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6" w:type="dxa"/>
            <w:vAlign w:val="center"/>
          </w:tcPr>
          <w:p w14:paraId="1D6151AD">
            <w:pPr>
              <w:jc w:val="center"/>
            </w:pPr>
            <w:r>
              <w:rPr>
                <w:sz w:val="20"/>
              </w:rPr>
              <w:t>混合架构</w:t>
            </w:r>
          </w:p>
        </w:tc>
        <w:tc>
          <w:tcPr>
            <w:tcW w:w="1746" w:type="dxa"/>
            <w:vAlign w:val="center"/>
          </w:tcPr>
          <w:p w14:paraId="39871677">
            <w:pPr>
              <w:jc w:val="center"/>
            </w:pPr>
            <w:r>
              <w:rPr>
                <w:sz w:val="20"/>
              </w:rPr>
              <w:t>Jamba</w:t>
            </w:r>
          </w:p>
        </w:tc>
        <w:tc>
          <w:tcPr>
            <w:tcW w:w="1746" w:type="dxa"/>
            <w:vAlign w:val="center"/>
          </w:tcPr>
          <w:p w14:paraId="0E75AB0D">
            <w:pPr>
              <w:jc w:val="left"/>
            </w:pPr>
            <w:r>
              <w:rPr>
                <w:sz w:val="20"/>
              </w:rPr>
              <w:t>Transformer + Mamba + MoE</w:t>
            </w:r>
          </w:p>
        </w:tc>
        <w:tc>
          <w:tcPr>
            <w:tcW w:w="1746" w:type="dxa"/>
            <w:vAlign w:val="center"/>
          </w:tcPr>
          <w:p w14:paraId="532FC0B4">
            <w:pPr>
              <w:jc w:val="center"/>
            </w:pPr>
            <w:r>
              <w:rPr>
                <w:sz w:val="20"/>
              </w:rPr>
              <w:t>兼顾注意力检索、状态记忆和稀疏计算</w:t>
            </w:r>
          </w:p>
        </w:tc>
        <w:tc>
          <w:tcPr>
            <w:tcW w:w="1746" w:type="dxa"/>
            <w:vAlign w:val="center"/>
          </w:tcPr>
          <w:p w14:paraId="6A008EF5">
            <w:pPr>
              <w:jc w:val="center"/>
            </w:pPr>
            <w:r>
              <w:rPr>
                <w:sz w:val="20"/>
              </w:rPr>
              <w:t>结构复杂，调参和系统优化难度高</w:t>
            </w:r>
          </w:p>
        </w:tc>
      </w:tr>
      <w:tr w14:paraId="16C00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6" w:type="dxa"/>
            <w:vAlign w:val="center"/>
          </w:tcPr>
          <w:p w14:paraId="6F52216D">
            <w:pPr>
              <w:jc w:val="left"/>
            </w:pPr>
            <w:r>
              <w:rPr>
                <w:sz w:val="20"/>
              </w:rPr>
              <w:t>Diffusion Transformer</w:t>
            </w:r>
          </w:p>
        </w:tc>
        <w:tc>
          <w:tcPr>
            <w:tcW w:w="1746" w:type="dxa"/>
            <w:vAlign w:val="center"/>
          </w:tcPr>
          <w:p w14:paraId="3CD95832">
            <w:pPr>
              <w:jc w:val="center"/>
            </w:pPr>
            <w:r>
              <w:rPr>
                <w:sz w:val="20"/>
              </w:rPr>
              <w:t>DiT</w:t>
            </w:r>
          </w:p>
        </w:tc>
        <w:tc>
          <w:tcPr>
            <w:tcW w:w="1746" w:type="dxa"/>
            <w:vAlign w:val="center"/>
          </w:tcPr>
          <w:p w14:paraId="79194AE8">
            <w:pPr>
              <w:jc w:val="left"/>
            </w:pPr>
            <w:r>
              <w:rPr>
                <w:sz w:val="20"/>
              </w:rPr>
              <w:t>扩散生成过程中的 Transformer 主干</w:t>
            </w:r>
          </w:p>
        </w:tc>
        <w:tc>
          <w:tcPr>
            <w:tcW w:w="1746" w:type="dxa"/>
            <w:vAlign w:val="center"/>
          </w:tcPr>
          <w:p w14:paraId="5A5B90D4">
            <w:pPr>
              <w:jc w:val="center"/>
            </w:pPr>
            <w:r>
              <w:rPr>
                <w:sz w:val="20"/>
              </w:rPr>
              <w:t>生成模型可扩展性强</w:t>
            </w:r>
          </w:p>
        </w:tc>
        <w:tc>
          <w:tcPr>
            <w:tcW w:w="1746" w:type="dxa"/>
            <w:vAlign w:val="center"/>
          </w:tcPr>
          <w:p w14:paraId="05CFFA3F">
            <w:pPr>
              <w:jc w:val="center"/>
            </w:pPr>
            <w:r>
              <w:rPr>
                <w:sz w:val="20"/>
              </w:rPr>
              <w:t>推理采样成本和高分辨率效率仍是挑战</w:t>
            </w:r>
          </w:p>
        </w:tc>
      </w:tr>
      <w:tr w14:paraId="7EC97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6" w:type="dxa"/>
            <w:vAlign w:val="center"/>
          </w:tcPr>
          <w:p w14:paraId="5FA2A534">
            <w:pPr>
              <w:jc w:val="center"/>
            </w:pPr>
            <w:r>
              <w:rPr>
                <w:sz w:val="20"/>
              </w:rPr>
              <w:t>测试时记忆</w:t>
            </w:r>
          </w:p>
        </w:tc>
        <w:tc>
          <w:tcPr>
            <w:tcW w:w="1746" w:type="dxa"/>
            <w:vAlign w:val="center"/>
          </w:tcPr>
          <w:p w14:paraId="7DA89CB2">
            <w:pPr>
              <w:jc w:val="center"/>
            </w:pPr>
            <w:r>
              <w:rPr>
                <w:sz w:val="20"/>
              </w:rPr>
              <w:t>Titans、ATLAS</w:t>
            </w:r>
          </w:p>
        </w:tc>
        <w:tc>
          <w:tcPr>
            <w:tcW w:w="1746" w:type="dxa"/>
            <w:vAlign w:val="center"/>
          </w:tcPr>
          <w:p w14:paraId="48904C94">
            <w:pPr>
              <w:jc w:val="center"/>
            </w:pPr>
            <w:r>
              <w:rPr>
                <w:sz w:val="20"/>
              </w:rPr>
              <w:t>神经长期记忆、测试时上下文记忆</w:t>
            </w:r>
          </w:p>
        </w:tc>
        <w:tc>
          <w:tcPr>
            <w:tcW w:w="1746" w:type="dxa"/>
            <w:vAlign w:val="center"/>
          </w:tcPr>
          <w:p w14:paraId="62D6A39A">
            <w:pPr>
              <w:jc w:val="center"/>
            </w:pPr>
            <w:r>
              <w:rPr>
                <w:sz w:val="20"/>
              </w:rPr>
              <w:t>有望突破固定窗口限制</w:t>
            </w:r>
          </w:p>
        </w:tc>
        <w:tc>
          <w:tcPr>
            <w:tcW w:w="1746" w:type="dxa"/>
            <w:vAlign w:val="center"/>
          </w:tcPr>
          <w:p w14:paraId="5F4F42FB">
            <w:pPr>
              <w:jc w:val="center"/>
            </w:pPr>
            <w:r>
              <w:rPr>
                <w:sz w:val="20"/>
              </w:rPr>
              <w:t>安全、隐私、可控遗忘和审计困难</w:t>
            </w:r>
          </w:p>
        </w:tc>
      </w:tr>
    </w:tbl>
    <w:p w14:paraId="10F085A1"/>
    <w:p w14:paraId="76433D3D">
      <w:pPr>
        <w:pStyle w:val="2"/>
        <w:spacing w:before="240" w:after="120"/>
        <w:jc w:val="center"/>
      </w:pPr>
      <w:bookmarkStart w:id="15" w:name="_Toc231937655"/>
      <w:r>
        <w:t>第五章 个人思考：深度学习未来发展的方向</w:t>
      </w:r>
      <w:bookmarkEnd w:id="15"/>
    </w:p>
    <w:p w14:paraId="0C913F81">
      <w:pPr>
        <w:pStyle w:val="31"/>
        <w:spacing w:before="200" w:after="80"/>
      </w:pPr>
      <w:bookmarkStart w:id="16" w:name="_Toc231937656"/>
      <w:r>
        <w:t>5.1 第一，规模化仍重要，但“有效计算”比“总参数”更重要</w:t>
      </w:r>
      <w:bookmarkEnd w:id="16"/>
    </w:p>
    <w:p w14:paraId="3B3DF288">
      <w:pPr>
        <w:spacing w:after="120" w:line="300" w:lineRule="auto"/>
        <w:ind w:firstLine="420"/>
      </w:pPr>
      <w:r>
        <w:t>过去十年里，深度学习多次证明规模化的威力：更多数据、更大模型和更多计算通常带来更强能力。但随着模型进入数百亿、千亿乃至更大参数规模，单纯堆参数的边际收益下降，训练和推理成本却急剧上升。我认为未来竞争的核心不是谁宣称参数更多，而是谁能把有限计算用在最有价值的 token、专家、记忆和工具上。MoE、MLA、低比特训练、KV cache 优化和专家并行都指向同一个目标：让能力增长不再等价于成本线性增长。</w:t>
      </w:r>
    </w:p>
    <w:p w14:paraId="528E2DDC">
      <w:pPr>
        <w:pStyle w:val="31"/>
        <w:spacing w:before="200" w:after="80"/>
      </w:pPr>
      <w:bookmarkStart w:id="17" w:name="_Toc231937657"/>
      <w:r>
        <w:t>5.2 第二，模型会从静态函数走向带记忆的任务系统</w:t>
      </w:r>
      <w:bookmarkEnd w:id="17"/>
    </w:p>
    <w:p w14:paraId="338244B0">
      <w:pPr>
        <w:spacing w:after="120" w:line="300" w:lineRule="auto"/>
        <w:ind w:firstLine="420"/>
      </w:pPr>
      <w:r>
        <w:t>传统神经网络更像一个静态函数：输入一次，输出一次。基础模型已经开始具备上下文学习能力，但这种学习主要存在于上下文窗口内。未来如果测试时记忆、外部检索、长期用户记忆和工具调用结合起来，模型就会从“回答器”变成“任务系统”。它不仅生成答案，还维护状态、调用工具、反思失败、积累偏好并在多轮任务中调整策略。</w:t>
      </w:r>
    </w:p>
    <w:p w14:paraId="2791DFC4">
      <w:pPr>
        <w:spacing w:after="120" w:line="300" w:lineRule="auto"/>
        <w:ind w:firstLine="420"/>
      </w:pPr>
      <w:r>
        <w:t>这里的关键挑战不是“能不能记住”，而是“如何可靠地记住”。如果模型没有可解释的记忆边界，它可能会把错误信息长期固化；如果没有遗忘机制，它可能泄露隐私；如果没有审计接口，用户无法知道模型行为为何改变。因此，我认为未来的架构研究需要把记忆模块和治理机制一起设计，而不能只关注长上下文排行榜。</w:t>
      </w:r>
    </w:p>
    <w:p w14:paraId="22423527">
      <w:pPr>
        <w:pStyle w:val="31"/>
        <w:spacing w:before="200" w:after="80"/>
      </w:pPr>
      <w:bookmarkStart w:id="18" w:name="_Toc231937658"/>
      <w:r>
        <w:t>5.3 第三，多模态统一会继续推进，但专用归纳偏置不会消失</w:t>
      </w:r>
      <w:bookmarkEnd w:id="18"/>
    </w:p>
    <w:p w14:paraId="60FDCF90">
      <w:pPr>
        <w:spacing w:after="120" w:line="300" w:lineRule="auto"/>
        <w:ind w:firstLine="420"/>
      </w:pPr>
      <w:r>
        <w:t>Transformer 的成功让人容易产生一种误解：只要把所有东西 token 化，统一模型就能解决一切。现实可能更复杂。图像、视频、语音、动作和结构化数据的统计规律不同，完全统一的 token 序列可能牺牲效率。未来更可能出现“统一接口 + 专用编码器/解码器 + 共享推理核心”的组合模式：底层保留模态归纳偏置，中层共享表示，高层统一推理和规划。</w:t>
      </w:r>
    </w:p>
    <w:p w14:paraId="0410C293">
      <w:pPr>
        <w:spacing w:after="120" w:line="300" w:lineRule="auto"/>
        <w:ind w:firstLine="420"/>
      </w:pPr>
      <w:r>
        <w:t>这也解释了为什么 DiT、ViT、VLM 和多模态生成模型会同时存在。它们并不是简单替代关系，而是在寻找统一性与专用性的平衡。</w:t>
      </w:r>
    </w:p>
    <w:p w14:paraId="12052D2A">
      <w:pPr>
        <w:pStyle w:val="31"/>
        <w:spacing w:before="200" w:after="80"/>
      </w:pPr>
      <w:bookmarkStart w:id="19" w:name="_Toc231937659"/>
      <w:r>
        <w:t>5.4 第四，可信、可验证和可解释会成为架构指标</w:t>
      </w:r>
      <w:bookmarkEnd w:id="19"/>
    </w:p>
    <w:p w14:paraId="6BA25ABA">
      <w:pPr>
        <w:spacing w:after="120" w:line="300" w:lineRule="auto"/>
        <w:ind w:firstLine="420"/>
      </w:pPr>
      <w:r>
        <w:t>目前很多模型能力评估集中在准确率、困惑度、数学题、代码题和人类偏好上。但在真实应用中，用户更关心的是：模型是否知道自己不知道？能否引用来源？能否稳定遵守约束？能否在关键任务中给出可检查中间过程？能否在错误后修正而不是自信地继续编造？</w:t>
      </w:r>
    </w:p>
    <w:p w14:paraId="4E7F93CC">
      <w:pPr>
        <w:spacing w:after="120" w:line="300" w:lineRule="auto"/>
        <w:ind w:firstLine="420"/>
      </w:pPr>
      <w:r>
        <w:t>因此，我认为未来深度学习架构会越来越重视可验证性。检索增强、工具调用、程序化验证、符号约束、可追踪记忆和外部执行环境都可能成为模型的一部分。模型本体不一定要把所有知识和推理都塞进参数中，而应学会把问题分解到可靠工具、数据库、模拟器和验证器中。</w:t>
      </w:r>
    </w:p>
    <w:p w14:paraId="0F55C743">
      <w:pPr>
        <w:pStyle w:val="31"/>
        <w:spacing w:before="200" w:after="80"/>
      </w:pPr>
      <w:bookmarkStart w:id="20" w:name="_Toc231937660"/>
      <w:r>
        <w:t>5.5 第五，开源与标准化基准会影响架构方向</w:t>
      </w:r>
      <w:bookmarkEnd w:id="20"/>
    </w:p>
    <w:p w14:paraId="68CA1A1F">
      <w:pPr>
        <w:spacing w:after="120" w:line="300" w:lineRule="auto"/>
        <w:ind w:firstLine="420"/>
      </w:pPr>
      <w:r>
        <w:t>DeepSeek-V3 被 MLCommons 纳入 MLPerf Training v6.0 MoE 预训练基准，说明架构创新一旦进入标准化评测，就会影响硬件厂商、训练框架和部署生态。开源权重、公开技术报告和可复现实验会让研究者更清楚地看到模型能力来自哪里，而不是只能猜测闭源系统。</w:t>
      </w:r>
    </w:p>
    <w:p w14:paraId="2C590DBA">
      <w:pPr>
        <w:spacing w:after="120" w:line="300" w:lineRule="auto"/>
        <w:ind w:firstLine="420"/>
      </w:pPr>
      <w:r>
        <w:t>对课程学习者来说，这一点很重要：理解深度学习不能只看产品发布，也要看论文、技术报告、训练基准、开源实现和硬件约束。只有这样，才能分辨“真实架构创新”和“包装成新概念的工程调参”。</w:t>
      </w:r>
    </w:p>
    <w:p w14:paraId="6F7052B6">
      <w:pPr>
        <w:spacing w:before="120"/>
        <w:jc w:val="center"/>
      </w:pPr>
      <w:r>
        <w:drawing>
          <wp:inline distT="0" distB="0" distL="0" distR="0">
            <wp:extent cx="5219700" cy="29375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20000" cy="2937811"/>
                    </a:xfrm>
                    <a:prstGeom prst="rect">
                      <a:avLst/>
                    </a:prstGeom>
                  </pic:spPr>
                </pic:pic>
              </a:graphicData>
            </a:graphic>
          </wp:inline>
        </w:drawing>
      </w:r>
    </w:p>
    <w:p w14:paraId="43220E85">
      <w:pPr>
        <w:spacing w:after="120"/>
        <w:jc w:val="center"/>
      </w:pPr>
      <w:r>
        <w:t>图5.1 概念图：未来基础模型架构的多模块协同</w:t>
      </w:r>
    </w:p>
    <w:p w14:paraId="0C93EEA5">
      <w:pPr>
        <w:pStyle w:val="2"/>
        <w:spacing w:before="240" w:after="120"/>
        <w:jc w:val="center"/>
      </w:pPr>
      <w:bookmarkStart w:id="21" w:name="_Toc231937661"/>
      <w:r>
        <w:t>第六章 结论</w:t>
      </w:r>
      <w:bookmarkEnd w:id="21"/>
    </w:p>
    <w:p w14:paraId="2236D9C1">
      <w:pPr>
        <w:spacing w:after="120" w:line="300" w:lineRule="auto"/>
        <w:ind w:firstLine="420"/>
      </w:pPr>
      <w:r>
        <w:t>深度学习模型的发展历程可以概括为三条主线。第一条是可训练性：从感知机到反向传播、残差连接和归一化，研究者不断让更深、更大的网络可优化。第二条是表示结构：CNN、RNN/LSTM、Transformer、ViT、DiT、SSM 和 MoE 都是在为不同数据结构寻找更合适的表示方式。第三条是规模与系统：大数据、GPU/TPU、低比特训练、KV cache 优化、专家并行和 MLPerf 基准共同决定了模型能否真正部署。</w:t>
      </w:r>
    </w:p>
    <w:p w14:paraId="2D4C823A">
      <w:pPr>
        <w:spacing w:after="120" w:line="300" w:lineRule="auto"/>
        <w:ind w:firstLine="420"/>
      </w:pPr>
      <w:r>
        <w:t>目前最新的公开架构趋势不是某一个单点革命，而是多种机制的融合：Transformer 仍是基础模型核心，MoE 负责条件计算，MLA 和低比特优化降低部署成本，Mamba/Mamba-2 和 Titans/ATLAS 探索长序列与长期记忆，DiT 和多模态模型把生成与跨模态理解统一到 token 化框架中。我的最终判断是：深度学习的未来不会只属于“更大的模型”，而会属于“更高效、更可控、更会记忆、更能调用工具并且更容易被验证的模型系统”。</w:t>
      </w:r>
    </w:p>
    <w:p w14:paraId="6B2CBEFD"/>
    <w:p w14:paraId="2EA7DA89">
      <w:r>
        <w:br w:type="page"/>
      </w:r>
    </w:p>
    <w:p w14:paraId="78777F86">
      <w:pPr>
        <w:pStyle w:val="2"/>
        <w:spacing w:before="240" w:after="120"/>
        <w:jc w:val="center"/>
      </w:pPr>
      <w:bookmarkStart w:id="22" w:name="_Toc231937662"/>
      <w:r>
        <w:t>参考文献</w:t>
      </w:r>
      <w:bookmarkEnd w:id="22"/>
    </w:p>
    <w:p w14:paraId="1B643C01">
      <w:pPr>
        <w:spacing w:after="80" w:line="252" w:lineRule="auto"/>
        <w:ind w:left="408" w:hanging="408"/>
      </w:pPr>
      <w:r>
        <w:rPr>
          <w:sz w:val="20"/>
        </w:rPr>
        <w:t>[1] Rosenblatt, F. The perceptron: a probabilistic model for information storage and organization in the brain. Psychological Review, 1958. https://doi.org/10.1037/h0042519</w:t>
      </w:r>
    </w:p>
    <w:p w14:paraId="6F5EC3CF">
      <w:pPr>
        <w:spacing w:after="80" w:line="252" w:lineRule="auto"/>
        <w:ind w:left="408" w:hanging="408"/>
      </w:pPr>
      <w:r>
        <w:rPr>
          <w:sz w:val="20"/>
        </w:rPr>
        <w:t>[2] Rumelhart, D. E., Hinton, G. E., Williams, R. J. Learning representations by back-propagating errors. Nature, 1986. https://www.nature.com/articles/323533a0</w:t>
      </w:r>
    </w:p>
    <w:p w14:paraId="218AC70D">
      <w:pPr>
        <w:spacing w:after="80" w:line="252" w:lineRule="auto"/>
        <w:ind w:left="408" w:hanging="408"/>
      </w:pPr>
      <w:r>
        <w:rPr>
          <w:sz w:val="20"/>
        </w:rPr>
        <w:t>[3] Hochreiter, S., Schmidhuber, J. Long Short-Term Memory. Neural Computation, 1997. https://doi.org/10.1162/neco.1997.9.8.1735</w:t>
      </w:r>
    </w:p>
    <w:p w14:paraId="6402F218">
      <w:pPr>
        <w:spacing w:after="80" w:line="252" w:lineRule="auto"/>
        <w:ind w:left="408" w:hanging="408"/>
      </w:pPr>
      <w:r>
        <w:rPr>
          <w:sz w:val="20"/>
        </w:rPr>
        <w:t>[4] LeCun, Y., Bengio, Y., Hinton, G. Deep learning. Nature, 2015. https://doi.org/10.1038/nature14539</w:t>
      </w:r>
    </w:p>
    <w:p w14:paraId="600E81A5">
      <w:pPr>
        <w:spacing w:after="80" w:line="252" w:lineRule="auto"/>
        <w:ind w:left="408" w:hanging="408"/>
      </w:pPr>
      <w:r>
        <w:rPr>
          <w:sz w:val="20"/>
        </w:rPr>
        <w:t>[5] Krizhevsky, A., Sutskever, I., Hinton, G. E. ImageNet Classification with Deep Convolutional Neural Networks. NeurIPS, 2012. https://papers.neurips.cc/paper/4824-imagenet-classification-with-deep-convolutional-neural-networks</w:t>
      </w:r>
    </w:p>
    <w:p w14:paraId="27908B9B">
      <w:pPr>
        <w:spacing w:after="80" w:line="252" w:lineRule="auto"/>
        <w:ind w:left="408" w:hanging="408"/>
      </w:pPr>
      <w:r>
        <w:rPr>
          <w:sz w:val="20"/>
        </w:rPr>
        <w:t>[6] He, K., Zhang, X., Ren, S., Sun, J. Deep Residual Learning for Image Recognition. arXiv:1512.03385, 2015. https://arxiv.org/abs/1512.03385</w:t>
      </w:r>
    </w:p>
    <w:p w14:paraId="6F488C07">
      <w:pPr>
        <w:spacing w:after="80" w:line="252" w:lineRule="auto"/>
        <w:ind w:left="408" w:hanging="408"/>
      </w:pPr>
      <w:r>
        <w:rPr>
          <w:sz w:val="20"/>
        </w:rPr>
        <w:t>[7] Goodfellow, I. et al. Generative Adversarial Nets. NeurIPS, 2014. https://papers.nips.cc/paper/5423-generative-adversarial-nets</w:t>
      </w:r>
    </w:p>
    <w:p w14:paraId="4D30D6C3">
      <w:pPr>
        <w:spacing w:after="80" w:line="252" w:lineRule="auto"/>
        <w:ind w:left="408" w:hanging="408"/>
      </w:pPr>
      <w:r>
        <w:rPr>
          <w:sz w:val="20"/>
        </w:rPr>
        <w:t>[8] Vaswani, A. et al. Attention Is All You Need. NeurIPS, 2017. https://arxiv.org/abs/1706.03762</w:t>
      </w:r>
    </w:p>
    <w:p w14:paraId="65ABD82B">
      <w:pPr>
        <w:spacing w:after="80" w:line="252" w:lineRule="auto"/>
        <w:ind w:left="408" w:hanging="408"/>
      </w:pPr>
      <w:r>
        <w:rPr>
          <w:sz w:val="20"/>
        </w:rPr>
        <w:t>[9] Devlin, J. et al. BERT: Pre-training of Deep Bidirectional Transformers for Language Understanding. arXiv:1810.04805, 2018. https://arxiv.org/abs/1810.04805</w:t>
      </w:r>
    </w:p>
    <w:p w14:paraId="0C90E7F4">
      <w:pPr>
        <w:spacing w:after="80" w:line="252" w:lineRule="auto"/>
        <w:ind w:left="408" w:hanging="408"/>
      </w:pPr>
      <w:r>
        <w:rPr>
          <w:sz w:val="20"/>
        </w:rPr>
        <w:t>[10] Brown, T. B. et al. Language Models are Few-Shot Learners. NeurIPS, 2020. https://papers.neurips.cc/paper/2020/hash/1457c0d6bfcb4967418bfb8ac142f64a-Abstract.html</w:t>
      </w:r>
    </w:p>
    <w:p w14:paraId="2E1F388F">
      <w:pPr>
        <w:spacing w:after="80" w:line="252" w:lineRule="auto"/>
        <w:ind w:left="408" w:hanging="408"/>
      </w:pPr>
      <w:r>
        <w:rPr>
          <w:sz w:val="20"/>
        </w:rPr>
        <w:t>[11] Dosovitskiy, A. et al. An Image is Worth 16x16 Words: Transformers for Image Recognition at Scale. arXiv:2010.11929, 2020. https://arxiv.org/abs/2010.11929</w:t>
      </w:r>
    </w:p>
    <w:p w14:paraId="7EC99346">
      <w:pPr>
        <w:spacing w:after="80" w:line="252" w:lineRule="auto"/>
        <w:ind w:left="408" w:hanging="408"/>
      </w:pPr>
      <w:r>
        <w:rPr>
          <w:sz w:val="20"/>
        </w:rPr>
        <w:t>[12] Ho, J., Jain, A., Abbeel, P. Denoising Diffusion Probabilistic Models. NeurIPS, 2020. https://arxiv.org/abs/2006.11239</w:t>
      </w:r>
    </w:p>
    <w:p w14:paraId="1623CFA8">
      <w:pPr>
        <w:spacing w:after="80" w:line="252" w:lineRule="auto"/>
        <w:ind w:left="408" w:hanging="408"/>
      </w:pPr>
      <w:r>
        <w:rPr>
          <w:sz w:val="20"/>
        </w:rPr>
        <w:t>[13] Peebles, W., Xie, S. Scalable Diffusion Models with Transformers. ICCV, 2023. https://arxiv.org/abs/2212.09748</w:t>
      </w:r>
    </w:p>
    <w:p w14:paraId="76E210CE">
      <w:pPr>
        <w:spacing w:after="80" w:line="252" w:lineRule="auto"/>
        <w:ind w:left="408" w:hanging="408"/>
      </w:pPr>
      <w:r>
        <w:rPr>
          <w:sz w:val="20"/>
        </w:rPr>
        <w:t>[14] Gu, A., Dao, T. Mamba: Linear-Time Sequence Modeling with Selective State Spaces. arXiv:2312.00752, 2023. https://arxiv.org/abs/2312.00752</w:t>
      </w:r>
    </w:p>
    <w:p w14:paraId="59ABB88E">
      <w:pPr>
        <w:spacing w:after="80" w:line="252" w:lineRule="auto"/>
        <w:ind w:left="408" w:hanging="408"/>
      </w:pPr>
      <w:r>
        <w:rPr>
          <w:sz w:val="20"/>
        </w:rPr>
        <w:t>[15] Dao, T., Gu, A. Transformers are SSMs: Generalized Models and Efficient Algorithms Through Structured State Space Duality. arXiv:2405.21060, 2024. https://arxiv.org/abs/2405.21060</w:t>
      </w:r>
    </w:p>
    <w:p w14:paraId="2BD3F408">
      <w:pPr>
        <w:spacing w:after="80" w:line="252" w:lineRule="auto"/>
        <w:ind w:left="408" w:hanging="408"/>
      </w:pPr>
      <w:r>
        <w:rPr>
          <w:sz w:val="20"/>
        </w:rPr>
        <w:t>[16] Lieber, O. et al. Jamba: A Hybrid Transformer-Mamba Language Model. arXiv:2403.19887, 2024. https://arxiv.org/abs/2403.19887</w:t>
      </w:r>
    </w:p>
    <w:p w14:paraId="7D45A594">
      <w:pPr>
        <w:spacing w:after="80" w:line="252" w:lineRule="auto"/>
        <w:ind w:left="408" w:hanging="408"/>
      </w:pPr>
      <w:r>
        <w:rPr>
          <w:sz w:val="20"/>
        </w:rPr>
        <w:t>[17] DeepSeek-AI. DeepSeek-V3 Technical Report. arXiv:2412.19437, 2024. https://arxiv.org/abs/2412.19437</w:t>
      </w:r>
    </w:p>
    <w:p w14:paraId="73EE1453">
      <w:pPr>
        <w:spacing w:after="80" w:line="252" w:lineRule="auto"/>
        <w:ind w:left="408" w:hanging="408"/>
      </w:pPr>
      <w:r>
        <w:rPr>
          <w:sz w:val="20"/>
        </w:rPr>
        <w:t>[18] DeepSeek-AI. DeepSeek-V3 official repository and model summary. GitHub, 2024-2026. https://github.com/deepseek-ai/DeepSeek-V3</w:t>
      </w:r>
    </w:p>
    <w:p w14:paraId="0F8EB435">
      <w:pPr>
        <w:spacing w:after="80" w:line="252" w:lineRule="auto"/>
        <w:ind w:left="408" w:hanging="408"/>
      </w:pPr>
      <w:r>
        <w:rPr>
          <w:sz w:val="20"/>
        </w:rPr>
        <w:t>[19] Behrouz, A., Zhong, P., Mirrokni, V. Titans: Learning to Memorize at Test Time. arXiv:2501.00663 / NeurIPS 2025. https://arxiv.org/abs/2501.00663</w:t>
      </w:r>
    </w:p>
    <w:p w14:paraId="70A41910">
      <w:pPr>
        <w:spacing w:after="80" w:line="252" w:lineRule="auto"/>
        <w:ind w:left="408" w:hanging="408"/>
      </w:pPr>
      <w:r>
        <w:rPr>
          <w:sz w:val="20"/>
        </w:rPr>
        <w:t>[20] Behrouz, A. et al. ATLAS: Learning to Optimally Memorize the Context at Test Time. arXiv:2505.23735, 2025. https://arxiv.org/abs/2505.23735</w:t>
      </w:r>
    </w:p>
    <w:p w14:paraId="62626369">
      <w:pPr>
        <w:spacing w:after="80" w:line="252" w:lineRule="auto"/>
        <w:ind w:left="408" w:hanging="408"/>
      </w:pPr>
      <w:r>
        <w:rPr>
          <w:sz w:val="20"/>
        </w:rPr>
        <w:t>[21] MLCommons. DeepSeek-V3: A Large-Scale MoE Pretraining Benchmark for MLPerf Training v6.0. 2026-05-05. https://mlcommons.org/2026/05/deepseek-v3-training-v6-0/</w:t>
      </w:r>
    </w:p>
    <w:sectPr>
      <w:footerReference r:id="rId3" w:type="default"/>
      <w:pgSz w:w="11906" w:h="16838"/>
      <w:pgMar w:top="1440" w:right="1474" w:bottom="1440" w:left="1701"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ED27B965-D3AF-4E26-9FD9-F74604E0304B}"/>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6AE28F54-B724-4CB5-986B-5E9D37FBC021}"/>
  </w:font>
  <w:font w:name="Cambria">
    <w:panose1 w:val="02040503050406030204"/>
    <w:charset w:val="00"/>
    <w:family w:val="roman"/>
    <w:pitch w:val="default"/>
    <w:sig w:usb0="E00006FF" w:usb1="420024FF" w:usb2="02000000" w:usb3="00000000" w:csb0="2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swiss"/>
    <w:pitch w:val="default"/>
    <w:sig w:usb0="80000287" w:usb1="2ACF3C50" w:usb2="00000016" w:usb3="00000000" w:csb0="0004001F" w:csb1="00000000"/>
    <w:embedRegular r:id="rId3" w:fontKey="{4B65D4C7-D26D-43AE-A5CD-CAAE64AFC888}"/>
  </w:font>
  <w:font w:name="方正大标宋简体">
    <w:panose1 w:val="02000000000000000000"/>
    <w:charset w:val="86"/>
    <w:family w:val="script"/>
    <w:pitch w:val="default"/>
    <w:sig w:usb0="A00002BF" w:usb1="184F6CFA" w:usb2="00000012" w:usb3="00000000" w:csb0="00040001" w:csb1="00000000"/>
    <w:embedRegular r:id="rId4" w:fontKey="{F4088B0D-C35D-4EED-A5F3-92AE0E091BE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27305444"/>
    </w:sdtPr>
    <w:sdtContent>
      <w:p w14:paraId="01CCBB3C">
        <w:pPr>
          <w:pStyle w:val="8"/>
          <w:jc w:val="center"/>
        </w:pPr>
        <w:r>
          <w:fldChar w:fldCharType="begin"/>
        </w:r>
        <w:r>
          <w:instrText xml:space="preserve">PAGE   \* MERGEFORMAT</w:instrText>
        </w:r>
        <w:r>
          <w:fldChar w:fldCharType="separate"/>
        </w:r>
        <w:r>
          <w:rPr>
            <w:lang w:val="zh-CN"/>
          </w:rPr>
          <w:t>2</w:t>
        </w:r>
        <w:r>
          <w:fldChar w:fldCharType="end"/>
        </w:r>
      </w:p>
    </w:sdtContent>
  </w:sdt>
  <w:p w14:paraId="2637A0A6">
    <w:pPr>
      <w:pStyle w:val="8"/>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36D8"/>
    <w:rsid w:val="00005075"/>
    <w:rsid w:val="000249E2"/>
    <w:rsid w:val="000264B7"/>
    <w:rsid w:val="00034DD2"/>
    <w:rsid w:val="000365EE"/>
    <w:rsid w:val="00041B59"/>
    <w:rsid w:val="00041D8D"/>
    <w:rsid w:val="00046A61"/>
    <w:rsid w:val="00047B1A"/>
    <w:rsid w:val="00052E49"/>
    <w:rsid w:val="00057CC3"/>
    <w:rsid w:val="00065AE8"/>
    <w:rsid w:val="00093B98"/>
    <w:rsid w:val="000A4B3D"/>
    <w:rsid w:val="000A73B4"/>
    <w:rsid w:val="000A783F"/>
    <w:rsid w:val="000B039B"/>
    <w:rsid w:val="000C5566"/>
    <w:rsid w:val="000D00BF"/>
    <w:rsid w:val="000D10FC"/>
    <w:rsid w:val="000D16BA"/>
    <w:rsid w:val="000D6354"/>
    <w:rsid w:val="000E4344"/>
    <w:rsid w:val="000E5150"/>
    <w:rsid w:val="000E6643"/>
    <w:rsid w:val="000F0DAF"/>
    <w:rsid w:val="000F7ED3"/>
    <w:rsid w:val="001076DE"/>
    <w:rsid w:val="0011447B"/>
    <w:rsid w:val="0011582F"/>
    <w:rsid w:val="00121C9A"/>
    <w:rsid w:val="00121F42"/>
    <w:rsid w:val="00124045"/>
    <w:rsid w:val="00125645"/>
    <w:rsid w:val="00126BDD"/>
    <w:rsid w:val="0013084B"/>
    <w:rsid w:val="0013439F"/>
    <w:rsid w:val="00134613"/>
    <w:rsid w:val="00136A2A"/>
    <w:rsid w:val="0014317B"/>
    <w:rsid w:val="001457AB"/>
    <w:rsid w:val="001551B7"/>
    <w:rsid w:val="00160BCE"/>
    <w:rsid w:val="001630C3"/>
    <w:rsid w:val="00166CB1"/>
    <w:rsid w:val="00175542"/>
    <w:rsid w:val="00180C64"/>
    <w:rsid w:val="0018703C"/>
    <w:rsid w:val="00187356"/>
    <w:rsid w:val="0019523C"/>
    <w:rsid w:val="001A359C"/>
    <w:rsid w:val="001A5B2D"/>
    <w:rsid w:val="001A69CA"/>
    <w:rsid w:val="001B61B5"/>
    <w:rsid w:val="001C0F6E"/>
    <w:rsid w:val="001C22F4"/>
    <w:rsid w:val="001C3AAC"/>
    <w:rsid w:val="001C5E15"/>
    <w:rsid w:val="001D30D0"/>
    <w:rsid w:val="001D43A8"/>
    <w:rsid w:val="001D52D7"/>
    <w:rsid w:val="001E1F8F"/>
    <w:rsid w:val="001E4F91"/>
    <w:rsid w:val="001F0865"/>
    <w:rsid w:val="001F7ADD"/>
    <w:rsid w:val="0020217A"/>
    <w:rsid w:val="00210B57"/>
    <w:rsid w:val="00212D14"/>
    <w:rsid w:val="00212F18"/>
    <w:rsid w:val="00215F85"/>
    <w:rsid w:val="00216FAD"/>
    <w:rsid w:val="00224CEC"/>
    <w:rsid w:val="00227B7E"/>
    <w:rsid w:val="00231F40"/>
    <w:rsid w:val="00232021"/>
    <w:rsid w:val="00240E64"/>
    <w:rsid w:val="00241A11"/>
    <w:rsid w:val="0024224C"/>
    <w:rsid w:val="002425E3"/>
    <w:rsid w:val="002427BD"/>
    <w:rsid w:val="00244F5E"/>
    <w:rsid w:val="00246710"/>
    <w:rsid w:val="002470A9"/>
    <w:rsid w:val="00257D80"/>
    <w:rsid w:val="00264AC1"/>
    <w:rsid w:val="0027211F"/>
    <w:rsid w:val="0028309D"/>
    <w:rsid w:val="00284EB7"/>
    <w:rsid w:val="00287111"/>
    <w:rsid w:val="002877BB"/>
    <w:rsid w:val="002A0520"/>
    <w:rsid w:val="002A06A6"/>
    <w:rsid w:val="002B117C"/>
    <w:rsid w:val="002B4FF6"/>
    <w:rsid w:val="002B50D5"/>
    <w:rsid w:val="002C2B9A"/>
    <w:rsid w:val="002C2D3C"/>
    <w:rsid w:val="002C51EA"/>
    <w:rsid w:val="002D3BEF"/>
    <w:rsid w:val="002E4700"/>
    <w:rsid w:val="002E4C4A"/>
    <w:rsid w:val="002F0CC9"/>
    <w:rsid w:val="002F3BAA"/>
    <w:rsid w:val="002F71D2"/>
    <w:rsid w:val="003017B9"/>
    <w:rsid w:val="00305E8D"/>
    <w:rsid w:val="0033365C"/>
    <w:rsid w:val="00335409"/>
    <w:rsid w:val="00342886"/>
    <w:rsid w:val="00354596"/>
    <w:rsid w:val="00355DC7"/>
    <w:rsid w:val="00370AC9"/>
    <w:rsid w:val="00377858"/>
    <w:rsid w:val="00387A19"/>
    <w:rsid w:val="00387CED"/>
    <w:rsid w:val="00396015"/>
    <w:rsid w:val="003A2055"/>
    <w:rsid w:val="003A41C4"/>
    <w:rsid w:val="003B5CDE"/>
    <w:rsid w:val="003D3201"/>
    <w:rsid w:val="003D5444"/>
    <w:rsid w:val="003D5650"/>
    <w:rsid w:val="003D6F04"/>
    <w:rsid w:val="003E013D"/>
    <w:rsid w:val="003F08EC"/>
    <w:rsid w:val="003F651D"/>
    <w:rsid w:val="004035ED"/>
    <w:rsid w:val="0042244E"/>
    <w:rsid w:val="004241EB"/>
    <w:rsid w:val="00424657"/>
    <w:rsid w:val="00425560"/>
    <w:rsid w:val="004263C0"/>
    <w:rsid w:val="00426E37"/>
    <w:rsid w:val="00430FFB"/>
    <w:rsid w:val="00431F4C"/>
    <w:rsid w:val="00433496"/>
    <w:rsid w:val="00455790"/>
    <w:rsid w:val="0046287F"/>
    <w:rsid w:val="00463FDB"/>
    <w:rsid w:val="004646CB"/>
    <w:rsid w:val="00472AD6"/>
    <w:rsid w:val="00472F3E"/>
    <w:rsid w:val="004777DC"/>
    <w:rsid w:val="00483620"/>
    <w:rsid w:val="00483D75"/>
    <w:rsid w:val="00486432"/>
    <w:rsid w:val="00486EA1"/>
    <w:rsid w:val="004936C1"/>
    <w:rsid w:val="0049426A"/>
    <w:rsid w:val="00497A08"/>
    <w:rsid w:val="004A1CD5"/>
    <w:rsid w:val="004B4CE4"/>
    <w:rsid w:val="004B5E90"/>
    <w:rsid w:val="004C1860"/>
    <w:rsid w:val="004D1033"/>
    <w:rsid w:val="004D21CE"/>
    <w:rsid w:val="004D5F8E"/>
    <w:rsid w:val="004D6D46"/>
    <w:rsid w:val="004E04C3"/>
    <w:rsid w:val="004E4B87"/>
    <w:rsid w:val="004E6D23"/>
    <w:rsid w:val="004F06C7"/>
    <w:rsid w:val="004F49A5"/>
    <w:rsid w:val="0050125C"/>
    <w:rsid w:val="00510E74"/>
    <w:rsid w:val="00517B1C"/>
    <w:rsid w:val="0054412F"/>
    <w:rsid w:val="0054505F"/>
    <w:rsid w:val="0055240D"/>
    <w:rsid w:val="00555752"/>
    <w:rsid w:val="005578BD"/>
    <w:rsid w:val="00561E09"/>
    <w:rsid w:val="00564BED"/>
    <w:rsid w:val="00566E1E"/>
    <w:rsid w:val="0057565B"/>
    <w:rsid w:val="0057681D"/>
    <w:rsid w:val="005801BA"/>
    <w:rsid w:val="00582DA0"/>
    <w:rsid w:val="00583623"/>
    <w:rsid w:val="00584915"/>
    <w:rsid w:val="00586A91"/>
    <w:rsid w:val="00595F13"/>
    <w:rsid w:val="005A50F8"/>
    <w:rsid w:val="005A5261"/>
    <w:rsid w:val="005B1797"/>
    <w:rsid w:val="005B4A26"/>
    <w:rsid w:val="005B4B92"/>
    <w:rsid w:val="005C0F1A"/>
    <w:rsid w:val="005C14BB"/>
    <w:rsid w:val="005C61F6"/>
    <w:rsid w:val="005D65B0"/>
    <w:rsid w:val="005D7287"/>
    <w:rsid w:val="005E0724"/>
    <w:rsid w:val="005E14AD"/>
    <w:rsid w:val="005F0103"/>
    <w:rsid w:val="005F59E0"/>
    <w:rsid w:val="00602B04"/>
    <w:rsid w:val="0060422F"/>
    <w:rsid w:val="0061366E"/>
    <w:rsid w:val="00615FB9"/>
    <w:rsid w:val="00624AF1"/>
    <w:rsid w:val="00624BFB"/>
    <w:rsid w:val="00625832"/>
    <w:rsid w:val="006309B7"/>
    <w:rsid w:val="00635228"/>
    <w:rsid w:val="00636475"/>
    <w:rsid w:val="00643C37"/>
    <w:rsid w:val="0064688D"/>
    <w:rsid w:val="006517ED"/>
    <w:rsid w:val="00654B82"/>
    <w:rsid w:val="00656C75"/>
    <w:rsid w:val="00657DE2"/>
    <w:rsid w:val="0066081A"/>
    <w:rsid w:val="0066530D"/>
    <w:rsid w:val="00666C2D"/>
    <w:rsid w:val="00667840"/>
    <w:rsid w:val="0067248D"/>
    <w:rsid w:val="006802EB"/>
    <w:rsid w:val="00681735"/>
    <w:rsid w:val="006832A7"/>
    <w:rsid w:val="00687C22"/>
    <w:rsid w:val="00687FBC"/>
    <w:rsid w:val="00691A33"/>
    <w:rsid w:val="0069280A"/>
    <w:rsid w:val="00692A48"/>
    <w:rsid w:val="006A2EEF"/>
    <w:rsid w:val="006B1CD6"/>
    <w:rsid w:val="006C6DE8"/>
    <w:rsid w:val="006D073D"/>
    <w:rsid w:val="006D7EA5"/>
    <w:rsid w:val="006E12D9"/>
    <w:rsid w:val="006E1CF5"/>
    <w:rsid w:val="006E520D"/>
    <w:rsid w:val="006F3D03"/>
    <w:rsid w:val="006F7127"/>
    <w:rsid w:val="00700E98"/>
    <w:rsid w:val="00701636"/>
    <w:rsid w:val="00705F06"/>
    <w:rsid w:val="00707884"/>
    <w:rsid w:val="007109A0"/>
    <w:rsid w:val="00714AE2"/>
    <w:rsid w:val="0071554D"/>
    <w:rsid w:val="00720D01"/>
    <w:rsid w:val="007227D2"/>
    <w:rsid w:val="0072291B"/>
    <w:rsid w:val="0073230E"/>
    <w:rsid w:val="0073686F"/>
    <w:rsid w:val="00736FF1"/>
    <w:rsid w:val="007422CB"/>
    <w:rsid w:val="00747DF3"/>
    <w:rsid w:val="00753328"/>
    <w:rsid w:val="007541EC"/>
    <w:rsid w:val="00767FA6"/>
    <w:rsid w:val="00771086"/>
    <w:rsid w:val="007875A8"/>
    <w:rsid w:val="0079691C"/>
    <w:rsid w:val="007A5E40"/>
    <w:rsid w:val="007B3384"/>
    <w:rsid w:val="007C587C"/>
    <w:rsid w:val="007D206B"/>
    <w:rsid w:val="007D6F26"/>
    <w:rsid w:val="007D76A7"/>
    <w:rsid w:val="007E2AD5"/>
    <w:rsid w:val="007F4D66"/>
    <w:rsid w:val="00805DB0"/>
    <w:rsid w:val="008076A3"/>
    <w:rsid w:val="00813B42"/>
    <w:rsid w:val="008222F6"/>
    <w:rsid w:val="00822BFA"/>
    <w:rsid w:val="00830B6A"/>
    <w:rsid w:val="0083308D"/>
    <w:rsid w:val="00834077"/>
    <w:rsid w:val="00834744"/>
    <w:rsid w:val="00836D30"/>
    <w:rsid w:val="0088233F"/>
    <w:rsid w:val="00882EF6"/>
    <w:rsid w:val="00884DD7"/>
    <w:rsid w:val="00891A49"/>
    <w:rsid w:val="008A4D69"/>
    <w:rsid w:val="008A5BBE"/>
    <w:rsid w:val="008B1E72"/>
    <w:rsid w:val="008B483F"/>
    <w:rsid w:val="008B7145"/>
    <w:rsid w:val="008C5DF3"/>
    <w:rsid w:val="008C5F2D"/>
    <w:rsid w:val="008C69FF"/>
    <w:rsid w:val="008D0F8E"/>
    <w:rsid w:val="008D3A9A"/>
    <w:rsid w:val="008E107D"/>
    <w:rsid w:val="008E2C4E"/>
    <w:rsid w:val="008E35FC"/>
    <w:rsid w:val="008E48DE"/>
    <w:rsid w:val="00911160"/>
    <w:rsid w:val="00911837"/>
    <w:rsid w:val="00913DA3"/>
    <w:rsid w:val="00914B60"/>
    <w:rsid w:val="00922287"/>
    <w:rsid w:val="00922714"/>
    <w:rsid w:val="00933124"/>
    <w:rsid w:val="00934FF2"/>
    <w:rsid w:val="009611F2"/>
    <w:rsid w:val="00963F02"/>
    <w:rsid w:val="00966713"/>
    <w:rsid w:val="009806FE"/>
    <w:rsid w:val="00982B51"/>
    <w:rsid w:val="0098373E"/>
    <w:rsid w:val="009846D5"/>
    <w:rsid w:val="00987745"/>
    <w:rsid w:val="009A1020"/>
    <w:rsid w:val="009A4D2A"/>
    <w:rsid w:val="009B0C7E"/>
    <w:rsid w:val="009B334C"/>
    <w:rsid w:val="009C0D48"/>
    <w:rsid w:val="009C2808"/>
    <w:rsid w:val="009D1706"/>
    <w:rsid w:val="009D3B02"/>
    <w:rsid w:val="009D578D"/>
    <w:rsid w:val="009D613F"/>
    <w:rsid w:val="009E1857"/>
    <w:rsid w:val="009F0878"/>
    <w:rsid w:val="009F4FBA"/>
    <w:rsid w:val="009F56B9"/>
    <w:rsid w:val="009F5826"/>
    <w:rsid w:val="009F665A"/>
    <w:rsid w:val="00A04B9B"/>
    <w:rsid w:val="00A10AB3"/>
    <w:rsid w:val="00A133DD"/>
    <w:rsid w:val="00A15DB7"/>
    <w:rsid w:val="00A20243"/>
    <w:rsid w:val="00A213E0"/>
    <w:rsid w:val="00A22A1B"/>
    <w:rsid w:val="00A35139"/>
    <w:rsid w:val="00A35727"/>
    <w:rsid w:val="00A40F84"/>
    <w:rsid w:val="00A43F64"/>
    <w:rsid w:val="00A523EE"/>
    <w:rsid w:val="00A52F19"/>
    <w:rsid w:val="00A5433E"/>
    <w:rsid w:val="00A54852"/>
    <w:rsid w:val="00A54EEA"/>
    <w:rsid w:val="00A670AE"/>
    <w:rsid w:val="00A85E13"/>
    <w:rsid w:val="00AA50F6"/>
    <w:rsid w:val="00AB0E9F"/>
    <w:rsid w:val="00AB32A0"/>
    <w:rsid w:val="00AB396F"/>
    <w:rsid w:val="00AB5C33"/>
    <w:rsid w:val="00AC4D61"/>
    <w:rsid w:val="00AD40BF"/>
    <w:rsid w:val="00AD6657"/>
    <w:rsid w:val="00AE1242"/>
    <w:rsid w:val="00AE4068"/>
    <w:rsid w:val="00AE5844"/>
    <w:rsid w:val="00AF44B6"/>
    <w:rsid w:val="00B0019F"/>
    <w:rsid w:val="00B03EBF"/>
    <w:rsid w:val="00B0565D"/>
    <w:rsid w:val="00B14B07"/>
    <w:rsid w:val="00B166A3"/>
    <w:rsid w:val="00B311DD"/>
    <w:rsid w:val="00B37B73"/>
    <w:rsid w:val="00B42D23"/>
    <w:rsid w:val="00B436B1"/>
    <w:rsid w:val="00B501B7"/>
    <w:rsid w:val="00B5419D"/>
    <w:rsid w:val="00B5527C"/>
    <w:rsid w:val="00B642A3"/>
    <w:rsid w:val="00B646DE"/>
    <w:rsid w:val="00B67FBA"/>
    <w:rsid w:val="00B70883"/>
    <w:rsid w:val="00B759CC"/>
    <w:rsid w:val="00B9225A"/>
    <w:rsid w:val="00B93254"/>
    <w:rsid w:val="00BB13AC"/>
    <w:rsid w:val="00BB182A"/>
    <w:rsid w:val="00BB5AAF"/>
    <w:rsid w:val="00BB676A"/>
    <w:rsid w:val="00BC36C0"/>
    <w:rsid w:val="00BC36D8"/>
    <w:rsid w:val="00BC3EE0"/>
    <w:rsid w:val="00BC7165"/>
    <w:rsid w:val="00BE0940"/>
    <w:rsid w:val="00BE19BD"/>
    <w:rsid w:val="00BE34EF"/>
    <w:rsid w:val="00BF24D2"/>
    <w:rsid w:val="00BF739A"/>
    <w:rsid w:val="00C03E93"/>
    <w:rsid w:val="00C0660A"/>
    <w:rsid w:val="00C15190"/>
    <w:rsid w:val="00C162E4"/>
    <w:rsid w:val="00C16562"/>
    <w:rsid w:val="00C2672A"/>
    <w:rsid w:val="00C32A77"/>
    <w:rsid w:val="00C36016"/>
    <w:rsid w:val="00C373D8"/>
    <w:rsid w:val="00C72E52"/>
    <w:rsid w:val="00C7537B"/>
    <w:rsid w:val="00C76B77"/>
    <w:rsid w:val="00C93819"/>
    <w:rsid w:val="00CA1843"/>
    <w:rsid w:val="00CA30E8"/>
    <w:rsid w:val="00CB2069"/>
    <w:rsid w:val="00CE068A"/>
    <w:rsid w:val="00CE51D5"/>
    <w:rsid w:val="00CF0715"/>
    <w:rsid w:val="00D11079"/>
    <w:rsid w:val="00D11BE2"/>
    <w:rsid w:val="00D11BED"/>
    <w:rsid w:val="00D12FDC"/>
    <w:rsid w:val="00D26EDC"/>
    <w:rsid w:val="00D26F20"/>
    <w:rsid w:val="00D41CF3"/>
    <w:rsid w:val="00D41E37"/>
    <w:rsid w:val="00D4384C"/>
    <w:rsid w:val="00D44519"/>
    <w:rsid w:val="00D46F68"/>
    <w:rsid w:val="00D519D8"/>
    <w:rsid w:val="00D64A35"/>
    <w:rsid w:val="00D7663D"/>
    <w:rsid w:val="00D86017"/>
    <w:rsid w:val="00D9065A"/>
    <w:rsid w:val="00D926A0"/>
    <w:rsid w:val="00D97984"/>
    <w:rsid w:val="00DA03D8"/>
    <w:rsid w:val="00DA52F9"/>
    <w:rsid w:val="00DA609B"/>
    <w:rsid w:val="00DA75E6"/>
    <w:rsid w:val="00DC2E1D"/>
    <w:rsid w:val="00DC5CF8"/>
    <w:rsid w:val="00DD03A0"/>
    <w:rsid w:val="00DD3595"/>
    <w:rsid w:val="00DE188D"/>
    <w:rsid w:val="00DE7FB6"/>
    <w:rsid w:val="00E0033C"/>
    <w:rsid w:val="00E0211E"/>
    <w:rsid w:val="00E02ED6"/>
    <w:rsid w:val="00E03D7B"/>
    <w:rsid w:val="00E057C3"/>
    <w:rsid w:val="00E05EA0"/>
    <w:rsid w:val="00E1250D"/>
    <w:rsid w:val="00E128B9"/>
    <w:rsid w:val="00E13EDC"/>
    <w:rsid w:val="00E1599B"/>
    <w:rsid w:val="00E17F53"/>
    <w:rsid w:val="00E212ED"/>
    <w:rsid w:val="00E27191"/>
    <w:rsid w:val="00E32DAA"/>
    <w:rsid w:val="00E345F5"/>
    <w:rsid w:val="00E34666"/>
    <w:rsid w:val="00E53A8B"/>
    <w:rsid w:val="00E573E4"/>
    <w:rsid w:val="00E613FE"/>
    <w:rsid w:val="00E64B5C"/>
    <w:rsid w:val="00E67A34"/>
    <w:rsid w:val="00E70630"/>
    <w:rsid w:val="00E70DE7"/>
    <w:rsid w:val="00E7105D"/>
    <w:rsid w:val="00E734DE"/>
    <w:rsid w:val="00E754E4"/>
    <w:rsid w:val="00E8499B"/>
    <w:rsid w:val="00E86A34"/>
    <w:rsid w:val="00E87E5B"/>
    <w:rsid w:val="00EA3B5A"/>
    <w:rsid w:val="00EA3F6E"/>
    <w:rsid w:val="00EA467E"/>
    <w:rsid w:val="00EA4CD0"/>
    <w:rsid w:val="00EB0046"/>
    <w:rsid w:val="00EB5425"/>
    <w:rsid w:val="00EB5700"/>
    <w:rsid w:val="00EC1022"/>
    <w:rsid w:val="00EC5378"/>
    <w:rsid w:val="00ED3C55"/>
    <w:rsid w:val="00EE24D0"/>
    <w:rsid w:val="00EE302A"/>
    <w:rsid w:val="00F00BA9"/>
    <w:rsid w:val="00F03B35"/>
    <w:rsid w:val="00F04B0F"/>
    <w:rsid w:val="00F1228F"/>
    <w:rsid w:val="00F138AE"/>
    <w:rsid w:val="00F1483E"/>
    <w:rsid w:val="00F25DD1"/>
    <w:rsid w:val="00F26F2B"/>
    <w:rsid w:val="00F30AD4"/>
    <w:rsid w:val="00F30CD9"/>
    <w:rsid w:val="00F352B9"/>
    <w:rsid w:val="00F35C6D"/>
    <w:rsid w:val="00F410F5"/>
    <w:rsid w:val="00F43BFC"/>
    <w:rsid w:val="00F4505C"/>
    <w:rsid w:val="00F46366"/>
    <w:rsid w:val="00F509E9"/>
    <w:rsid w:val="00F520B7"/>
    <w:rsid w:val="00F52D2B"/>
    <w:rsid w:val="00F53C0D"/>
    <w:rsid w:val="00F61C97"/>
    <w:rsid w:val="00F6690A"/>
    <w:rsid w:val="00F74A9C"/>
    <w:rsid w:val="00F76D9D"/>
    <w:rsid w:val="00F816BA"/>
    <w:rsid w:val="00F83DF4"/>
    <w:rsid w:val="00F91A83"/>
    <w:rsid w:val="00F95115"/>
    <w:rsid w:val="00F97C15"/>
    <w:rsid w:val="00FA50BF"/>
    <w:rsid w:val="00FA74C9"/>
    <w:rsid w:val="00FB0266"/>
    <w:rsid w:val="00FB2DA9"/>
    <w:rsid w:val="00FB4941"/>
    <w:rsid w:val="00FB53F9"/>
    <w:rsid w:val="00FB61C0"/>
    <w:rsid w:val="00FB7BF1"/>
    <w:rsid w:val="00FC7443"/>
    <w:rsid w:val="00FD7A16"/>
    <w:rsid w:val="00FE0B69"/>
    <w:rsid w:val="00FE4FEC"/>
    <w:rsid w:val="00FE7E49"/>
    <w:rsid w:val="00FF3230"/>
    <w:rsid w:val="00FF40E9"/>
    <w:rsid w:val="00FF4D07"/>
    <w:rsid w:val="00FF5CF0"/>
    <w:rsid w:val="00FF5D56"/>
    <w:rsid w:val="00FF72D3"/>
    <w:rsid w:val="00FF7DBF"/>
    <w:rsid w:val="19280E00"/>
    <w:rsid w:val="2C951F2B"/>
    <w:rsid w:val="2EF12597"/>
    <w:rsid w:val="40DB7BFA"/>
    <w:rsid w:val="57EF2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0" w:semiHidden="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qFormat="1" w:uiPriority="0" w:semiHidden="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qFormat="1" w:uiPriority="0" w:name="FollowedHyperlink"/>
    <w:lsdException w:qFormat="1" w:unhideWhenUsed="0" w:uiPriority="22" w:semiHidden="0" w:name="Strong"/>
    <w:lsdException w:qFormat="1" w:unhideWhenUsed="0" w:uiPriority="0" w:semiHidden="0" w:name="Emphasis"/>
    <w:lsdException w:uiPriority="0" w:name="Document Map"/>
    <w:lsdException w:qFormat="1" w:unhideWhenUsed="0" w:uiPriority="99" w:semiHidden="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5"/>
    <w:qFormat/>
    <w:uiPriority w:val="0"/>
    <w:pPr>
      <w:keepNext/>
      <w:keepLines/>
      <w:spacing w:before="340" w:after="330" w:line="578" w:lineRule="auto"/>
      <w:outlineLvl w:val="0"/>
    </w:pPr>
    <w:rPr>
      <w:rFonts w:eastAsia="黑体"/>
      <w:b/>
      <w:bCs/>
      <w:kern w:val="44"/>
      <w:sz w:val="32"/>
      <w:szCs w:val="44"/>
    </w:rPr>
  </w:style>
  <w:style w:type="paragraph" w:styleId="3">
    <w:name w:val="heading 4"/>
    <w:basedOn w:val="1"/>
    <w:next w:val="1"/>
    <w:link w:val="30"/>
    <w:semiHidden/>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4">
    <w:name w:val="toc 3"/>
    <w:basedOn w:val="1"/>
    <w:next w:val="1"/>
    <w:autoRedefine/>
    <w:qFormat/>
    <w:uiPriority w:val="39"/>
    <w:pPr>
      <w:tabs>
        <w:tab w:val="right" w:leader="dot" w:pos="8731"/>
      </w:tabs>
      <w:spacing w:after="40" w:line="276" w:lineRule="auto"/>
      <w:ind w:left="624" w:leftChars="400"/>
    </w:pPr>
    <w:rPr>
      <w:sz w:val="20"/>
    </w:rPr>
  </w:style>
  <w:style w:type="paragraph" w:styleId="5">
    <w:name w:val="Plain Text"/>
    <w:basedOn w:val="1"/>
    <w:link w:val="28"/>
    <w:qFormat/>
    <w:uiPriority w:val="99"/>
    <w:rPr>
      <w:rFonts w:ascii="宋体" w:hAnsi="Courier New" w:cs="Courier New"/>
      <w:szCs w:val="21"/>
    </w:rPr>
  </w:style>
  <w:style w:type="paragraph" w:styleId="6">
    <w:name w:val="Date"/>
    <w:basedOn w:val="1"/>
    <w:next w:val="1"/>
    <w:link w:val="27"/>
    <w:qFormat/>
    <w:uiPriority w:val="0"/>
    <w:pPr>
      <w:ind w:left="100" w:leftChars="2500"/>
    </w:pPr>
  </w:style>
  <w:style w:type="paragraph" w:styleId="7">
    <w:name w:val="Balloon Text"/>
    <w:basedOn w:val="1"/>
    <w:link w:val="22"/>
    <w:qFormat/>
    <w:uiPriority w:val="0"/>
    <w:rPr>
      <w:sz w:val="18"/>
      <w:szCs w:val="18"/>
    </w:rPr>
  </w:style>
  <w:style w:type="paragraph" w:styleId="8">
    <w:name w:val="footer"/>
    <w:basedOn w:val="1"/>
    <w:link w:val="21"/>
    <w:qFormat/>
    <w:uiPriority w:val="99"/>
    <w:pPr>
      <w:tabs>
        <w:tab w:val="center" w:pos="4153"/>
        <w:tab w:val="right" w:pos="8306"/>
      </w:tabs>
      <w:snapToGrid w:val="0"/>
      <w:jc w:val="left"/>
    </w:pPr>
    <w:rPr>
      <w:sz w:val="18"/>
      <w:szCs w:val="18"/>
    </w:rPr>
  </w:style>
  <w:style w:type="paragraph" w:styleId="9">
    <w:name w:val="header"/>
    <w:basedOn w:val="1"/>
    <w:link w:val="20"/>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autoRedefine/>
    <w:qFormat/>
    <w:uiPriority w:val="39"/>
    <w:pPr>
      <w:tabs>
        <w:tab w:val="right" w:leader="dot" w:pos="8731"/>
      </w:tabs>
      <w:spacing w:after="80" w:line="276" w:lineRule="auto"/>
    </w:pPr>
    <w:rPr>
      <w:b/>
      <w:sz w:val="22"/>
    </w:rPr>
  </w:style>
  <w:style w:type="paragraph" w:styleId="11">
    <w:name w:val="footnote text"/>
    <w:basedOn w:val="1"/>
    <w:link w:val="23"/>
    <w:unhideWhenUsed/>
    <w:qFormat/>
    <w:uiPriority w:val="0"/>
    <w:pPr>
      <w:snapToGrid w:val="0"/>
      <w:jc w:val="left"/>
    </w:pPr>
    <w:rPr>
      <w:sz w:val="18"/>
      <w:szCs w:val="18"/>
    </w:rPr>
  </w:style>
  <w:style w:type="paragraph" w:styleId="12">
    <w:name w:val="toc 2"/>
    <w:basedOn w:val="1"/>
    <w:next w:val="1"/>
    <w:autoRedefine/>
    <w:qFormat/>
    <w:uiPriority w:val="39"/>
    <w:pPr>
      <w:tabs>
        <w:tab w:val="right" w:leader="dot" w:pos="8731"/>
      </w:tabs>
      <w:spacing w:after="60" w:line="276" w:lineRule="auto"/>
      <w:ind w:left="312" w:leftChars="200"/>
    </w:pPr>
  </w:style>
  <w:style w:type="table" w:styleId="14">
    <w:name w:val="Table Grid"/>
    <w:basedOn w:val="1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b/>
      <w:bCs/>
    </w:rPr>
  </w:style>
  <w:style w:type="character" w:styleId="17">
    <w:name w:val="FollowedHyperlink"/>
    <w:basedOn w:val="15"/>
    <w:semiHidden/>
    <w:unhideWhenUsed/>
    <w:qFormat/>
    <w:uiPriority w:val="0"/>
    <w:rPr>
      <w:color w:val="800080" w:themeColor="followedHyperlink"/>
      <w:u w:val="single"/>
      <w14:textFill>
        <w14:solidFill>
          <w14:schemeClr w14:val="folHlink"/>
        </w14:solidFill>
      </w14:textFill>
    </w:rPr>
  </w:style>
  <w:style w:type="character" w:styleId="18">
    <w:name w:val="Hyperlink"/>
    <w:basedOn w:val="15"/>
    <w:unhideWhenUsed/>
    <w:qFormat/>
    <w:uiPriority w:val="99"/>
    <w:rPr>
      <w:color w:val="0000FF" w:themeColor="hyperlink"/>
      <w:u w:val="single"/>
      <w14:textFill>
        <w14:solidFill>
          <w14:schemeClr w14:val="hlink"/>
        </w14:solidFill>
      </w14:textFill>
    </w:rPr>
  </w:style>
  <w:style w:type="character" w:styleId="19">
    <w:name w:val="footnote reference"/>
    <w:unhideWhenUsed/>
    <w:qFormat/>
    <w:uiPriority w:val="0"/>
    <w:rPr>
      <w:vertAlign w:val="superscript"/>
    </w:rPr>
  </w:style>
  <w:style w:type="character" w:customStyle="1" w:styleId="20">
    <w:name w:val="页眉 字符"/>
    <w:link w:val="9"/>
    <w:qFormat/>
    <w:uiPriority w:val="0"/>
    <w:rPr>
      <w:kern w:val="2"/>
      <w:sz w:val="18"/>
      <w:szCs w:val="18"/>
    </w:rPr>
  </w:style>
  <w:style w:type="character" w:customStyle="1" w:styleId="21">
    <w:name w:val="页脚 字符"/>
    <w:link w:val="8"/>
    <w:qFormat/>
    <w:uiPriority w:val="99"/>
    <w:rPr>
      <w:kern w:val="2"/>
      <w:sz w:val="18"/>
      <w:szCs w:val="18"/>
    </w:rPr>
  </w:style>
  <w:style w:type="character" w:customStyle="1" w:styleId="22">
    <w:name w:val="批注框文本 字符"/>
    <w:link w:val="7"/>
    <w:qFormat/>
    <w:uiPriority w:val="0"/>
    <w:rPr>
      <w:kern w:val="2"/>
      <w:sz w:val="18"/>
      <w:szCs w:val="18"/>
    </w:rPr>
  </w:style>
  <w:style w:type="character" w:customStyle="1" w:styleId="23">
    <w:name w:val="脚注文本 字符"/>
    <w:link w:val="11"/>
    <w:qFormat/>
    <w:uiPriority w:val="0"/>
    <w:rPr>
      <w:kern w:val="2"/>
      <w:sz w:val="18"/>
      <w:szCs w:val="18"/>
    </w:rPr>
  </w:style>
  <w:style w:type="paragraph" w:customStyle="1" w:styleId="24">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character" w:customStyle="1" w:styleId="25">
    <w:name w:val="标题 1 字符"/>
    <w:link w:val="2"/>
    <w:qFormat/>
    <w:uiPriority w:val="0"/>
    <w:rPr>
      <w:b/>
      <w:bCs/>
      <w:kern w:val="44"/>
      <w:sz w:val="44"/>
      <w:szCs w:val="44"/>
    </w:rPr>
  </w:style>
  <w:style w:type="paragraph" w:styleId="26">
    <w:name w:val="List Paragraph"/>
    <w:basedOn w:val="1"/>
    <w:qFormat/>
    <w:uiPriority w:val="34"/>
    <w:pPr>
      <w:ind w:firstLine="420" w:firstLineChars="200"/>
    </w:pPr>
  </w:style>
  <w:style w:type="character" w:customStyle="1" w:styleId="27">
    <w:name w:val="日期 字符"/>
    <w:basedOn w:val="15"/>
    <w:link w:val="6"/>
    <w:qFormat/>
    <w:uiPriority w:val="0"/>
    <w:rPr>
      <w:kern w:val="2"/>
      <w:sz w:val="21"/>
      <w:szCs w:val="24"/>
    </w:rPr>
  </w:style>
  <w:style w:type="character" w:customStyle="1" w:styleId="28">
    <w:name w:val="纯文本 字符"/>
    <w:basedOn w:val="15"/>
    <w:link w:val="5"/>
    <w:qFormat/>
    <w:uiPriority w:val="99"/>
    <w:rPr>
      <w:rFonts w:ascii="宋体" w:hAnsi="Courier New" w:cs="Courier New"/>
      <w:kern w:val="2"/>
      <w:sz w:val="21"/>
      <w:szCs w:val="21"/>
    </w:rPr>
  </w:style>
  <w:style w:type="paragraph" w:customStyle="1" w:styleId="29">
    <w:name w:val="报告正文"/>
    <w:qFormat/>
    <w:uiPriority w:val="0"/>
    <w:pPr>
      <w:wordWrap w:val="0"/>
      <w:spacing w:beforeLines="50" w:afterLines="20" w:line="300" w:lineRule="auto"/>
      <w:jc w:val="both"/>
    </w:pPr>
    <w:rPr>
      <w:rFonts w:ascii="Times New Roman" w:hAnsi="Times New Roman" w:eastAsia="宋体" w:cs="Times New Roman"/>
      <w:bCs/>
      <w:kern w:val="2"/>
      <w:sz w:val="22"/>
      <w:szCs w:val="32"/>
      <w:lang w:val="en-US" w:eastAsia="zh-CN" w:bidi="ar-SA"/>
    </w:rPr>
  </w:style>
  <w:style w:type="character" w:customStyle="1" w:styleId="30">
    <w:name w:val="标题 4 字符"/>
    <w:basedOn w:val="15"/>
    <w:link w:val="3"/>
    <w:semiHidden/>
    <w:qFormat/>
    <w:uiPriority w:val="0"/>
    <w:rPr>
      <w:rFonts w:asciiTheme="majorHAnsi" w:hAnsiTheme="majorHAnsi" w:eastAsiaTheme="majorEastAsia" w:cstheme="majorBidi"/>
      <w:b/>
      <w:bCs/>
      <w:kern w:val="2"/>
      <w:sz w:val="28"/>
      <w:szCs w:val="28"/>
    </w:rPr>
  </w:style>
  <w:style w:type="paragraph" w:customStyle="1" w:styleId="31">
    <w:name w:val="标题 21"/>
    <w:basedOn w:val="1"/>
    <w:qFormat/>
    <w:uiPriority w:val="0"/>
    <w:pPr>
      <w:outlineLvl w:val="1"/>
    </w:pPr>
    <w:rPr>
      <w:rFonts w:eastAsia="黑体"/>
      <w:b/>
      <w:sz w:val="28"/>
    </w:rPr>
  </w:style>
  <w:style w:type="paragraph" w:customStyle="1" w:styleId="32">
    <w:name w:val="标题 31"/>
    <w:basedOn w:val="1"/>
    <w:qFormat/>
    <w:uiPriority w:val="0"/>
    <w:pPr>
      <w:outlineLvl w:val="2"/>
    </w:pPr>
    <w:rPr>
      <w:rFonts w:eastAsia="黑体"/>
      <w:b/>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2C45FD-1C2A-44C6-8EA9-3DBA4A1B6ED0}">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4873</Words>
  <Characters>6128</Characters>
  <Lines>94</Lines>
  <Paragraphs>26</Paragraphs>
  <TotalTime>1</TotalTime>
  <ScaleCrop>false</ScaleCrop>
  <LinksUpToDate>false</LinksUpToDate>
  <CharactersWithSpaces>6474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2023-03-08T13:55:00Z</dcterms:created>
  <dc:creator>Wei</dc:creator>
  <cp:lastModifiedBy>兴奋的二狗子</cp:lastModifiedBy>
  <cp:lastPrinted>2014-11-27T07:14:00Z</cp:lastPrinted>
  <dcterms:modified xsi:type="dcterms:W3CDTF">2026-06-09T14:53:53Z</dcterms:modified>
  <dc:title>课程设计报告</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6417d8a7b8fdd5419922c4309244ef554077da3dd71860efc64b95b70b002e66</vt:lpwstr>
  </property>
  <property fmtid="{D5CDD505-2E9C-101B-9397-08002B2CF9AE}" pid="3" name="KSOTemplateDocerSaveRecord">
    <vt:lpwstr>eyJoZGlkIjoiN2M0ZWQxYTRmNGFmY2RmZjc5OGU4YWRiMTQyNGYyODQiLCJ1c2VySWQiOiIxNTUyODAxMjQ4In0=</vt:lpwstr>
  </property>
  <property fmtid="{D5CDD505-2E9C-101B-9397-08002B2CF9AE}" pid="4" name="KSOProductBuildVer">
    <vt:lpwstr>2052-12.1.0.26895</vt:lpwstr>
  </property>
  <property fmtid="{D5CDD505-2E9C-101B-9397-08002B2CF9AE}" pid="5" name="ICV">
    <vt:lpwstr>453F747AF07B4F63AE9F2102351886E1_12</vt:lpwstr>
  </property>
</Properties>
</file>