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38165C" w:rsidP="00BB2F78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Решёточное уравнение Больцмана в задачах гидродинамики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815DFA" w:rsidRDefault="002A2B1D" w:rsidP="00815DFA">
            <w:pPr>
              <w:rPr>
                <w:rFonts w:ascii="Times New Roman" w:hAnsi="Times New Roman"/>
                <w:sz w:val="28"/>
                <w:szCs w:val="28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 xml:space="preserve">Исследовать метода решёточного уравнения Больцмана на задаче течении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815DFA">
              <w:rPr>
                <w:rFonts w:ascii="Times New Roman" w:hAnsi="Times New Roman"/>
                <w:sz w:val="28"/>
                <w:szCs w:val="28"/>
              </w:rPr>
              <w:t>Куэтта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BB2F78">
        <w:tc>
          <w:tcPr>
            <w:tcW w:w="9905" w:type="dxa"/>
          </w:tcPr>
          <w:p w:rsidR="000F2021" w:rsidRPr="00B44C10" w:rsidRDefault="00815DFA" w:rsidP="00815DFA">
            <w:pPr>
              <w:rPr>
                <w:sz w:val="26"/>
                <w:szCs w:val="26"/>
              </w:rPr>
            </w:pPr>
            <w:r>
              <w:rPr>
                <w:rFonts w:ascii="Times New Roman" w:eastAsia="TimesNewRoman,Bold" w:hAnsi="Times New Roman"/>
                <w:sz w:val="28"/>
                <w:szCs w:val="28"/>
              </w:rPr>
              <w:t>Требуется расчи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т</w:t>
            </w:r>
            <w:r>
              <w:rPr>
                <w:rFonts w:ascii="Times New Roman" w:eastAsia="TimesNewRoman,Bold" w:hAnsi="Times New Roman"/>
                <w:sz w:val="28"/>
                <w:szCs w:val="28"/>
              </w:rPr>
              <w:t>ать скорости</w:t>
            </w: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 xml:space="preserve"> жидкости в тестовой задаче при 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815DFA" w:rsidP="00BB2F78">
            <w:pPr>
              <w:rPr>
                <w:sz w:val="26"/>
                <w:szCs w:val="26"/>
              </w:rPr>
            </w:pPr>
            <w:r w:rsidRPr="0056589A">
              <w:rPr>
                <w:rFonts w:ascii="Times New Roman" w:eastAsia="TimesNewRoman,Bold" w:hAnsi="Times New Roman"/>
                <w:sz w:val="28"/>
                <w:szCs w:val="28"/>
              </w:rPr>
              <w:t>задействовании различных методов учёта граничных условий</w:t>
            </w:r>
          </w:p>
        </w:tc>
      </w:tr>
      <w:tr w:rsidR="000F2021" w:rsidRPr="00B44C10" w:rsidTr="00BB2F78">
        <w:tc>
          <w:tcPr>
            <w:tcW w:w="9905" w:type="dxa"/>
          </w:tcPr>
          <w:p w:rsidR="000F2021" w:rsidRPr="00B44C10" w:rsidRDefault="000F2021" w:rsidP="00BB2F78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 w:rsidR="00FC7E16">
        <w:rPr>
          <w:rFonts w:ascii="Times New Roman" w:hAnsi="Times New Roman"/>
          <w:sz w:val="26"/>
          <w:szCs w:val="26"/>
        </w:rPr>
        <w:t>том в срок до «</w:t>
      </w:r>
      <w:r w:rsidR="0038165C">
        <w:rPr>
          <w:rFonts w:ascii="Times New Roman" w:hAnsi="Times New Roman"/>
          <w:sz w:val="26"/>
          <w:szCs w:val="26"/>
        </w:rPr>
        <w:t>2</w:t>
      </w:r>
      <w:r w:rsidR="00FC7E16" w:rsidRPr="00FC7E16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»</w:t>
      </w:r>
      <w:r w:rsidR="00FC7E16" w:rsidRPr="00FC7E16">
        <w:rPr>
          <w:rFonts w:ascii="Times New Roman" w:hAnsi="Times New Roman"/>
          <w:sz w:val="26"/>
          <w:szCs w:val="26"/>
        </w:rPr>
        <w:t xml:space="preserve"> декабря </w:t>
      </w:r>
      <w:r w:rsidR="0038165C">
        <w:rPr>
          <w:rFonts w:ascii="Times New Roman" w:hAnsi="Times New Roman"/>
          <w:sz w:val="26"/>
          <w:szCs w:val="26"/>
        </w:rPr>
        <w:t>20</w:t>
      </w:r>
      <w:r w:rsidR="00FC7E16" w:rsidRPr="00FC7E16">
        <w:rPr>
          <w:rFonts w:ascii="Times New Roman" w:hAnsi="Times New Roman"/>
          <w:sz w:val="26"/>
          <w:szCs w:val="26"/>
        </w:rPr>
        <w:t>19</w:t>
      </w:r>
      <w:r w:rsidR="0038165C">
        <w:rPr>
          <w:rFonts w:ascii="Times New Roman" w:hAnsi="Times New Roman"/>
          <w:sz w:val="26"/>
          <w:szCs w:val="26"/>
        </w:rPr>
        <w:t xml:space="preserve"> 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C7E16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«25» декабря 2019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</w:t>
      </w:r>
      <w:r w:rsidR="00FC7E16">
        <w:rPr>
          <w:rFonts w:ascii="Times New Roman" w:hAnsi="Times New Roman"/>
          <w:sz w:val="26"/>
          <w:szCs w:val="26"/>
        </w:rPr>
        <w:t>15</w:t>
      </w:r>
      <w:r>
        <w:rPr>
          <w:rFonts w:ascii="Times New Roman" w:hAnsi="Times New Roman"/>
          <w:sz w:val="26"/>
          <w:szCs w:val="26"/>
        </w:rPr>
        <w:t>»</w:t>
      </w:r>
      <w:r w:rsidR="00FC7E16">
        <w:rPr>
          <w:rFonts w:ascii="Times New Roman" w:hAnsi="Times New Roman"/>
          <w:sz w:val="26"/>
          <w:szCs w:val="26"/>
        </w:rPr>
        <w:t xml:space="preserve"> апреля 2020</w:t>
      </w:r>
      <w:r w:rsidR="00C4131E">
        <w:rPr>
          <w:rFonts w:ascii="Times New Roman" w:hAnsi="Times New Roman"/>
          <w:sz w:val="26"/>
          <w:szCs w:val="26"/>
        </w:rPr>
        <w:t xml:space="preserve"> </w:t>
      </w:r>
      <w:r w:rsidRPr="00B44C10">
        <w:rPr>
          <w:rFonts w:ascii="Times New Roman" w:hAnsi="Times New Roman"/>
          <w:sz w:val="26"/>
          <w:szCs w:val="26"/>
        </w:rPr>
        <w:t>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C7E16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«15» апреля 2020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</w:t>
      </w:r>
      <w:r w:rsidR="00C4131E">
        <w:rPr>
          <w:rFonts w:ascii="Times New Roman" w:hAnsi="Times New Roman"/>
          <w:sz w:val="26"/>
          <w:szCs w:val="26"/>
        </w:rPr>
        <w:t>ставлен студентом в срок до «20</w:t>
      </w:r>
      <w:r w:rsidRPr="00B44C10">
        <w:rPr>
          <w:rFonts w:ascii="Times New Roman" w:hAnsi="Times New Roman"/>
          <w:sz w:val="26"/>
          <w:szCs w:val="26"/>
        </w:rPr>
        <w:t>»</w:t>
      </w:r>
      <w:r w:rsidR="00C4131E" w:rsidRPr="00C4131E">
        <w:rPr>
          <w:rFonts w:ascii="Times New Roman" w:hAnsi="Times New Roman"/>
          <w:sz w:val="26"/>
          <w:szCs w:val="26"/>
        </w:rPr>
        <w:t xml:space="preserve"> </w:t>
      </w:r>
      <w:r w:rsidR="00C4131E">
        <w:rPr>
          <w:rFonts w:ascii="Times New Roman" w:hAnsi="Times New Roman"/>
          <w:sz w:val="26"/>
          <w:szCs w:val="26"/>
        </w:rPr>
        <w:t xml:space="preserve">мая 2020 </w:t>
      </w:r>
      <w:r w:rsidRPr="00B44C10">
        <w:rPr>
          <w:rFonts w:ascii="Times New Roman" w:hAnsi="Times New Roman"/>
          <w:sz w:val="26"/>
          <w:szCs w:val="26"/>
        </w:rPr>
        <w:t>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F407C8" w:rsidP="00F407C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мая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86D6A" w:rsidP="00BB2F7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«9» сентября 2019</w:t>
            </w:r>
            <w:r w:rsidR="000F2021"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BB2F78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BB2F7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86D6A" w:rsidP="00086D6A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«9» сентября 2019</w:t>
            </w:r>
            <w:r w:rsidR="000F2021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FC7E1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 w:rsidR="00FC7E16">
              <w:rPr>
                <w:rFonts w:ascii="Times New Roman" w:hAnsi="Times New Roman"/>
                <w:sz w:val="24"/>
                <w:szCs w:val="24"/>
              </w:rPr>
              <w:t>Загвоздина 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C7E16">
              <w:rPr>
                <w:rFonts w:ascii="Times New Roman" w:hAnsi="Times New Roman"/>
                <w:sz w:val="24"/>
                <w:szCs w:val="24"/>
              </w:rPr>
              <w:t>О.</w:t>
            </w:r>
          </w:p>
        </w:tc>
      </w:tr>
    </w:tbl>
    <w:p w:rsidR="000F2021" w:rsidRPr="00E30CB3" w:rsidRDefault="000F2021" w:rsidP="000F2021"/>
    <w:p w:rsidR="00DF66E7" w:rsidRPr="00590AC6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p w:rsidR="00DF66E7" w:rsidRDefault="00DF66E7">
      <w:pPr>
        <w:rPr>
          <w:rFonts w:ascii="Times New Roman" w:eastAsia="Calibri" w:hAnsi="Times New Roman" w:cs="Times New Roman"/>
          <w:sz w:val="24"/>
          <w:lang w:eastAsia="ar-SA"/>
        </w:rPr>
      </w:pPr>
    </w:p>
    <w:p w:rsidR="00F962F0" w:rsidRDefault="00F962F0" w:rsidP="004F5B97">
      <w:pPr>
        <w:pStyle w:val="Heading1"/>
        <w:numPr>
          <w:ilvl w:val="0"/>
          <w:numId w:val="0"/>
        </w:numPr>
        <w:spacing w:before="0" w:after="0" w:line="360" w:lineRule="auto"/>
        <w:ind w:firstLine="709"/>
      </w:pPr>
      <w:bookmarkStart w:id="0" w:name="_Toc40809600"/>
      <w:r>
        <w:lastRenderedPageBreak/>
        <w:t>Аннотация</w:t>
      </w:r>
      <w:bookmarkEnd w:id="0"/>
    </w:p>
    <w:p w:rsidR="0080339B" w:rsidRDefault="004F5B97" w:rsidP="004F5B97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966360">
        <w:rPr>
          <w:rFonts w:eastAsia="TimesNewRoman,Bold"/>
          <w:b w:val="0"/>
          <w:sz w:val="28"/>
          <w:szCs w:val="28"/>
        </w:rPr>
        <w:t>.</w:t>
      </w:r>
      <w:r w:rsidRPr="0056589A">
        <w:rPr>
          <w:rFonts w:eastAsia="TimesNewRoman,Bold"/>
          <w:b w:val="0"/>
          <w:sz w:val="28"/>
          <w:szCs w:val="28"/>
        </w:rPr>
        <w:t xml:space="preserve"> Основная задача состояла в расчёте скоростей жидкости при использовании различных методов реализации граничных условий. В первой </w:t>
      </w:r>
      <w:r>
        <w:rPr>
          <w:rFonts w:eastAsia="TimesNewRoman,Bold"/>
          <w:b w:val="0"/>
          <w:sz w:val="28"/>
          <w:szCs w:val="28"/>
        </w:rPr>
        <w:t>части</w:t>
      </w:r>
      <w:r w:rsidRPr="0056589A">
        <w:rPr>
          <w:rFonts w:eastAsia="TimesNewRoman,Bold"/>
          <w:b w:val="0"/>
          <w:sz w:val="28"/>
          <w:szCs w:val="28"/>
        </w:rPr>
        <w:t xml:space="preserve"> работы вводятся метод решёточного уравнения Больцмана и двух разных подходов к учёту граничных условий</w:t>
      </w:r>
      <w:r>
        <w:rPr>
          <w:rFonts w:eastAsia="TimesNewRoman,Bold"/>
          <w:b w:val="0"/>
          <w:sz w:val="28"/>
          <w:szCs w:val="28"/>
        </w:rPr>
        <w:t xml:space="preserve">. Во второй </w:t>
      </w:r>
      <w:r w:rsidRPr="0056589A">
        <w:rPr>
          <w:rFonts w:eastAsia="TimesNewRoman,Bold"/>
          <w:b w:val="0"/>
          <w:sz w:val="28"/>
          <w:szCs w:val="28"/>
        </w:rPr>
        <w:t>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В третьей части для решения тестовой задачи используется существующее решение, библиотека </w:t>
      </w:r>
      <w:proofErr w:type="spellStart"/>
      <w:r>
        <w:rPr>
          <w:b w:val="0"/>
          <w:sz w:val="28"/>
          <w:szCs w:val="28"/>
          <w:lang w:val="en-US"/>
        </w:rPr>
        <w:t>Palabos</w:t>
      </w:r>
      <w:proofErr w:type="spellEnd"/>
      <w:r>
        <w:rPr>
          <w:b w:val="0"/>
          <w:sz w:val="28"/>
          <w:szCs w:val="28"/>
        </w:rPr>
        <w:t>.</w:t>
      </w:r>
    </w:p>
    <w:p w:rsidR="0080339B" w:rsidRDefault="0080339B">
      <w:pPr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b/>
          <w:sz w:val="28"/>
          <w:szCs w:val="28"/>
        </w:rPr>
        <w:br w:type="page"/>
      </w:r>
    </w:p>
    <w:p w:rsidR="004F5B97" w:rsidRPr="0080339B" w:rsidRDefault="0080339B" w:rsidP="0080339B">
      <w:pPr>
        <w:pStyle w:val="Heading1"/>
        <w:numPr>
          <w:ilvl w:val="0"/>
          <w:numId w:val="0"/>
        </w:numPr>
        <w:spacing w:before="0" w:after="0" w:line="360" w:lineRule="auto"/>
        <w:ind w:firstLine="709"/>
        <w:jc w:val="both"/>
        <w:rPr>
          <w:szCs w:val="28"/>
          <w:lang w:val="en-US"/>
        </w:rPr>
      </w:pPr>
      <w:bookmarkStart w:id="1" w:name="_Toc40809601"/>
      <w:r w:rsidRPr="0080339B">
        <w:rPr>
          <w:szCs w:val="28"/>
          <w:lang w:val="en-US"/>
        </w:rPr>
        <w:lastRenderedPageBreak/>
        <w:t>ABSTRACT</w:t>
      </w:r>
      <w:bookmarkEnd w:id="1"/>
    </w:p>
    <w:p w:rsidR="0080339B" w:rsidRPr="0080339B" w:rsidRDefault="0080339B" w:rsidP="008033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The aim of this work is to study the method of the lattice Boltzmann equation on the simplest problem of hydrodynamics, the </w:t>
      </w:r>
      <w:proofErr w:type="spellStart"/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>Couette</w:t>
      </w:r>
      <w:proofErr w:type="spellEnd"/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flow. The main task was to calculate the fluid velocities using various methods for implementing boundary conditions</w:t>
      </w:r>
      <w:r w:rsidR="005D6432">
        <w:rPr>
          <w:rFonts w:ascii="Times New Roman" w:hAnsi="Times New Roman" w:cs="Times New Roman"/>
          <w:sz w:val="28"/>
          <w:szCs w:val="28"/>
          <w:lang w:val="en-US" w:eastAsia="ar-SA"/>
        </w:rPr>
        <w:t>. Firstly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, we introduce the lattice Boltzmann </w:t>
      </w:r>
      <w:r w:rsidR="005D6432">
        <w:rPr>
          <w:rFonts w:ascii="Times New Roman" w:hAnsi="Times New Roman" w:cs="Times New Roman"/>
          <w:sz w:val="28"/>
          <w:szCs w:val="28"/>
          <w:lang w:val="en-US" w:eastAsia="ar-SA"/>
        </w:rPr>
        <w:t>method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and two different approaches to accounting for boundary conditions. </w:t>
      </w:r>
      <w:r w:rsidR="005D6432">
        <w:rPr>
          <w:rFonts w:ascii="Times New Roman" w:hAnsi="Times New Roman" w:cs="Times New Roman"/>
          <w:sz w:val="28"/>
          <w:szCs w:val="28"/>
          <w:lang w:val="en-US" w:eastAsia="ar-SA"/>
        </w:rPr>
        <w:t>Secondly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, we compare the results of numerical </w:t>
      </w:r>
      <w:r w:rsidR="003B0A2D">
        <w:rPr>
          <w:rFonts w:ascii="Times New Roman" w:hAnsi="Times New Roman" w:cs="Times New Roman"/>
          <w:sz w:val="28"/>
          <w:szCs w:val="28"/>
          <w:lang w:val="en-US" w:eastAsia="ar-SA"/>
        </w:rPr>
        <w:t>simulations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using different equilibrium distribution functions and spatial grids. </w:t>
      </w:r>
      <w:r w:rsidR="005D6432">
        <w:rPr>
          <w:rFonts w:ascii="Times New Roman" w:hAnsi="Times New Roman" w:cs="Times New Roman"/>
          <w:sz w:val="28"/>
          <w:szCs w:val="28"/>
          <w:lang w:val="en-US" w:eastAsia="ar-SA"/>
        </w:rPr>
        <w:t>At last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, the </w:t>
      </w:r>
      <w:r w:rsidR="00950AD7">
        <w:rPr>
          <w:rFonts w:ascii="Times New Roman" w:hAnsi="Times New Roman" w:cs="Times New Roman"/>
          <w:sz w:val="28"/>
          <w:szCs w:val="28"/>
          <w:lang w:val="en-US" w:eastAsia="ar-SA"/>
        </w:rPr>
        <w:t>open-source</w:t>
      </w:r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r w:rsidR="00950AD7" w:rsidRPr="0080339B">
        <w:rPr>
          <w:rFonts w:ascii="Times New Roman" w:hAnsi="Times New Roman" w:cs="Times New Roman"/>
          <w:sz w:val="28"/>
          <w:szCs w:val="28"/>
          <w:lang w:val="en-US" w:eastAsia="ar-SA"/>
        </w:rPr>
        <w:t>library</w:t>
      </w:r>
      <w:r w:rsidR="00950AD7"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>Palabos</w:t>
      </w:r>
      <w:proofErr w:type="spellEnd"/>
      <w:r w:rsidRPr="0080339B">
        <w:rPr>
          <w:rFonts w:ascii="Times New Roman" w:hAnsi="Times New Roman" w:cs="Times New Roman"/>
          <w:sz w:val="28"/>
          <w:szCs w:val="28"/>
          <w:lang w:val="en-US" w:eastAsia="ar-SA"/>
        </w:rPr>
        <w:t xml:space="preserve"> is used to solve the test problem.</w:t>
      </w:r>
    </w:p>
    <w:p w:rsidR="00F962F0" w:rsidRPr="0080339B" w:rsidRDefault="00F962F0" w:rsidP="00F962F0">
      <w:pPr>
        <w:rPr>
          <w:lang w:val="en-US"/>
        </w:rPr>
      </w:pPr>
      <w:r w:rsidRPr="0080339B">
        <w:rPr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ED6A8F" w:rsidRDefault="00AE221F" w:rsidP="009074AE">
          <w:pPr>
            <w:pStyle w:val="TOCHeading"/>
            <w:spacing w:before="100" w:beforeAutospacing="1" w:after="100" w:afterAutospacing="1" w:line="276" w:lineRule="auto"/>
            <w:jc w:val="both"/>
            <w:rPr>
              <w:rStyle w:val="Heading1Char"/>
              <w:rFonts w:eastAsiaTheme="majorEastAsia"/>
              <w:color w:val="auto"/>
              <w:szCs w:val="28"/>
            </w:rPr>
          </w:pPr>
          <w:proofErr w:type="spellStart"/>
          <w:r w:rsidRPr="00ED6A8F">
            <w:rPr>
              <w:rStyle w:val="Heading1Char"/>
              <w:rFonts w:eastAsiaTheme="majorEastAsia"/>
              <w:color w:val="auto"/>
              <w:szCs w:val="28"/>
            </w:rPr>
            <w:t>Содержание</w:t>
          </w:r>
          <w:proofErr w:type="spellEnd"/>
        </w:p>
        <w:p w:rsidR="00ED6A8F" w:rsidRPr="00ED6A8F" w:rsidRDefault="00AE221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6A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6A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6A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09600" w:history="1">
            <w:r w:rsidR="00ED6A8F"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_Toc40809600 \h </w:instrText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6A8F"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1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ABSTRACT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_Toc40809601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2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_Toc40809602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3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_Toc40809603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4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Кинетическое уравнение Больцмана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_Toc40809604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5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Общий метод решёточного уравнения Больцмана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_Toc40809605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6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Блок-схема решения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_Toc40809606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7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_Toc40809607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8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Численный эксперимент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_Toc40809608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09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Параметры расчёта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_Toc40809609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0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Численный эксперимент с использованием библиотеки </w:t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_Toc40809610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1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Вопрос о консервативности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_Toc40809611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2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Pr="00ED6A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Граничные условия проскальзывания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_Toc40809612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3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_Toc40809613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4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_Toc40809614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6A8F" w:rsidRPr="00ED6A8F" w:rsidRDefault="00ED6A8F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809615" w:history="1"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Приложение. Технические особенности использования библиотеки </w:t>
            </w:r>
            <w:r w:rsidRPr="00ED6A8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Palabos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_Toc40809615 \h </w:instrTex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D6A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6A8F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C3196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2" w:name="_Toc40809602"/>
      <w:r w:rsidRPr="00D37168">
        <w:rPr>
          <w:sz w:val="32"/>
        </w:rPr>
        <w:lastRenderedPageBreak/>
        <w:t>Введение</w:t>
      </w:r>
      <w:bookmarkEnd w:id="2"/>
    </w:p>
    <w:p w:rsidR="00966360" w:rsidRPr="0025229D" w:rsidRDefault="00C76EC9" w:rsidP="0025229D">
      <w:pPr>
        <w:pStyle w:val="ListParagraph"/>
        <w:keepNext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три основных типа описаниния динамики жидкости: макроскопический, микроскопический и мезоскопический. Уравнение Навье-Стокса, основной метод моделирования </w:t>
      </w:r>
      <w:r w:rsidR="00BB7D3F" w:rsidRPr="0025229D">
        <w:rPr>
          <w:rFonts w:ascii="Times New Roman" w:hAnsi="Times New Roman" w:cs="Times New Roman"/>
          <w:color w:val="000000"/>
          <w:sz w:val="28"/>
          <w:szCs w:val="28"/>
        </w:rPr>
        <w:t>гидродинамики</w:t>
      </w:r>
      <w:r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, является </w:t>
      </w:r>
      <w:r w:rsidR="00BB7D3F" w:rsidRPr="0025229D">
        <w:rPr>
          <w:rFonts w:ascii="Times New Roman" w:hAnsi="Times New Roman" w:cs="Times New Roman"/>
          <w:color w:val="000000"/>
          <w:sz w:val="28"/>
          <w:szCs w:val="28"/>
        </w:rPr>
        <w:t>макроскопическим описанием, то есть жидкость в модели является сплошной средой с значениями скорости и плотности. Микроскопические методы, например, метод молекулярной динамики, описывают взаимодействия между элементарными частицами жидкости с помощью ньютоновской динамики. Мезоскопические методы описывают распределения совокупностей частиц. В работе речь пойдё</w:t>
      </w:r>
      <w:r w:rsidR="005577F4" w:rsidRPr="0025229D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BB7D3F"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 об одном из мезоскопических методов.</w:t>
      </w:r>
    </w:p>
    <w:p w:rsidR="00BB7D3F" w:rsidRPr="0025229D" w:rsidRDefault="00BB7D3F" w:rsidP="0025229D">
      <w:pPr>
        <w:pStyle w:val="ListParagraph"/>
        <w:keepNext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5229D">
        <w:rPr>
          <w:rFonts w:ascii="Times New Roman" w:hAnsi="Times New Roman" w:cs="Times New Roman"/>
          <w:color w:val="000000"/>
          <w:sz w:val="28"/>
          <w:szCs w:val="28"/>
        </w:rPr>
        <w:t>В качестве тестовой задачи была выбрана двумерная задача течения Куэтта несжимаемой жидкости, имеющая аналитическое решение. В этой задаче жидкость течёт по</w:t>
      </w:r>
      <w:r w:rsidR="001E2E6A"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 каналу, в котором верхняя стенка движется с постоянной скоростью</w:t>
      </w:r>
      <w:r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16D11" w:rsidRPr="0025229D">
        <w:rPr>
          <w:rFonts w:ascii="Times New Roman" w:hAnsi="Times New Roman" w:cs="Times New Roman"/>
          <w:color w:val="000000"/>
          <w:sz w:val="28"/>
          <w:szCs w:val="28"/>
        </w:rPr>
        <w:t xml:space="preserve"> [1]</w:t>
      </w:r>
    </w:p>
    <w:p w:rsidR="00C3627A" w:rsidRPr="0056589A" w:rsidRDefault="00C3627A" w:rsidP="00C3627A">
      <w:pPr>
        <w:pStyle w:val="Caption"/>
        <w:spacing w:line="360" w:lineRule="auto"/>
        <w:ind w:firstLine="709"/>
        <w:jc w:val="both"/>
        <w:rPr>
          <w:b w:val="0"/>
          <w:sz w:val="28"/>
          <w:szCs w:val="28"/>
        </w:rPr>
      </w:pPr>
    </w:p>
    <w:p w:rsidR="00046D18" w:rsidRPr="00C25305" w:rsidRDefault="00046D18" w:rsidP="00C3627A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3" w:name="_Toc40809603"/>
      <w:r w:rsidRPr="00C25305">
        <w:rPr>
          <w:sz w:val="32"/>
        </w:rPr>
        <w:t>Постановка задачи</w:t>
      </w:r>
      <w:bookmarkEnd w:id="3"/>
    </w:p>
    <w:p w:rsidR="00372858" w:rsidRPr="0056589A" w:rsidRDefault="00FE7FD8" w:rsidP="00C3627A">
      <w:pPr>
        <w:pStyle w:val="ListParagraph"/>
        <w:keepNext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Исследование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посвящено задаче определения влияния двух способов учёта граничных условий (ГУ) в решении двумерной задачи Куэтта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372858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372858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C3627A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1BE4" w:rsidRPr="00C3627A" w:rsidRDefault="007A3AD8" w:rsidP="00E11BE4">
      <w:pPr>
        <w:pStyle w:val="Heading1"/>
        <w:numPr>
          <w:ilvl w:val="0"/>
          <w:numId w:val="6"/>
        </w:numPr>
        <w:rPr>
          <w:sz w:val="32"/>
        </w:rPr>
      </w:pPr>
      <w:bookmarkStart w:id="4" w:name="_Toc40809604"/>
      <w:r>
        <w:rPr>
          <w:sz w:val="32"/>
        </w:rPr>
        <w:t xml:space="preserve">Кинетическое </w:t>
      </w:r>
      <w:r w:rsidR="00046D18" w:rsidRPr="00C25305">
        <w:rPr>
          <w:sz w:val="32"/>
        </w:rPr>
        <w:t>уравнение Больцмана</w:t>
      </w:r>
      <w:bookmarkEnd w:id="4"/>
    </w:p>
    <w:p w:rsidR="00777426" w:rsidRPr="0056589A" w:rsidRDefault="00F32C77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F7DA4" w:rsidRPr="005F7DA4" w:rsidRDefault="00FC7E16" w:rsidP="005F7DA4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D95EBE" w:rsidRDefault="00171B51" w:rsidP="005F7DA4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 xml:space="preserve"> Если не учитывать столкновения, т.е.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95EBE" w:rsidRPr="008546F2">
        <w:rPr>
          <w:rFonts w:ascii="Times New Roman" w:eastAsiaTheme="minorEastAsia" w:hAnsi="Times New Roman" w:cs="Times New Roman"/>
          <w:sz w:val="28"/>
          <w:szCs w:val="28"/>
        </w:rPr>
        <w:t xml:space="preserve">, то уравнение 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>Больмана превратится в уравнение непрерывности</w:t>
      </w:r>
      <w:r w:rsidR="008546F2">
        <w:rPr>
          <w:rFonts w:ascii="Times New Roman" w:eastAsiaTheme="minorEastAsia" w:hAnsi="Times New Roman" w:cs="Times New Roman"/>
          <w:sz w:val="28"/>
          <w:szCs w:val="28"/>
        </w:rPr>
        <w:t xml:space="preserve"> в фазовом пространстве</w:t>
      </w:r>
      <w:r w:rsidR="00D95EB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3/2?)</w:t>
      </w:r>
    </w:p>
    <w:p w:rsidR="000A65A6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C83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>относительная скорость частицы</w:t>
      </w:r>
      <w:r w:rsidR="003D4ED3">
        <w:rPr>
          <w:rFonts w:ascii="Times New Roman" w:hAnsi="Times New Roman" w:cs="Times New Roman"/>
          <w:sz w:val="28"/>
          <w:szCs w:val="28"/>
        </w:rPr>
        <w:t xml:space="preserve"> </w:t>
      </w:r>
      <w:r w:rsidR="003D4ED3" w:rsidRPr="003D4ED3">
        <w:rPr>
          <w:rFonts w:ascii="Times New Roman" w:hAnsi="Times New Roman" w:cs="Times New Roman"/>
          <w:sz w:val="28"/>
          <w:szCs w:val="28"/>
        </w:rPr>
        <w:t>(</w:t>
      </w:r>
      <w:r w:rsidR="003D4ED3">
        <w:rPr>
          <w:rFonts w:ascii="Times New Roman" w:hAnsi="Times New Roman" w:cs="Times New Roman"/>
          <w:sz w:val="28"/>
          <w:szCs w:val="28"/>
        </w:rPr>
        <w:t>отклонение скорости частицы от средней локальной скорости</w:t>
      </w:r>
      <w:r w:rsidR="003D4ED3" w:rsidRPr="003D4ED3">
        <w:rPr>
          <w:rFonts w:ascii="Times New Roman" w:hAnsi="Times New Roman" w:cs="Times New Roman"/>
          <w:sz w:val="28"/>
          <w:szCs w:val="28"/>
        </w:rPr>
        <w:t>)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Default="005C0949" w:rsidP="005C09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уравнение Больцмана эквивалентно </w:t>
      </w:r>
      <w:r w:rsidR="002B7940">
        <w:rPr>
          <w:rFonts w:ascii="Times New Roman" w:eastAsiaTheme="minorEastAsia" w:hAnsi="Times New Roman" w:cs="Times New Roman"/>
          <w:sz w:val="28"/>
          <w:szCs w:val="28"/>
        </w:rPr>
        <w:t>уравнению Навье-Стокса, описывающему гидродинамику с макроскопической точки зрения.</w:t>
      </w:r>
    </w:p>
    <w:p w:rsidR="00EB4885" w:rsidRPr="005C0949" w:rsidRDefault="00EB4885" w:rsidP="005C09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706B" w:rsidRPr="00C25305" w:rsidRDefault="008742B7" w:rsidP="00C83513">
      <w:pPr>
        <w:pStyle w:val="Heading1"/>
        <w:numPr>
          <w:ilvl w:val="0"/>
          <w:numId w:val="6"/>
        </w:numPr>
        <w:spacing w:before="0" w:after="0" w:line="360" w:lineRule="auto"/>
        <w:ind w:left="0" w:firstLine="709"/>
        <w:rPr>
          <w:rFonts w:eastAsiaTheme="minorEastAsia"/>
          <w:sz w:val="32"/>
        </w:rPr>
      </w:pPr>
      <w:bookmarkStart w:id="5" w:name="_Toc40809605"/>
      <w:r w:rsidRPr="00C25305">
        <w:rPr>
          <w:rFonts w:eastAsiaTheme="minorEastAsia"/>
          <w:sz w:val="32"/>
        </w:rPr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5"/>
    </w:p>
    <w:p w:rsidR="006A67CD" w:rsidRPr="0056589A" w:rsidRDefault="00487861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354558" wp14:editId="1EB20EF9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D3BCE" w:rsidRPr="0056589A" w:rsidRDefault="0019592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Дискретные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выражают</w:t>
      </w:r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плотности частиц со скоростью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FD3BCE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задачи). Подобно непрерывной функции распределения, макроскопические плотность и скорость определяются как моменты дискретной функции распределения:</w:t>
      </w:r>
    </w:p>
    <w:p w:rsidR="00FD3BCE" w:rsidRPr="0056589A" w:rsidRDefault="00FD3BCE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D346F" w:rsidRPr="0056589A" w:rsidRDefault="004D346F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D129B" w:rsidRPr="0056589A" w:rsidRDefault="005D6BF0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 быть записан следующим образом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C8351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FC7E16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C83513">
      <w:pPr>
        <w:pStyle w:val="ListParagraph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FC7E16" w:rsidP="00C83513">
      <w:pPr>
        <w:pStyle w:val="ListParagraph"/>
        <w:spacing w:after="0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8351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83513">
      <w:pPr>
        <w:pStyle w:val="Heading1"/>
        <w:numPr>
          <w:ilvl w:val="1"/>
          <w:numId w:val="6"/>
        </w:numPr>
        <w:spacing w:before="0" w:after="0" w:line="360" w:lineRule="auto"/>
        <w:ind w:left="0" w:firstLine="709"/>
        <w:rPr>
          <w:sz w:val="32"/>
        </w:rPr>
      </w:pPr>
      <w:bookmarkStart w:id="6" w:name="_Toc40809606"/>
      <w:r w:rsidRPr="00C25305">
        <w:rPr>
          <w:sz w:val="32"/>
        </w:rPr>
        <w:t>Блок-схема решения</w:t>
      </w:r>
      <w:bookmarkEnd w:id="6"/>
    </w:p>
    <w:p w:rsidR="000117CD" w:rsidRPr="0056589A" w:rsidRDefault="000117CD" w:rsidP="00C83513">
      <w:pPr>
        <w:pStyle w:val="ListParagraph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F51D4E" wp14:editId="697211AD">
            <wp:extent cx="4572000" cy="660619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4572000" cy="660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13157D" w:rsidRDefault="0013157D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br w:type="page"/>
      </w:r>
    </w:p>
    <w:p w:rsidR="00E02E1B" w:rsidRPr="00C25305" w:rsidRDefault="007839C7" w:rsidP="0013157D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7" w:name="_Toc40809607"/>
      <w:r w:rsidRPr="00C25305">
        <w:rPr>
          <w:sz w:val="32"/>
        </w:rPr>
        <w:lastRenderedPageBreak/>
        <w:t>Граничные условия</w:t>
      </w:r>
      <w:bookmarkEnd w:id="7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этом случае</w:t>
      </w:r>
    </w:p>
    <w:p w:rsidR="00E02E1B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FC7E1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81CF99B" wp14:editId="6AA08E64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</w:t>
      </w:r>
      <w:r w:rsidR="006E227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рассматриваемых способов учёта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B6A4E">
      <w:pPr>
        <w:pStyle w:val="Heading1"/>
        <w:numPr>
          <w:ilvl w:val="0"/>
          <w:numId w:val="6"/>
        </w:numPr>
        <w:spacing w:line="360" w:lineRule="auto"/>
        <w:ind w:hanging="11"/>
        <w:rPr>
          <w:sz w:val="32"/>
        </w:rPr>
      </w:pPr>
      <w:bookmarkStart w:id="8" w:name="_Toc40809608"/>
      <w:r w:rsidRPr="00C25305">
        <w:rPr>
          <w:sz w:val="32"/>
        </w:rPr>
        <w:t>Численный эксперимент</w:t>
      </w:r>
      <w:bookmarkEnd w:id="8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</w:t>
      </w: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FC7E1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FC7E1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3B6131" w:rsidRPr="0056589A" w:rsidRDefault="00FC7E16" w:rsidP="00C3196D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FC7E16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837F6D" wp14:editId="4BBC3E0E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A5878A" wp14:editId="5C4D748D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43779D">
      <w:pPr>
        <w:pStyle w:val="Heading1"/>
        <w:numPr>
          <w:ilvl w:val="0"/>
          <w:numId w:val="6"/>
        </w:numPr>
        <w:spacing w:line="360" w:lineRule="auto"/>
        <w:ind w:hanging="720"/>
        <w:rPr>
          <w:sz w:val="32"/>
        </w:rPr>
      </w:pPr>
      <w:bookmarkStart w:id="9" w:name="_Toc40809609"/>
      <w:r>
        <w:rPr>
          <w:sz w:val="32"/>
        </w:rPr>
        <w:t>Параметры расчёта</w:t>
      </w:r>
      <w:bookmarkEnd w:id="9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области, и безразмерную обезразмеренное значение характерной 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FC7E1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FC7E16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 xml:space="preserve">решёточное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85637" w:rsidRDefault="00FC7E16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85637" w:rsidRPr="00C85637" w:rsidRDefault="00C85637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множитель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возникает засчёт умножения деления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безразмерный квадрат скорости звука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C8563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95699C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10" w:name="_Toc40809610"/>
      <w:r>
        <w:rPr>
          <w:sz w:val="32"/>
        </w:rPr>
        <w:t>Численный экспери</w:t>
      </w:r>
      <w:r w:rsidR="00413CD7">
        <w:rPr>
          <w:sz w:val="32"/>
        </w:rPr>
        <w:t>мент с использованием</w:t>
      </w:r>
      <w:r w:rsidR="00DF66E7">
        <w:rPr>
          <w:sz w:val="32"/>
        </w:rPr>
        <w:t xml:space="preserve"> библиотеки</w:t>
      </w:r>
      <w:r w:rsidR="00413CD7">
        <w:rPr>
          <w:sz w:val="32"/>
        </w:rPr>
        <w:t xml:space="preserve"> </w:t>
      </w:r>
      <w:r w:rsidR="00413CD7">
        <w:rPr>
          <w:sz w:val="32"/>
          <w:lang w:val="en-US"/>
        </w:rPr>
        <w:t>Palabos</w:t>
      </w:r>
      <w:bookmarkEnd w:id="10"/>
    </w:p>
    <w:p w:rsidR="00B3113E" w:rsidRDefault="00B3113E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сегодняшний день в мире существует множество коммерческих и некоммерческих пакетов, реализующих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LBM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работе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была использована библиотека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открытым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исходным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кодом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Palabos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разработанная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языке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="005A2E8C" w:rsidRP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++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Университете Женевы 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Критериями выбора были  документация, распространённость использования и широкий спектр решаемых задач.</w:t>
      </w:r>
      <w:r w:rsidR="00DD6A1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1E18C0" w:rsidRDefault="001E18C0" w:rsidP="00BB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Входным параметром программы является переменная класса </w:t>
      </w:r>
      <w:r w:rsidRPr="001E18C0">
        <w:rPr>
          <w:rFonts w:ascii="Consolas" w:eastAsia="Times New Roman" w:hAnsi="Consolas" w:cs="Times New Roman"/>
          <w:sz w:val="28"/>
          <w:szCs w:val="28"/>
          <w:lang w:eastAsia="ar-SA"/>
        </w:rPr>
        <w:t>IncomprFlowParam</w:t>
      </w: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требующая задания безразмерных значений скорости, частоты релаксации, размеров расчётной области, размера пространственной сетки и числа Рейнольдса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5BDE" w:rsidRPr="005679E4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Опционально можно задать физические значения коэффициентов преобразования скорости и длины (по умолчанию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 w:rsidR="00EC4BCE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этим данным производится расчёт безразмерных значений вязкости, шага по пространству и шага по времени.</w:t>
      </w:r>
    </w:p>
    <w:p w:rsidR="005679E4" w:rsidRPr="00345BDE" w:rsidRDefault="005679E4" w:rsidP="00BB1378">
      <w:pPr>
        <w:spacing w:after="0" w:line="360" w:lineRule="auto"/>
        <w:ind w:firstLine="709"/>
        <w:jc w:val="both"/>
        <w:rPr>
          <w:rFonts w:ascii="Consolas" w:eastAsia="Times New Roman" w:hAnsi="Consolas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Результатом проведённого мод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лирования 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является переменная класса </w:t>
      </w:r>
      <w:r w:rsidR="00345BDE" w:rsidRPr="00345BDE">
        <w:rPr>
          <w:rFonts w:ascii="Consolas" w:eastAsia="Times New Roman" w:hAnsi="Consolas" w:cs="Times New Roman"/>
          <w:sz w:val="28"/>
          <w:szCs w:val="28"/>
          <w:lang w:eastAsia="ar-SA"/>
        </w:rPr>
        <w:t>MultiBlockLattice2D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каждом временном шаге содержащая информацию о плотности и скоростях жидкости 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[7].</w:t>
      </w:r>
    </w:p>
    <w:p w:rsidR="00CA0E1D" w:rsidRPr="001E18C0" w:rsidRDefault="00CA0E1D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Моделирование проводилось при следующих значениях безразмерных параметров:</w:t>
      </w:r>
      <w:r w:rsidRPr="001E18C0">
        <w:rPr>
          <w:rFonts w:ascii="Times New Roman" w:hAnsi="Times New Roman" w:cs="Times New Roman"/>
        </w:rPr>
        <w:t xml:space="preserve"> </w:t>
      </w:r>
    </w:p>
    <w:p w:rsidR="001E18C0" w:rsidRPr="001E18C0" w:rsidRDefault="00FC7E16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=0.01; Re=1.5;N=100;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=0.4;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=1. </m:t>
          </m:r>
        </m:oMath>
      </m:oMathPara>
    </w:p>
    <w:p w:rsidR="00D906B7" w:rsidRDefault="00560CF5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Начальное значение безразмерной 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1E18C0" w:rsidRPr="001E18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Коэффициенты преобразования</w:t>
      </w:r>
      <w:r w:rsidR="0056441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заданы по умолчанию.</w:t>
      </w:r>
      <w:r w:rsidR="00CA0E1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D906B7">
        <w:rPr>
          <w:rFonts w:ascii="Times New Roman" w:hAnsi="Times New Roman" w:cs="Times New Roman"/>
          <w:sz w:val="28"/>
          <w:szCs w:val="28"/>
          <w:lang w:eastAsia="ar-SA"/>
        </w:rPr>
        <w:t>Шаги по пространству в любом направлении</w:t>
      </w:r>
    </w:p>
    <w:p w:rsidR="00D906B7" w:rsidRPr="00D906B7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ar-SA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ar-SA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ar-SA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,</m:t>
          </m:r>
        </m:oMath>
      </m:oMathPara>
    </w:p>
    <w:p w:rsidR="00CA52E4" w:rsidRPr="00CA52E4" w:rsidRDefault="00D906B7" w:rsidP="00BB137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откуда шаг по времени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x 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ar-SA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="00CA52E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 w:rsidR="00CA52E4">
        <w:rPr>
          <w:rFonts w:ascii="Times New Roman" w:hAnsi="Times New Roman" w:cs="Times New Roman"/>
          <w:sz w:val="28"/>
          <w:szCs w:val="28"/>
          <w:lang w:eastAsia="ar-SA"/>
        </w:rPr>
        <w:t>На границах, как и ранее, были заданы периодические граничные условия – на левой и правой, и условия прилипания – на верхней и нижней.</w:t>
      </w:r>
    </w:p>
    <w:p w:rsidR="00EC4BCE" w:rsidRPr="00C57843" w:rsidRDefault="00EC4BCE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Г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рафик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 xml:space="preserve">плотности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нормы скорости 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</m:t>
        </m:r>
      </m:oMath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изображён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на рис.6</w:t>
      </w:r>
      <w:r w:rsidR="00FE26A1" w:rsidRPr="00FE26A1">
        <w:rPr>
          <w:rFonts w:ascii="Times New Roman" w:hAnsi="Times New Roman" w:cs="Times New Roman"/>
          <w:sz w:val="28"/>
          <w:szCs w:val="28"/>
          <w:lang w:eastAsia="ar-SA"/>
        </w:rPr>
        <w:t>.</w:t>
      </w:r>
      <w:r w:rsidR="00C57843" w:rsidRPr="00C57843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1026D0" w:rsidRPr="00FE26A1" w:rsidRDefault="001026D0" w:rsidP="00BB1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13CD7" w:rsidRPr="008316D7" w:rsidRDefault="002C0944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2C09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7D20A3" wp14:editId="3559D7C5">
            <wp:extent cx="3930425" cy="1973947"/>
            <wp:effectExtent l="0" t="0" r="0" b="7620"/>
            <wp:docPr id="2" name="Picture 2" descr="C:\Users\Ксения\palabos\examples\showCases\boundaryCondition\tmp\u1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сения\palabos\examples\showCases\boundaryCondition\tmp\u10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58" cy="198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00" w:rsidRDefault="001026D0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6.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</m:t>
        </m:r>
      </m:oMath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C3196D" w:rsidRDefault="00C3196D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позволил решить это задачу с большой точностью, средне квадратичное отклонение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err=1.1∙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.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График зависимости нормы скорости от координаты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y</m:t>
        </m:r>
      </m:oMath>
      <w:r w:rsidRPr="00C3196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канала представлен на рис.7.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E733F5" w:rsidRPr="001026D0" w:rsidRDefault="00C3196D" w:rsidP="00BB13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C3196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77024" wp14:editId="6255EB2B">
            <wp:extent cx="3562533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установления</w:t>
      </w:r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D13664">
        <w:rPr>
          <w:rFonts w:ascii="Times New Roman" w:hAnsi="Times New Roman" w:cs="Times New Roman"/>
          <w:i/>
          <w:sz w:val="28"/>
          <w:szCs w:val="28"/>
          <w:lang w:eastAsia="ar-SA"/>
        </w:rPr>
        <w:t>)</w:t>
      </w:r>
    </w:p>
    <w:p w:rsidR="00E733F5" w:rsidRDefault="00E733F5" w:rsidP="00BB137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</w:p>
    <w:p w:rsidR="00E733F5" w:rsidRDefault="00986F2B" w:rsidP="00BB13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Несмотря на высокую точность решения, в</w:t>
      </w:r>
      <w:r w:rsidR="0043779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процессе использования библиотеки </w:t>
      </w:r>
      <w:r w:rsidR="0043779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Palabos</w:t>
      </w:r>
      <w:r w:rsidR="00E9456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были отмечены непредвиденные результаты.</w:t>
      </w:r>
    </w:p>
    <w:p w:rsidR="00986F2B" w:rsidRDefault="00986F2B" w:rsidP="00986F2B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11" w:name="_Toc40809611"/>
      <w:r>
        <w:rPr>
          <w:sz w:val="32"/>
        </w:rPr>
        <w:lastRenderedPageBreak/>
        <w:t>Вопрос о консервативности</w:t>
      </w:r>
      <w:bookmarkEnd w:id="11"/>
    </w:p>
    <w:p w:rsidR="00986F2B" w:rsidRDefault="00986F2B" w:rsidP="00986F2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Во время моделирования проводилось исследование не только точности получаемых результатов, но и выполнения законов сохранения энергии и массы. Для этого расчёт проводился до определённого времени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T=100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).</w:t>
      </w:r>
    </w:p>
    <w:p w:rsidR="00C900F0" w:rsidRPr="003246A9" w:rsidRDefault="00986F2B" w:rsidP="003246A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Выполнение закона со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>хранения энергии было доказано</w:t>
      </w:r>
      <w:r w:rsidR="003F7A90" w:rsidRP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безразмерное значение полной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ε=1.7∙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-5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.</w:t>
      </w:r>
    </w:p>
    <w:p w:rsidR="00B67C89" w:rsidRPr="003F7A90" w:rsidRDefault="00C900F0" w:rsidP="002014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Во время предыдущих расчётов, проводившихся до момента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ar-SA"/>
          </w:rPr>
          <m:t>t≪T</m:t>
        </m:r>
      </m:oMath>
      <w:r w:rsidR="003F7A90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,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можно было заметить незначительный рост </w:t>
      </w:r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безразмерного значения </w:t>
      </w:r>
      <w:r w:rsidR="00B67C89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плотности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ar-SA"/>
              </w:rPr>
              <m:t>ρ</m:t>
            </m:r>
          </m:e>
        </m:acc>
      </m:oMath>
      <w:r w:rsidR="00560CF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. </w:t>
      </w:r>
      <w:r w:rsidR="002014A5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После увеличения периода моделирования стала очевидна линейная зависимость плотности от времени (см. рис.8). </w:t>
      </w:r>
      <w:r w:rsidR="006A7EA4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</w:t>
      </w:r>
    </w:p>
    <w:p w:rsidR="00560CF5" w:rsidRDefault="00560CF5" w:rsidP="00B67C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Style w:val="MathematicaFormatStandardForm"/>
          <w:noProof/>
          <w:lang w:eastAsia="ru-RU"/>
        </w:rPr>
      </w:pPr>
    </w:p>
    <w:p w:rsidR="006A7EA4" w:rsidRPr="001026D0" w:rsidRDefault="00B67C89" w:rsidP="006A7EA4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Style w:val="MathematicaFormatStandardForm"/>
          <w:noProof/>
          <w:lang w:eastAsia="ru-RU"/>
        </w:rPr>
        <w:drawing>
          <wp:inline distT="0" distB="0" distL="0" distR="0" wp14:anchorId="152BC583" wp14:editId="4B44F3DA">
            <wp:extent cx="3721100" cy="2348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04" b="28319"/>
                    <a:stretch/>
                  </pic:blipFill>
                  <pic:spPr bwMode="auto">
                    <a:xfrm>
                      <a:off x="0" y="0"/>
                      <a:ext cx="3739891" cy="236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EA4" w:rsidRPr="006A7EA4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2014A5" w:rsidRDefault="006A7EA4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8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разности начальной и текущей плотностей от времени</w:t>
      </w:r>
    </w:p>
    <w:p w:rsidR="002014A5" w:rsidRPr="003246A9" w:rsidRDefault="002014A5" w:rsidP="002014A5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</w:p>
    <w:p w:rsidR="00F263AF" w:rsidRDefault="00720E07" w:rsidP="00F26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Объём расчётной области с течением времени остаётся неизменным, следовательно, закон сохранения массы не выполняется. </w:t>
      </w:r>
      <w:r w:rsidR="00260C37">
        <w:rPr>
          <w:rFonts w:ascii="Times New Roman" w:eastAsiaTheme="minorEastAsia" w:hAnsi="Times New Roman" w:cs="Times New Roman"/>
          <w:sz w:val="28"/>
          <w:szCs w:val="28"/>
          <w:lang w:eastAsia="ar-SA"/>
        </w:rPr>
        <w:t>Делая такой вывод, мы предполагаем сохранение линейной монотонной зависимости плотности от времени на последующих итерациях метода.</w:t>
      </w:r>
    </w:p>
    <w:p w:rsidR="00F263AF" w:rsidRDefault="00F263AF">
      <w:pPr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br w:type="page"/>
      </w:r>
    </w:p>
    <w:p w:rsidR="005B6A4E" w:rsidRDefault="00F263AF" w:rsidP="005B6A4E">
      <w:pPr>
        <w:pStyle w:val="Heading1"/>
        <w:numPr>
          <w:ilvl w:val="1"/>
          <w:numId w:val="6"/>
        </w:numPr>
        <w:tabs>
          <w:tab w:val="left" w:pos="720"/>
        </w:tabs>
        <w:spacing w:line="360" w:lineRule="auto"/>
        <w:ind w:left="709"/>
        <w:rPr>
          <w:sz w:val="32"/>
        </w:rPr>
      </w:pPr>
      <w:bookmarkStart w:id="12" w:name="_Toc40809612"/>
      <w:r>
        <w:rPr>
          <w:sz w:val="32"/>
        </w:rPr>
        <w:lastRenderedPageBreak/>
        <w:t>Граничные условия проскальзывания</w:t>
      </w:r>
      <w:bookmarkEnd w:id="12"/>
    </w:p>
    <w:p w:rsidR="00F263AF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>С использованием библотеки Palabos была решена задача течения Куэтта с граничным условием проскальзывания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(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free</w:t>
      </w:r>
      <w:r w:rsidR="007C238D" w:rsidRP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-</w:t>
      </w:r>
      <w:r w:rsidR="007C238D">
        <w:rPr>
          <w:rFonts w:ascii="Times New Roman" w:eastAsiaTheme="minorEastAsia" w:hAnsi="Times New Roman" w:cs="Times New Roman"/>
          <w:sz w:val="28"/>
          <w:szCs w:val="28"/>
          <w:lang w:val="en-US" w:eastAsia="ar-SA"/>
        </w:rPr>
        <w:t>slip</w:t>
      </w:r>
      <w:r w:rsidR="007C238D">
        <w:rPr>
          <w:rFonts w:ascii="Times New Roman" w:eastAsiaTheme="minorEastAsia" w:hAnsi="Times New Roman" w:cs="Times New Roman"/>
          <w:sz w:val="28"/>
          <w:szCs w:val="28"/>
          <w:lang w:eastAsia="ar-SA"/>
        </w:rPr>
        <w:t>)</w:t>
      </w:r>
      <w:r w:rsidRPr="00F263A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на нижней неподвижной границе.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Эта задача возникла в ходе освоения пакета.</w:t>
      </w:r>
    </w:p>
    <w:p w:rsidR="00027386" w:rsidRDefault="00F263AF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>За счёт наличия в задаче периодических граничных условий ожидалось равномерное распр</w:t>
      </w:r>
      <w:r w:rsid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>остранение скорости по ширине расчётной области. Однако при численном моделировании распространение происходило неравномерно, в нижних углах расчётной области скорость оставалась близкой к нулю (см. рис.9-10).</w:t>
      </w:r>
    </w:p>
    <w:p w:rsidR="00027386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027386" w:rsidRP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 w:rsidRPr="0002738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BD40E" wp14:editId="0B12D91B">
            <wp:extent cx="3790950" cy="1903900"/>
            <wp:effectExtent l="0" t="0" r="0" b="1270"/>
            <wp:docPr id="10" name="Picture 10" descr="C:\Users\Ксения\palabos\examples\showCases\boundaryCondition\tmp\free slip\periodic\Re = 1.5\u007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Ксения\palabos\examples\showCases\boundaryCondition\tmp\free slip\periodic\Re = 1.5\u007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65" cy="19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86" w:rsidRDefault="00524379" w:rsidP="0002738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9</w:t>
      </w:r>
      <w:r w:rsidR="00027386"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027386"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</w:p>
    <w:p w:rsidR="00027386" w:rsidRDefault="00027386" w:rsidP="0002738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D57A16" w:rsidRPr="001026D0" w:rsidRDefault="00524379" w:rsidP="00D57A16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2437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FA73D" wp14:editId="725FC578">
            <wp:extent cx="3517900" cy="2356735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322" cy="23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A16" w:rsidRPr="00C3196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</w:p>
    <w:p w:rsidR="00D57A16" w:rsidRDefault="00D57A16" w:rsidP="00D57A1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Рис. 7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График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>зависимости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нормы скорости 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от ширины канала </w:t>
      </w:r>
    </w:p>
    <w:p w:rsidR="00524379" w:rsidRPr="006D5F90" w:rsidRDefault="00D57A16" w:rsidP="006D5F9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 момент </w:t>
      </w:r>
      <w:r w:rsidR="006D5F9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</m:t>
        </m:r>
      </m:oMath>
      <w:r w:rsidR="006D5F90">
        <w:rPr>
          <w:rFonts w:ascii="Times New Roman" w:eastAsiaTheme="minorEastAsia" w:hAnsi="Times New Roman" w:cs="Times New Roman"/>
          <w:i/>
          <w:sz w:val="28"/>
          <w:szCs w:val="28"/>
          <w:lang w:eastAsia="ar-SA"/>
        </w:rPr>
        <w:t xml:space="preserve"> на правой и левой границе и в середине расчётной области</w:t>
      </w:r>
    </w:p>
    <w:p w:rsidR="00F263AF" w:rsidRPr="00F263AF" w:rsidRDefault="00027386" w:rsidP="00F263A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lastRenderedPageBreak/>
        <w:t xml:space="preserve">Такие результаты могут указывать на </w:t>
      </w:r>
      <w:r w:rsidR="00A07D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неполную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обработку условых узлов сетки в пакете. Как отмечалось в книге </w:t>
      </w:r>
      <w:r w:rsidRPr="00027386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[1], </w:t>
      </w:r>
      <w:r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обработка граничных условий на углах представляет собой нетривиальную задачу.  </w:t>
      </w:r>
    </w:p>
    <w:p w:rsidR="005B6A4E" w:rsidRPr="005B6A4E" w:rsidRDefault="005B6A4E" w:rsidP="005B6A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ar-SA"/>
        </w:rPr>
      </w:pPr>
    </w:p>
    <w:p w:rsidR="00BB2F78" w:rsidRPr="00BB2F78" w:rsidRDefault="00BB2F78" w:rsidP="00560CF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lang w:eastAsia="ar-SA"/>
        </w:rPr>
      </w:pPr>
    </w:p>
    <w:p w:rsidR="00D906B7" w:rsidRDefault="00D906B7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ar-SA"/>
        </w:rPr>
      </w:pPr>
      <w:r>
        <w:rPr>
          <w:sz w:val="32"/>
        </w:rPr>
        <w:br w:type="page"/>
      </w:r>
    </w:p>
    <w:p w:rsidR="001D434F" w:rsidRPr="00C25305" w:rsidRDefault="003B6131" w:rsidP="00E635D0">
      <w:pPr>
        <w:pStyle w:val="Heading1"/>
        <w:numPr>
          <w:ilvl w:val="0"/>
          <w:numId w:val="0"/>
        </w:numPr>
        <w:spacing w:line="360" w:lineRule="auto"/>
        <w:ind w:firstLine="708"/>
        <w:rPr>
          <w:sz w:val="32"/>
        </w:rPr>
      </w:pPr>
      <w:bookmarkStart w:id="13" w:name="_Toc40809613"/>
      <w:r w:rsidRPr="00C25305">
        <w:rPr>
          <w:sz w:val="32"/>
        </w:rPr>
        <w:lastRenderedPageBreak/>
        <w:t>Заключение</w:t>
      </w:r>
      <w:bookmarkEnd w:id="13"/>
    </w:p>
    <w:p w:rsidR="003B6131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AF58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5820" w:rsidRPr="00AF5820" w:rsidRDefault="00AF582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Течение Куэтта было смоделировано с использованием библиотеки с открытым исходным кодом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Palabos</w:t>
      </w:r>
      <w:r w:rsidRPr="00AF582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2B3087">
        <w:rPr>
          <w:rFonts w:ascii="Times New Roman" w:hAnsi="Times New Roman" w:cs="Times New Roman"/>
          <w:color w:val="000000"/>
          <w:sz w:val="28"/>
          <w:szCs w:val="28"/>
        </w:rPr>
        <w:t>Это решение даёт лучшую точность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однако консервативность метода, реализованного в библиотеке, ставится под сомнение. 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4" w:name="_Toc40809614"/>
      <w:r w:rsidRPr="0056589A">
        <w:rPr>
          <w:szCs w:val="28"/>
        </w:rPr>
        <w:lastRenderedPageBreak/>
        <w:t>Список использованной литературы</w:t>
      </w:r>
      <w:bookmarkEnd w:id="14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G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proofErr w:type="spellEnd"/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.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Fluid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Mechanics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-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A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Short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Course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for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Physicists</w:t>
      </w:r>
      <w:r w:rsidRPr="00FC7E16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// </w:t>
      </w: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T. Kruger, H. Kusumaatmaja, A. Kuzmin, O. Shardt, G. Silva, and E. M. Viggen,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M. Bouzidi, M. Firdaouss, P. Lallemand,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FC7E16">
        <w:rPr>
          <w:rFonts w:ascii="Times New Roman" w:hAnsi="Times New Roman" w:cs="Times New Roman"/>
          <w:color w:val="222222"/>
          <w:sz w:val="28"/>
          <w:szCs w:val="28"/>
        </w:rPr>
        <w:t xml:space="preserve">Ландау Л. Д., Лифшиц Е. М. Теоретическая физика. том </w:t>
      </w: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VI</w:t>
      </w:r>
      <w:r w:rsidRPr="00FC7E16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Гидродинамика //М: Наука. – 1986.</w:t>
      </w:r>
    </w:p>
    <w:p w:rsidR="00413CD7" w:rsidRPr="003E445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CA0E1D" w:rsidRPr="003E445A" w:rsidRDefault="003E445A" w:rsidP="00C17BBB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Palabos: open source lattice Boltzmann library. URL</w:t>
      </w: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eastAsia="ar-SA"/>
        </w:rPr>
        <w:t xml:space="preserve">: </w:t>
      </w:r>
      <w:r w:rsidRPr="003E445A">
        <w:rPr>
          <w:rFonts w:ascii="Times New Roman" w:hAnsi="Times New Roman" w:cs="Times New Roman"/>
          <w:sz w:val="28"/>
          <w:szCs w:val="28"/>
        </w:rPr>
        <w:fldChar w:fldCharType="begin"/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3E445A">
        <w:rPr>
          <w:rFonts w:ascii="Times New Roman" w:hAnsi="Times New Roman" w:cs="Times New Roman"/>
          <w:sz w:val="28"/>
          <w:szCs w:val="28"/>
        </w:rPr>
        <w:instrText>://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unigespc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gitlab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io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palabos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docs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html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/" </w:instrText>
      </w:r>
      <w:r w:rsidRPr="003E445A">
        <w:rPr>
          <w:rFonts w:ascii="Times New Roman" w:hAnsi="Times New Roman" w:cs="Times New Roman"/>
          <w:sz w:val="28"/>
          <w:szCs w:val="28"/>
        </w:rPr>
        <w:fldChar w:fldCharType="separate"/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://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unigespc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palabos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html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Fonts w:ascii="Times New Roman" w:hAnsi="Times New Roman" w:cs="Times New Roman"/>
          <w:sz w:val="28"/>
          <w:szCs w:val="28"/>
        </w:rPr>
        <w:fldChar w:fldCharType="end"/>
      </w:r>
      <w:r w:rsidRPr="003E445A">
        <w:rPr>
          <w:rFonts w:ascii="Times New Roman" w:hAnsi="Times New Roman" w:cs="Times New Roman"/>
          <w:sz w:val="28"/>
          <w:szCs w:val="28"/>
        </w:rPr>
        <w:t xml:space="preserve"> (дата обращения: 16.05.2020)</w:t>
      </w:r>
      <w:r w:rsidR="00540316">
        <w:rPr>
          <w:rFonts w:ascii="Times New Roman" w:hAnsi="Times New Roman" w:cs="Times New Roman"/>
          <w:sz w:val="28"/>
          <w:szCs w:val="28"/>
        </w:rPr>
        <w:t>.</w:t>
      </w:r>
      <w:r w:rsidR="00C17BBB" w:rsidRPr="003E445A">
        <w:rPr>
          <w:rFonts w:ascii="Times New Roman" w:hAnsi="Times New Roman" w:cs="Times New Roman"/>
          <w:sz w:val="24"/>
          <w:szCs w:val="24"/>
        </w:rPr>
        <w:t xml:space="preserve"> </w:t>
      </w:r>
      <w:r w:rsidR="00CA0E1D" w:rsidRPr="003E445A">
        <w:rPr>
          <w:rFonts w:ascii="Times New Roman" w:hAnsi="Times New Roman" w:cs="Times New Roman"/>
          <w:sz w:val="24"/>
          <w:szCs w:val="24"/>
        </w:rPr>
        <w:br w:type="page"/>
      </w:r>
    </w:p>
    <w:p w:rsidR="003B6131" w:rsidRDefault="00DB0430" w:rsidP="00DB0430">
      <w:pPr>
        <w:pStyle w:val="Heading1"/>
        <w:numPr>
          <w:ilvl w:val="0"/>
          <w:numId w:val="0"/>
        </w:numPr>
        <w:spacing w:line="360" w:lineRule="auto"/>
        <w:ind w:left="720" w:hanging="11"/>
        <w:rPr>
          <w:sz w:val="32"/>
        </w:rPr>
      </w:pPr>
      <w:bookmarkStart w:id="15" w:name="_Toc40809615"/>
      <w:r>
        <w:rPr>
          <w:sz w:val="32"/>
        </w:rPr>
        <w:lastRenderedPageBreak/>
        <w:t xml:space="preserve">Приложение. </w:t>
      </w:r>
      <w:r w:rsidR="00CA0E1D">
        <w:rPr>
          <w:sz w:val="32"/>
        </w:rPr>
        <w:t xml:space="preserve">Технические особенности использования библиотеки </w:t>
      </w:r>
      <w:r w:rsidR="00CA0E1D">
        <w:rPr>
          <w:sz w:val="32"/>
          <w:lang w:val="en-US"/>
        </w:rPr>
        <w:t>Palabos</w:t>
      </w:r>
      <w:bookmarkEnd w:id="15"/>
    </w:p>
    <w:p w:rsidR="00A009AF" w:rsidRDefault="007C238D" w:rsidP="007C23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tab/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Во время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использования библотеки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Palabos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для моделирования задачи течения Куэтта</w:t>
      </w:r>
      <w:r w:rsidR="00951D0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C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++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нам пришлось столкнуться со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сл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едующими техническими особенностями</w:t>
      </w:r>
      <w:r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A009AF" w:rsidRDefault="00A009A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Компиляция программ с использованием этой библиотеки возможно только на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Unix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подобных операционных системах. Перед началом работы с библиотекой убедитесь, что на вычислительной машине установлены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2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.7,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make</w:t>
      </w:r>
      <w:r w:rsidRPr="00A009A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 интерфейс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MPI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7C238D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7C238D">
        <w:rPr>
          <w:rFonts w:ascii="Times New Roman" w:hAnsi="Times New Roman" w:cs="Times New Roman"/>
          <w:sz w:val="28"/>
          <w:szCs w:val="28"/>
          <w:lang w:eastAsia="ar-SA"/>
        </w:rPr>
        <w:t>Важен поря</w:t>
      </w:r>
      <w:r>
        <w:rPr>
          <w:rFonts w:ascii="Times New Roman" w:hAnsi="Times New Roman" w:cs="Times New Roman"/>
          <w:sz w:val="28"/>
          <w:szCs w:val="28"/>
          <w:lang w:eastAsia="ar-SA"/>
        </w:rPr>
        <w:t>док задания граничных условий. П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ериодические граничные условия задаются в начале методом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periodicity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 переменной класса </w:t>
      </w:r>
      <w:r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Pr="007C238D">
        <w:rPr>
          <w:rFonts w:ascii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граничные условия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иных видов задаются во вторую очередь методом </w:t>
      </w:r>
      <w:r w:rsidR="0083475F" w:rsidRPr="0083475F">
        <w:rPr>
          <w:rFonts w:ascii="Consolas" w:hAnsi="Consolas" w:cs="Times New Roman"/>
          <w:sz w:val="28"/>
          <w:szCs w:val="28"/>
          <w:lang w:eastAsia="ar-SA"/>
        </w:rPr>
        <w:t>setVelocityConditionOnBlockBoundaries</w:t>
      </w:r>
      <w:r w:rsidR="0083475F">
        <w:rPr>
          <w:rFonts w:ascii="Consolas" w:hAnsi="Consolas" w:cs="Times New Roman"/>
          <w:sz w:val="28"/>
          <w:szCs w:val="28"/>
          <w:lang w:eastAsia="ar-SA"/>
        </w:rPr>
        <w:t xml:space="preserve"> 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 xml:space="preserve">переменной класса </w:t>
      </w:r>
      <w:r w:rsidR="0083475F" w:rsidRPr="003F4A0B">
        <w:rPr>
          <w:rFonts w:ascii="Consolas" w:hAnsi="Consolas" w:cs="Times New Roman"/>
          <w:sz w:val="28"/>
          <w:szCs w:val="28"/>
          <w:lang w:eastAsia="ar-SA"/>
        </w:rPr>
        <w:t>OnLatticeBoundaryC</w:t>
      </w:r>
      <w:bookmarkStart w:id="16" w:name="_GoBack"/>
      <w:bookmarkEnd w:id="16"/>
      <w:r w:rsidR="0083475F" w:rsidRPr="003F4A0B">
        <w:rPr>
          <w:rFonts w:ascii="Consolas" w:hAnsi="Consolas" w:cs="Times New Roman"/>
          <w:sz w:val="28"/>
          <w:szCs w:val="28"/>
          <w:lang w:eastAsia="ar-SA"/>
        </w:rPr>
        <w:t>ondition2D</w:t>
      </w:r>
      <w:r w:rsidR="0083475F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83475F" w:rsidRDefault="0083475F" w:rsidP="0083475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Инициализация равновесной функции распределения должна производится </w:t>
      </w:r>
      <w:r w:rsidR="00716E6F">
        <w:rPr>
          <w:rFonts w:ascii="Times New Roman" w:hAnsi="Times New Roman" w:cs="Times New Roman"/>
          <w:sz w:val="28"/>
          <w:szCs w:val="28"/>
          <w:lang w:eastAsia="ar-SA"/>
        </w:rPr>
        <w:t>после каждого определения скоростей на границах.</w:t>
      </w:r>
    </w:p>
    <w:p w:rsidR="00716E6F" w:rsidRDefault="003E46FC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Перед переходом к основному алгоритму (итерации по времени) необходимо задать решётку –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применить метод </w:t>
      </w:r>
      <w:r w:rsidR="003F4A0B" w:rsidRPr="003F4A0B">
        <w:rPr>
          <w:rFonts w:ascii="Consolas" w:hAnsi="Consolas" w:cs="Times New Roman"/>
          <w:sz w:val="28"/>
          <w:szCs w:val="28"/>
          <w:lang w:eastAsia="ar-SA"/>
        </w:rPr>
        <w:t>initialize</w:t>
      </w:r>
      <w:r w:rsidR="003F4A0B">
        <w:rPr>
          <w:rFonts w:ascii="Times New Roman" w:hAnsi="Times New Roman" w:cs="Times New Roman"/>
          <w:sz w:val="28"/>
          <w:szCs w:val="28"/>
          <w:lang w:eastAsia="ar-SA"/>
        </w:rPr>
        <w:t xml:space="preserve"> существующей переменной класса </w:t>
      </w:r>
      <w:r w:rsidR="003F4A0B" w:rsidRPr="007C238D">
        <w:rPr>
          <w:rFonts w:ascii="Consolas" w:hAnsi="Consolas" w:cs="Times New Roman"/>
          <w:sz w:val="28"/>
          <w:szCs w:val="28"/>
          <w:lang w:eastAsia="ar-SA"/>
        </w:rPr>
        <w:t>MultiBlockLattice2D</w:t>
      </w:r>
      <w:r w:rsidR="003F4A0B"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3F4A0B" w:rsidRPr="0083475F" w:rsidRDefault="003F4A0B" w:rsidP="003F4A0B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Встроенные средства библиотеки позволяют сохранять полученные на каждой итерации данные в файлы формата .vti или 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vts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, для чтения которых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разработчики библиотеки советуют использовать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Paravie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>w</w:t>
      </w:r>
      <w:r w:rsidRPr="003F4A0B">
        <w:rPr>
          <w:rFonts w:ascii="Times New Roman" w:hAnsi="Times New Roman" w:cs="Times New Roman"/>
          <w:sz w:val="28"/>
          <w:szCs w:val="28"/>
          <w:lang w:eastAsia="ar-SA"/>
        </w:rPr>
        <w:t>.[6]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Однако, визуализация данных возможна и с использованием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ar-SA"/>
        </w:rPr>
        <w:t>vtk</w:t>
      </w:r>
      <w:proofErr w:type="spellEnd"/>
      <w:r w:rsidRPr="003F4A0B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Python</w:t>
      </w:r>
      <w:r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sectPr w:rsidR="003F4A0B" w:rsidRPr="0083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1650496"/>
    <w:multiLevelType w:val="hybridMultilevel"/>
    <w:tmpl w:val="7526D0D8"/>
    <w:lvl w:ilvl="0" w:tplc="71B0EA2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7484E"/>
    <w:multiLevelType w:val="hybridMultilevel"/>
    <w:tmpl w:val="41D26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D70113"/>
    <w:multiLevelType w:val="multilevel"/>
    <w:tmpl w:val="7526D0D8"/>
    <w:lvl w:ilvl="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27386"/>
    <w:rsid w:val="000310DB"/>
    <w:rsid w:val="0004273D"/>
    <w:rsid w:val="00046D18"/>
    <w:rsid w:val="00051DD4"/>
    <w:rsid w:val="00053FF2"/>
    <w:rsid w:val="00077C10"/>
    <w:rsid w:val="000827CB"/>
    <w:rsid w:val="00086D6A"/>
    <w:rsid w:val="000A65A6"/>
    <w:rsid w:val="000C5894"/>
    <w:rsid w:val="000D7100"/>
    <w:rsid w:val="000E395E"/>
    <w:rsid w:val="000F2021"/>
    <w:rsid w:val="000F6ADF"/>
    <w:rsid w:val="001017D1"/>
    <w:rsid w:val="001026D0"/>
    <w:rsid w:val="00117597"/>
    <w:rsid w:val="001224B3"/>
    <w:rsid w:val="0012505B"/>
    <w:rsid w:val="00126D7F"/>
    <w:rsid w:val="0013157D"/>
    <w:rsid w:val="00166070"/>
    <w:rsid w:val="00171B51"/>
    <w:rsid w:val="001738D6"/>
    <w:rsid w:val="001751C4"/>
    <w:rsid w:val="001878BA"/>
    <w:rsid w:val="0019592E"/>
    <w:rsid w:val="001C1777"/>
    <w:rsid w:val="001D129B"/>
    <w:rsid w:val="001D434F"/>
    <w:rsid w:val="001D5462"/>
    <w:rsid w:val="001E18C0"/>
    <w:rsid w:val="001E2E6A"/>
    <w:rsid w:val="001E7C26"/>
    <w:rsid w:val="001F4963"/>
    <w:rsid w:val="001F653F"/>
    <w:rsid w:val="002014A5"/>
    <w:rsid w:val="00202596"/>
    <w:rsid w:val="00211C07"/>
    <w:rsid w:val="0021420D"/>
    <w:rsid w:val="002344FF"/>
    <w:rsid w:val="002443CA"/>
    <w:rsid w:val="002521BB"/>
    <w:rsid w:val="0025229D"/>
    <w:rsid w:val="00260C37"/>
    <w:rsid w:val="00294E22"/>
    <w:rsid w:val="002A24BE"/>
    <w:rsid w:val="002A2B1D"/>
    <w:rsid w:val="002B0B32"/>
    <w:rsid w:val="002B3087"/>
    <w:rsid w:val="002B4E01"/>
    <w:rsid w:val="002B5B00"/>
    <w:rsid w:val="002B6D81"/>
    <w:rsid w:val="002B7940"/>
    <w:rsid w:val="002C0944"/>
    <w:rsid w:val="002D6C83"/>
    <w:rsid w:val="002E35AC"/>
    <w:rsid w:val="00300E52"/>
    <w:rsid w:val="00316D11"/>
    <w:rsid w:val="003246A9"/>
    <w:rsid w:val="00345BDE"/>
    <w:rsid w:val="003617F0"/>
    <w:rsid w:val="0036748B"/>
    <w:rsid w:val="00371BC6"/>
    <w:rsid w:val="00372858"/>
    <w:rsid w:val="0038165C"/>
    <w:rsid w:val="00381E55"/>
    <w:rsid w:val="003A5559"/>
    <w:rsid w:val="003B0A2D"/>
    <w:rsid w:val="003B6131"/>
    <w:rsid w:val="003C0FAE"/>
    <w:rsid w:val="003D4ED3"/>
    <w:rsid w:val="003E445A"/>
    <w:rsid w:val="003E46FC"/>
    <w:rsid w:val="003F4A0B"/>
    <w:rsid w:val="003F56F2"/>
    <w:rsid w:val="003F7942"/>
    <w:rsid w:val="003F7A90"/>
    <w:rsid w:val="00403160"/>
    <w:rsid w:val="0041180B"/>
    <w:rsid w:val="00413CD7"/>
    <w:rsid w:val="004237B1"/>
    <w:rsid w:val="00427AAF"/>
    <w:rsid w:val="0043779D"/>
    <w:rsid w:val="0044706B"/>
    <w:rsid w:val="00487861"/>
    <w:rsid w:val="004949C4"/>
    <w:rsid w:val="004D346F"/>
    <w:rsid w:val="004F5B97"/>
    <w:rsid w:val="005122D1"/>
    <w:rsid w:val="00512CA0"/>
    <w:rsid w:val="00524379"/>
    <w:rsid w:val="00531A7A"/>
    <w:rsid w:val="00540316"/>
    <w:rsid w:val="00547D2D"/>
    <w:rsid w:val="005577F4"/>
    <w:rsid w:val="00560CF5"/>
    <w:rsid w:val="0056441F"/>
    <w:rsid w:val="0056589A"/>
    <w:rsid w:val="005679E4"/>
    <w:rsid w:val="005754A8"/>
    <w:rsid w:val="00590AC6"/>
    <w:rsid w:val="0059642D"/>
    <w:rsid w:val="005A2E8C"/>
    <w:rsid w:val="005B16B0"/>
    <w:rsid w:val="005B6A4E"/>
    <w:rsid w:val="005C0949"/>
    <w:rsid w:val="005D13F0"/>
    <w:rsid w:val="005D6432"/>
    <w:rsid w:val="005D6BF0"/>
    <w:rsid w:val="005F4727"/>
    <w:rsid w:val="005F7DA4"/>
    <w:rsid w:val="00603B02"/>
    <w:rsid w:val="00604037"/>
    <w:rsid w:val="006244A4"/>
    <w:rsid w:val="00656B0E"/>
    <w:rsid w:val="006A67CD"/>
    <w:rsid w:val="006A6EBE"/>
    <w:rsid w:val="006A7EA4"/>
    <w:rsid w:val="006D5F90"/>
    <w:rsid w:val="006D63F1"/>
    <w:rsid w:val="006E2276"/>
    <w:rsid w:val="006E6A6D"/>
    <w:rsid w:val="007073DA"/>
    <w:rsid w:val="00716E6F"/>
    <w:rsid w:val="00720E07"/>
    <w:rsid w:val="00727EB6"/>
    <w:rsid w:val="00755CB2"/>
    <w:rsid w:val="007568E5"/>
    <w:rsid w:val="00777426"/>
    <w:rsid w:val="007839C7"/>
    <w:rsid w:val="0078574C"/>
    <w:rsid w:val="007A3AD8"/>
    <w:rsid w:val="007A48F4"/>
    <w:rsid w:val="007B4045"/>
    <w:rsid w:val="007C1166"/>
    <w:rsid w:val="007C238D"/>
    <w:rsid w:val="007D04FE"/>
    <w:rsid w:val="007D3345"/>
    <w:rsid w:val="007D5C75"/>
    <w:rsid w:val="0080339B"/>
    <w:rsid w:val="00815DFA"/>
    <w:rsid w:val="008316D7"/>
    <w:rsid w:val="0083475F"/>
    <w:rsid w:val="00843D5C"/>
    <w:rsid w:val="008502CB"/>
    <w:rsid w:val="008513EF"/>
    <w:rsid w:val="008546F2"/>
    <w:rsid w:val="008742B7"/>
    <w:rsid w:val="008C303B"/>
    <w:rsid w:val="008D19B9"/>
    <w:rsid w:val="008D48E3"/>
    <w:rsid w:val="008E5395"/>
    <w:rsid w:val="008E776A"/>
    <w:rsid w:val="008F3EC7"/>
    <w:rsid w:val="009074AE"/>
    <w:rsid w:val="00913918"/>
    <w:rsid w:val="009351E5"/>
    <w:rsid w:val="0093785A"/>
    <w:rsid w:val="00950AD7"/>
    <w:rsid w:val="00951D01"/>
    <w:rsid w:val="0095699C"/>
    <w:rsid w:val="00956C75"/>
    <w:rsid w:val="00966360"/>
    <w:rsid w:val="009727BF"/>
    <w:rsid w:val="00986F2B"/>
    <w:rsid w:val="00A009AF"/>
    <w:rsid w:val="00A014D4"/>
    <w:rsid w:val="00A07008"/>
    <w:rsid w:val="00A07DC0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AF5820"/>
    <w:rsid w:val="00B0459A"/>
    <w:rsid w:val="00B04F7A"/>
    <w:rsid w:val="00B30DCE"/>
    <w:rsid w:val="00B3113E"/>
    <w:rsid w:val="00B31A28"/>
    <w:rsid w:val="00B34056"/>
    <w:rsid w:val="00B37D41"/>
    <w:rsid w:val="00B50EA5"/>
    <w:rsid w:val="00B671F4"/>
    <w:rsid w:val="00B67C89"/>
    <w:rsid w:val="00B93196"/>
    <w:rsid w:val="00B9532F"/>
    <w:rsid w:val="00BB1378"/>
    <w:rsid w:val="00BB2F78"/>
    <w:rsid w:val="00BB7D3F"/>
    <w:rsid w:val="00BD1FC5"/>
    <w:rsid w:val="00BD4FBA"/>
    <w:rsid w:val="00BF161A"/>
    <w:rsid w:val="00C01D76"/>
    <w:rsid w:val="00C06118"/>
    <w:rsid w:val="00C17BBB"/>
    <w:rsid w:val="00C212BD"/>
    <w:rsid w:val="00C25305"/>
    <w:rsid w:val="00C3196D"/>
    <w:rsid w:val="00C3627A"/>
    <w:rsid w:val="00C3764D"/>
    <w:rsid w:val="00C4131E"/>
    <w:rsid w:val="00C5364D"/>
    <w:rsid w:val="00C55C3C"/>
    <w:rsid w:val="00C57843"/>
    <w:rsid w:val="00C633E6"/>
    <w:rsid w:val="00C679EF"/>
    <w:rsid w:val="00C76EC9"/>
    <w:rsid w:val="00C83513"/>
    <w:rsid w:val="00C85637"/>
    <w:rsid w:val="00C900F0"/>
    <w:rsid w:val="00CA0E1D"/>
    <w:rsid w:val="00CA52E4"/>
    <w:rsid w:val="00CC7B61"/>
    <w:rsid w:val="00CE7077"/>
    <w:rsid w:val="00D06FEE"/>
    <w:rsid w:val="00D13664"/>
    <w:rsid w:val="00D37168"/>
    <w:rsid w:val="00D467E3"/>
    <w:rsid w:val="00D57A16"/>
    <w:rsid w:val="00D66935"/>
    <w:rsid w:val="00D70023"/>
    <w:rsid w:val="00D81EC4"/>
    <w:rsid w:val="00D906B7"/>
    <w:rsid w:val="00D90C79"/>
    <w:rsid w:val="00D94A0C"/>
    <w:rsid w:val="00D95EBE"/>
    <w:rsid w:val="00DB0430"/>
    <w:rsid w:val="00DB0B3D"/>
    <w:rsid w:val="00DD3B8A"/>
    <w:rsid w:val="00DD6A1C"/>
    <w:rsid w:val="00DE247C"/>
    <w:rsid w:val="00DF66E7"/>
    <w:rsid w:val="00E02E1B"/>
    <w:rsid w:val="00E0779F"/>
    <w:rsid w:val="00E11BE4"/>
    <w:rsid w:val="00E16F99"/>
    <w:rsid w:val="00E21702"/>
    <w:rsid w:val="00E26676"/>
    <w:rsid w:val="00E33278"/>
    <w:rsid w:val="00E401E1"/>
    <w:rsid w:val="00E635D0"/>
    <w:rsid w:val="00E717AE"/>
    <w:rsid w:val="00E72473"/>
    <w:rsid w:val="00E733F5"/>
    <w:rsid w:val="00E94566"/>
    <w:rsid w:val="00E94C76"/>
    <w:rsid w:val="00E9673F"/>
    <w:rsid w:val="00E96D15"/>
    <w:rsid w:val="00EB4885"/>
    <w:rsid w:val="00EC4BCE"/>
    <w:rsid w:val="00ED6A8F"/>
    <w:rsid w:val="00F263AF"/>
    <w:rsid w:val="00F32C77"/>
    <w:rsid w:val="00F407C8"/>
    <w:rsid w:val="00F4196E"/>
    <w:rsid w:val="00F572E7"/>
    <w:rsid w:val="00F706EA"/>
    <w:rsid w:val="00F84B29"/>
    <w:rsid w:val="00F962F0"/>
    <w:rsid w:val="00FB1AE4"/>
    <w:rsid w:val="00FC7E16"/>
    <w:rsid w:val="00FD3BCE"/>
    <w:rsid w:val="00FE1C0E"/>
    <w:rsid w:val="00FE26A1"/>
    <w:rsid w:val="00FE7FD8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2769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445A"/>
    <w:rPr>
      <w:i/>
      <w:iCs/>
    </w:rPr>
  </w:style>
  <w:style w:type="character" w:customStyle="1" w:styleId="MathematicaFormatStandardForm">
    <w:name w:val="MathematicaFormatStandardForm"/>
    <w:uiPriority w:val="99"/>
    <w:rsid w:val="001C1777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A7BA-76FA-4257-A3FD-76BA843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25</Pages>
  <Words>3517</Words>
  <Characters>20049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115</cp:revision>
  <cp:lastPrinted>2020-03-28T17:27:00Z</cp:lastPrinted>
  <dcterms:created xsi:type="dcterms:W3CDTF">2020-05-16T00:08:00Z</dcterms:created>
  <dcterms:modified xsi:type="dcterms:W3CDTF">2020-05-19T16:40:00Z</dcterms:modified>
</cp:coreProperties>
</file>