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046F" w:rsidRPr="003B046F" w:rsidRDefault="003B046F" w:rsidP="003B046F">
      <w:pPr>
        <w:spacing w:after="0" w:line="240" w:lineRule="auto"/>
        <w:jc w:val="center"/>
        <w:rPr>
          <w:rFonts w:ascii="Times New Roman" w:eastAsia="Times New Roman" w:hAnsi="Times New Roman" w:cs="Times New Roman"/>
          <w:sz w:val="24"/>
          <w:szCs w:val="24"/>
        </w:rPr>
      </w:pPr>
      <w:r w:rsidRPr="003B046F">
        <w:rPr>
          <w:rFonts w:ascii="Tahoma" w:eastAsia="Times New Roman" w:hAnsi="Tahoma" w:cs="Tahoma"/>
          <w:b/>
          <w:bCs/>
          <w:color w:val="C63545"/>
          <w:sz w:val="18"/>
          <w:szCs w:val="18"/>
          <w:shd w:val="clear" w:color="auto" w:fill="FFFFFF"/>
          <w:rtl/>
        </w:rPr>
        <w:t>قانون الإفلاس والصلح الواقي منه</w:t>
      </w:r>
      <w:bookmarkStart w:id="0" w:name="_GoBack"/>
      <w:r w:rsidRPr="003B046F">
        <w:rPr>
          <w:rFonts w:ascii="Tahoma" w:eastAsia="Times New Roman" w:hAnsi="Tahoma" w:cs="Tahoma"/>
          <w:color w:val="6F6969"/>
          <w:sz w:val="17"/>
          <w:szCs w:val="17"/>
        </w:rPr>
        <w:br/>
      </w:r>
      <w:r w:rsidRPr="003B046F">
        <w:rPr>
          <w:rFonts w:ascii="Tahoma" w:eastAsia="Times New Roman" w:hAnsi="Tahoma" w:cs="Tahoma"/>
          <w:color w:val="6F6969"/>
          <w:sz w:val="17"/>
          <w:szCs w:val="17"/>
        </w:rPr>
        <w:br/>
      </w:r>
    </w:p>
    <w:p w:rsidR="003B046F" w:rsidRPr="003B046F" w:rsidRDefault="003B046F" w:rsidP="003B046F">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3B046F">
        <w:rPr>
          <w:rFonts w:ascii="Tahoma" w:eastAsia="Times New Roman" w:hAnsi="Tahoma" w:cs="Tahoma"/>
          <w:b/>
          <w:bCs/>
          <w:color w:val="6F6969"/>
          <w:sz w:val="17"/>
          <w:szCs w:val="17"/>
          <w:rtl/>
        </w:rPr>
        <w:t>مرسوم بقانون رقم (11) لسنة 1987 بإصدار قانون الإفلاس والصلح الواقي منه</w:t>
      </w:r>
    </w:p>
    <w:p w:rsidR="003B046F" w:rsidRPr="003B046F" w:rsidRDefault="003B046F" w:rsidP="003B046F">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3B046F">
        <w:rPr>
          <w:rFonts w:ascii="Tahoma" w:eastAsia="Times New Roman" w:hAnsi="Tahoma" w:cs="Tahoma"/>
          <w:color w:val="6F6969"/>
          <w:sz w:val="17"/>
          <w:szCs w:val="17"/>
          <w:rtl/>
        </w:rPr>
        <w:t>نحن عيسى بن سلمان آل خليفة أمير دولة البحرين</w:t>
      </w:r>
      <w:r w:rsidRPr="003B046F">
        <w:rPr>
          <w:rFonts w:ascii="Tahoma" w:eastAsia="Times New Roman" w:hAnsi="Tahoma" w:cs="Tahoma"/>
          <w:color w:val="6F6969"/>
          <w:sz w:val="17"/>
          <w:szCs w:val="17"/>
        </w:rPr>
        <w:br/>
      </w:r>
      <w:r w:rsidRPr="003B046F">
        <w:rPr>
          <w:rFonts w:ascii="Tahoma" w:eastAsia="Times New Roman" w:hAnsi="Tahoma" w:cs="Tahoma"/>
          <w:color w:val="6F6969"/>
          <w:sz w:val="17"/>
          <w:szCs w:val="17"/>
        </w:rPr>
        <w:br/>
      </w:r>
      <w:r w:rsidRPr="003B046F">
        <w:rPr>
          <w:rFonts w:ascii="Tahoma" w:eastAsia="Times New Roman" w:hAnsi="Tahoma" w:cs="Tahoma"/>
          <w:color w:val="6F6969"/>
          <w:sz w:val="17"/>
          <w:szCs w:val="17"/>
          <w:rtl/>
        </w:rPr>
        <w:t>بعد الاطلاع على الدستور</w:t>
      </w:r>
      <w:r w:rsidRPr="003B046F">
        <w:rPr>
          <w:rFonts w:ascii="Tahoma" w:eastAsia="Times New Roman" w:hAnsi="Tahoma" w:cs="Tahoma"/>
          <w:color w:val="6F6969"/>
          <w:sz w:val="17"/>
          <w:szCs w:val="17"/>
        </w:rPr>
        <w:br/>
      </w:r>
      <w:r w:rsidRPr="003B046F">
        <w:rPr>
          <w:rFonts w:ascii="Tahoma" w:eastAsia="Times New Roman" w:hAnsi="Tahoma" w:cs="Tahoma"/>
          <w:color w:val="6F6969"/>
          <w:sz w:val="17"/>
          <w:szCs w:val="17"/>
          <w:rtl/>
        </w:rPr>
        <w:t>وعلى الأمر الأميري رقم 4 لسنة 1975</w:t>
      </w:r>
      <w:r w:rsidRPr="003B046F">
        <w:rPr>
          <w:rFonts w:ascii="Tahoma" w:eastAsia="Times New Roman" w:hAnsi="Tahoma" w:cs="Tahoma"/>
          <w:color w:val="6F6969"/>
          <w:sz w:val="17"/>
          <w:szCs w:val="17"/>
        </w:rPr>
        <w:br/>
      </w:r>
      <w:r w:rsidRPr="003B046F">
        <w:rPr>
          <w:rFonts w:ascii="Tahoma" w:eastAsia="Times New Roman" w:hAnsi="Tahoma" w:cs="Tahoma"/>
          <w:color w:val="6F6969"/>
          <w:sz w:val="17"/>
          <w:szCs w:val="17"/>
          <w:rtl/>
        </w:rPr>
        <w:t>وعلى المرسوم بقانون رقم (7) لسنة 1987 بإصدار قانون التجارة</w:t>
      </w:r>
      <w:r w:rsidRPr="003B046F">
        <w:rPr>
          <w:rFonts w:ascii="Tahoma" w:eastAsia="Times New Roman" w:hAnsi="Tahoma" w:cs="Tahoma"/>
          <w:color w:val="6F6969"/>
          <w:sz w:val="17"/>
          <w:szCs w:val="17"/>
        </w:rPr>
        <w:br/>
      </w:r>
      <w:r w:rsidRPr="003B046F">
        <w:rPr>
          <w:rFonts w:ascii="Tahoma" w:eastAsia="Times New Roman" w:hAnsi="Tahoma" w:cs="Tahoma"/>
          <w:color w:val="6F6969"/>
          <w:sz w:val="17"/>
          <w:szCs w:val="17"/>
          <w:rtl/>
        </w:rPr>
        <w:t>وبناء على عرض وزير التجارة والزراعة</w:t>
      </w:r>
      <w:r w:rsidRPr="003B046F">
        <w:rPr>
          <w:rFonts w:ascii="Tahoma" w:eastAsia="Times New Roman" w:hAnsi="Tahoma" w:cs="Tahoma"/>
          <w:color w:val="6F6969"/>
          <w:sz w:val="17"/>
          <w:szCs w:val="17"/>
        </w:rPr>
        <w:br/>
      </w:r>
      <w:r w:rsidRPr="003B046F">
        <w:rPr>
          <w:rFonts w:ascii="Tahoma" w:eastAsia="Times New Roman" w:hAnsi="Tahoma" w:cs="Tahoma"/>
          <w:color w:val="6F6969"/>
          <w:sz w:val="17"/>
          <w:szCs w:val="17"/>
          <w:rtl/>
        </w:rPr>
        <w:t>وبعد موافقة مجلس الوزراء</w:t>
      </w:r>
    </w:p>
    <w:p w:rsidR="003B046F" w:rsidRPr="003B046F" w:rsidRDefault="003B046F" w:rsidP="003B046F">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3B046F">
        <w:rPr>
          <w:rFonts w:ascii="Tahoma" w:eastAsia="Times New Roman" w:hAnsi="Tahoma" w:cs="Tahoma"/>
          <w:b/>
          <w:bCs/>
          <w:color w:val="6F6969"/>
          <w:sz w:val="17"/>
          <w:szCs w:val="17"/>
          <w:rtl/>
        </w:rPr>
        <w:t>رسمنا بالقانون الآتي</w:t>
      </w:r>
      <w:r w:rsidRPr="003B046F">
        <w:rPr>
          <w:rFonts w:ascii="Tahoma" w:eastAsia="Times New Roman" w:hAnsi="Tahoma" w:cs="Tahoma"/>
          <w:b/>
          <w:bCs/>
          <w:color w:val="6F6969"/>
          <w:sz w:val="17"/>
          <w:szCs w:val="17"/>
        </w:rPr>
        <w:t>:</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Pr>
      </w:pPr>
      <w:r w:rsidRPr="003B046F">
        <w:rPr>
          <w:rFonts w:ascii="Tahoma" w:eastAsia="Times New Roman" w:hAnsi="Tahoma" w:cs="Tahoma"/>
          <w:b/>
          <w:bCs/>
          <w:color w:val="F18B0B"/>
          <w:sz w:val="17"/>
          <w:szCs w:val="17"/>
          <w:rtl/>
        </w:rPr>
        <w:t>المادة الأولى</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يعمل بقانون الإفلاس والصلح الواقي منه المرافق لهذا القانون ويلغي كل ما يتعارض مع أحكامه.</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b/>
          <w:bCs/>
          <w:color w:val="F18B0B"/>
          <w:sz w:val="17"/>
          <w:szCs w:val="17"/>
          <w:rtl/>
        </w:rPr>
        <w:t>المادة الثانية</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على الوزراء ـ كل فيما يخصه ـ تنفيذ هذا القانون، ويعمل به من أول الشهر التالي لمضي شهرين على تاريخ نشره في الجريدة الرسمية.</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أمير دولة البحرين</w:t>
      </w:r>
      <w:r w:rsidRPr="003B046F">
        <w:rPr>
          <w:rFonts w:ascii="Tahoma" w:eastAsia="Times New Roman" w:hAnsi="Tahoma" w:cs="Tahoma"/>
          <w:color w:val="6F6969"/>
          <w:sz w:val="17"/>
          <w:szCs w:val="17"/>
          <w:rtl/>
        </w:rPr>
        <w:br/>
        <w:t>عيسى بن سلمان آل خليفة</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صدر في قصر الرفاع</w:t>
      </w:r>
      <w:r w:rsidRPr="003B046F">
        <w:rPr>
          <w:rFonts w:ascii="Tahoma" w:eastAsia="Times New Roman" w:hAnsi="Tahoma" w:cs="Tahoma"/>
          <w:color w:val="6F6969"/>
          <w:sz w:val="17"/>
          <w:szCs w:val="17"/>
          <w:rtl/>
        </w:rPr>
        <w:br/>
        <w:t>بتاريخ : 26 رمضان 1407 هـ</w:t>
      </w:r>
      <w:r w:rsidRPr="003B046F">
        <w:rPr>
          <w:rFonts w:ascii="Tahoma" w:eastAsia="Times New Roman" w:hAnsi="Tahoma" w:cs="Tahoma"/>
          <w:color w:val="6F6969"/>
          <w:sz w:val="17"/>
          <w:szCs w:val="17"/>
          <w:rtl/>
        </w:rPr>
        <w:br/>
        <w:t>الموافق : 23 مايو &lt;1987 م</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b/>
          <w:bCs/>
          <w:color w:val="C63545"/>
          <w:sz w:val="17"/>
          <w:szCs w:val="17"/>
          <w:rtl/>
        </w:rPr>
        <w:t>قانون الإفلاس والصلح الواقي منه</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b/>
          <w:bCs/>
          <w:color w:val="F18B0B"/>
          <w:sz w:val="17"/>
          <w:szCs w:val="17"/>
          <w:rtl/>
        </w:rPr>
        <w:t>الفصل الأول</w:t>
      </w:r>
      <w:r w:rsidRPr="003B046F">
        <w:rPr>
          <w:rFonts w:ascii="Tahoma" w:eastAsia="Times New Roman" w:hAnsi="Tahoma" w:cs="Tahoma"/>
          <w:color w:val="6F6969"/>
          <w:sz w:val="17"/>
          <w:szCs w:val="17"/>
          <w:rtl/>
        </w:rPr>
        <w:br/>
      </w:r>
      <w:r w:rsidRPr="003B046F">
        <w:rPr>
          <w:rFonts w:ascii="Tahoma" w:eastAsia="Times New Roman" w:hAnsi="Tahoma" w:cs="Tahoma"/>
          <w:b/>
          <w:bCs/>
          <w:color w:val="6F6969"/>
          <w:sz w:val="17"/>
          <w:szCs w:val="17"/>
          <w:rtl/>
        </w:rPr>
        <w:t>إشهار الإفلاس</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b/>
          <w:bCs/>
          <w:color w:val="F18B0B"/>
          <w:sz w:val="17"/>
          <w:szCs w:val="17"/>
          <w:rtl/>
        </w:rPr>
        <w:t>مادة ـ 1 ـ</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1- كل تاجر وقف عن دفع ديونه التجارية إثر اضطراب أعماله المالية يعتبر في حالة إفلاس ويلزم إشهار إفلاسه بحكم يصدر بذلك.</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2- الحكم الصادر بإشهار الإفلاس ينشىء حالة الإفلاس، وبدون هذا الحكم لا يترتب على الوقوف عن الدفع أي أثر ما لم ينص القانون على غير ذلك.</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b/>
          <w:bCs/>
          <w:color w:val="F18B0B"/>
          <w:sz w:val="17"/>
          <w:szCs w:val="17"/>
          <w:rtl/>
        </w:rPr>
        <w:t>مادة ـ 2 ـ</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1- يشهر إفلاس التاجر بناء على طلبه أو طلب أحد دائنيه أو الإدعاء العام، ويجوز للمحكمة أن تقضي بإشهار إفلاس التاجر من تلقاء ذاتها.</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2- ويجوز إشهار إفلاس التاجر بعد وفاته أو اعتزاله التجارة إذا توفى أو اعتزل التجارة وهو في حالة وقوف عن الدفع، ويجب تقديم طلب شهر الإفلاس خلال السنة التالية للوفاة أو اعتزال التجارة، ولا يسري هذا الميعاد في حالة اعتزال التجارة ألا من تاريخ شطب اسم التاجر من السجل التجاري.</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3- وتعلن صحيفة دعوى إشهار الإفلاس في حالة وفاة التاجر إلى الورثة جملة في آخر موطن للمتوفي.</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4- ويجوز لورثة التاجر طلب شهر إفلاسه بعد وفاته مع مراعاة الميعاد المذكور في الفقرة الثانية، فإذا لم يطلب جميع الورثة شهر الإفلاس وجب على المحكمة سماع أقوال الورثة الذين لم يشتركوا في تقديم الطلب ثم تفصل في الطلب وفقا لمصلحة ذوي الشأن.</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b/>
          <w:bCs/>
          <w:color w:val="F18B0B"/>
          <w:sz w:val="17"/>
          <w:szCs w:val="17"/>
          <w:rtl/>
        </w:rPr>
        <w:lastRenderedPageBreak/>
        <w:t>مادة ـ 3 ـ</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1- يجب على التاجر أن يطلب شهر إفلاسه خلال ثلاثين يوما من تاريخ وقوفه عن الدفع، ويكون الطلب بتقرير يقدم إلى قلم كتاب المحكمة تذكر فيه أسباب الوقوف عن الدفع، ويرفق بالتقرير الوثائق الآتية :</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 ‌أ ) الدفاتر التجارية الرئيسية.</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 ‌ب ) صورة من آخر ميزانية وحساب الأرباح والخسائر.</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 ‌ج ) بيان إجمالي بالمصروفات الشخصية عن السنتين السابقتين على تقديم طلب إشهار الإفلاس أو عن مدة اشتغاله بالتجارة إذا كانت أقل من ذلك.</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 ‌د ) بيان بالعقارات والمنقولات التي يملكها وقيمتها التقريبية في تاريخ الوقوف عن الدفع.</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 ‌ه ) بيان بأسماء الدائنين والمدينين وموطنهم ومقدار حقوقهم أو ديونهم والتأمينات الضامنة لها.</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 ‌و ) بيان بأوراق الاحتجاج بعدم الدفع (البروتستات) التي حررت ضد التاجر خلال السنتين السابقتين على طلب تقديم طلب إشهار الإفلاس.</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2- ويجب أن تكون هذه الوثائق مؤرخة وموقعة من التاجر. وإذا تعذر تقديم بعض هذه الوثائق أو أستيفاء بياناتها وجب أن يتضمن التقرير أسباب ذلك، ويحرر قلم الكتاب محضرا باستلام الوثائق التي يقدمها التاجر.</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b/>
          <w:bCs/>
          <w:color w:val="F18B0B"/>
          <w:sz w:val="17"/>
          <w:szCs w:val="17"/>
          <w:rtl/>
        </w:rPr>
        <w:t>مادة ـ 4 ـ</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1- لكل دائن بدين تجاري حال وقف التاجر عن دفعه أثر اضطراب أعماله المالية أن يطلب الحكم بإشهار إفلاس مدينه التاجر.</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2- ويكون للدائن بدين تجاري آجل يطلب شهر الإفلاس إذا لم يكن لمدينه موطن معروف في البحرين أو إذا لجأ إلى الفرار أو أغلق متجره بما يوحي اعتزاله التجارة أو شرع في تصفيته أو أجرى تصرفات ضاره بدائنيه بشرط أن يقدم الدائن ما يثبت أن المدين وقف عن دفع دينه التجاري الحال.</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3- ولكل دائن بدين حال الحق في طلب إفلاس مدينه التاجر إذا قدم ما يثبت أن هذا المدين قد وقف عن دفع دينه التجاري الحال. ويكون طلب الدائن شهر إفلاس مدينه بالطريق العادي لرفع الدعاوى.</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b/>
          <w:bCs/>
          <w:color w:val="F18B0B"/>
          <w:sz w:val="17"/>
          <w:szCs w:val="17"/>
          <w:rtl/>
        </w:rPr>
        <w:t>مادة ـ 5 ـ</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1- إذا طلب الإدعاء العام شهر إفلاس التاجر أو رأت المحكمة شهر إفلاسه من تلقاء ذاتها وجب على قلم الكتاب أن يخطره بيوم الجلسة بكتاب مسجل مصحوب بعلم الوصول.</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2- وفي حالة وفاة التاجر أو اعتزاله التجارة لا يجوز للمحكمة أن تنظر في شهر الإفلاس من تلقاء ذاتها أو بناء على طلب الإدعاء العام بعد انقضاء الميعاد المنصوص عليه في الفقرة الأولى من المادة (2).</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b/>
          <w:bCs/>
          <w:color w:val="F18B0B"/>
          <w:sz w:val="17"/>
          <w:szCs w:val="17"/>
          <w:rtl/>
        </w:rPr>
        <w:t>مادة ـ 6 ـ</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1- يجوز لرئيس المحكمة المختصة بطلب إشهار الإفلاس أن يأمر باتخاذ التدابير اللازمة للمحافظة على أموال المدين أو لإدارتها إلى أن تفصل المحكمة في شهر الإفلاس.</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2- ويجوز لرئيس المحكمة أن يندب أحد قضاه المحكمة أو خبيرا لتحقيق حالة المدين المالية وأسباب وقوفه عن الدفع وتقديم تقرير بذلك. كما يجوز له أن يندب أحد أعضاء الإدعاء العام لإجراء تحريات في ذلك.</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b/>
          <w:bCs/>
          <w:color w:val="F18B0B"/>
          <w:sz w:val="17"/>
          <w:szCs w:val="17"/>
          <w:rtl/>
        </w:rPr>
        <w:t>مادة ـ 7 ـ</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تختص المحكمة الكبرى بشهر الإفلاس كما تختص بنظر كل دعوى تنشأ عن التفليسة. وتعتبر الدعوى ناشئة عن التفليسة على وجه الخصوص إذا كانت متعلقة بإدارتها أو كان الفصل فيها يقتضي تطبيق أحكام الإفلاس. ولا تعتبر من أعمال الإدارة الدعاوى الناشئة عن الديون التي للتفليسة على الغير أو للغير عليها.</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b/>
          <w:bCs/>
          <w:color w:val="F18B0B"/>
          <w:sz w:val="17"/>
          <w:szCs w:val="17"/>
          <w:rtl/>
        </w:rPr>
        <w:lastRenderedPageBreak/>
        <w:t>مادة  ـ 8 ـ</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1- تحدد المحكمة في حكم إشهار الإفلاس تاريخا مؤقتا للوقوف عن الدفع وتختار أحد قضاة المحكمة ليكون قاضيا للتفليسة وتأمر بوضع الأختام على محل تجارة المدين.</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2- وللمحكمة ـ عند الضرورة ـ أن تقرر وضع المفلس تحت المراقبة ويقوم الإدعاء العام بتنفيذ هذا القرار فور صدوره.</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3- يرسل قلم كتاب المحكمة صورة من حكم إشهار الإفلاس فور صدوره إلى الإدعاء العام وإلى أمين التفليسة وإلى السجل التجاري وإدارة التسجيل العقاري.</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b/>
          <w:bCs/>
          <w:color w:val="F18B0B"/>
          <w:sz w:val="17"/>
          <w:szCs w:val="17"/>
          <w:rtl/>
        </w:rPr>
        <w:t>مادة ـ 9 ـ</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1- إذا لم يعين في حكم شهر الإفلاس التاريخ الذي وقف فيه المدين عن الدفع أعتبر تاريخ صدور حكم شهر الإفلاس تاريخا مؤقتا للوقوف عن الدفع.</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2- وإذا صدر حكم إشهار الإفلاس بعد وفاة المدين أو بعد اعتزاله التجارة ولم يعين فيه تاريخ الوقوف عن الدفع اعتبر تاريخ الوفاة أو اعتزال التجارة تاريخا مؤقتا للوقوف عن الدفع.</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3- ويجوز للمحكمة من تلقاء نفسها أو بناء على طلب الإدعاء العام أو المدين أو أحد الدائنين أو أمين التفليسة أو غيرهم من ذوي المصلحة تعديل التاريخ المؤقت للوقوف عن الدفع إلى انقضاء عشرة أيام من تاريخ إيداع قائمة الديون المحققة قلم كتاب المحكمة طبقا للفقرة الأولى من المادة (98) وبعد انقضاء هذا الميعاد يصبح التاريخ المعين للوقوف عن الدفع نهائيا.</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4- ولا يجوز على أية حال إرجاع تاريخ الوقوف عن الدفع إلى أكثر من سنتين من تاريخ صدور الحكم بشهر الإفلاس.</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5- وفيما يتعلق بتعيين هذا التاريخ تعتبر الإستعانة بوسائل ضارة أو غير مشروعة للوفاء بالديون في حكم الوقوف عن الدفع.</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b/>
          <w:bCs/>
          <w:color w:val="F18B0B"/>
          <w:sz w:val="17"/>
          <w:szCs w:val="17"/>
          <w:rtl/>
        </w:rPr>
        <w:t>مادة ـ 10 ـ</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1- يشهر الحكم الصادر بالإفلاس أو بتعديل تاريخ الوقوف عن الدفع في السجل التجاري وفقا لأحكام هذا السجل.</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2- ويتولى أمين التفليسة نشر ملخص الحكم في الجريدة الرسمية وصحيفة محلية أو أكثر تعينها المحكمة في حكم شهر الإفلاس. ويجب أن يتم النشر خلال عشرة أيام من تاريخ صدور الحكم. ويشتمل الملخص المذكور فيما يتعلق بحكم شهر الإفلاس على اسم المفلس وموطنه ورقم قيده في السجل التجاري والمحكمة التي أصدرت الحكم وتاريخ صدوره والتاريخ المؤقت للوقوف عن الدفع واسم قاضي التفليسة واسم أمينها وعنوانه، كما يتضمن النشر دعوة الدائنين ويدونهم في التفليسة. أما نشر ملخص حكم تعديل تاريخ الوقوف عن الدفع فيشتمل فضلا عن البيانات المذكورة على التاريخ الجديد الذي عينته المحكمة.</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b/>
          <w:bCs/>
          <w:color w:val="F18B0B"/>
          <w:sz w:val="17"/>
          <w:szCs w:val="17"/>
          <w:rtl/>
        </w:rPr>
        <w:t>مادة ـ 11 ـ</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1- يجوز لكل ذي مصلحة من غير الخصوم أن يطعن بطريق اعتراض الخارج عن الخصومة على حكم شهر الإفلاس وغيره من الأحكام الصادرة في الدعاوى الناشئة عن التفليسة خلال عشرة أيام من تاريخ آخر نشر لملخص الحكم في الصحف.</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2- ومع عدم الإخلال بأحكام الفقرة الثالثة من المادة (9) يكون ميعاد الاعتراض على جميع الأحكام الغيابية الصادرة في الدعاوى الناشئة عن التفليسة عشرة أيام من تاريخ إبلاغها ما لم تكن واجبة الشهر فيسري الميعاد من تاريخ شهرها.</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3- ويكون ميعاد أستئناف الحكم الصادر في طلب شهر الإفلاس وغيره من الأحكام الصادرة في الدعاوى الناشئة عن التفليسة خمسة عشر يوما ويتعين إدخال أمين التفليسة خصما في الإستئنافات المذكورة.</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b/>
          <w:bCs/>
          <w:color w:val="F18B0B"/>
          <w:sz w:val="17"/>
          <w:szCs w:val="17"/>
          <w:rtl/>
        </w:rPr>
        <w:t>مادة ـ 12 ـ</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تنظر دعاوى الإفلاس على وجه السرعة وتكون الأحكام الصادرة فيها واجبة النفاذ المعجل بلا كفالة ما لم ينص على غير ذلك.</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b/>
          <w:bCs/>
          <w:color w:val="F18B0B"/>
          <w:sz w:val="17"/>
          <w:szCs w:val="17"/>
          <w:rtl/>
        </w:rPr>
        <w:t>مادة ـ 13 ـ</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لا يجوز الطعن بأي طريق في:</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lastRenderedPageBreak/>
        <w:t>1- الأحكام المتعلقة بتعيين أو عزل أو استبدال قاضي التفليسة أو أمينها أو المراقب.</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2- الأحكام الصادرة في الطعن في قرارات قاضي التفليسة.</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3- الأوامر الصادرة بإلغاء إجراءات التحفظ على شخص المفلس.</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4- الأحكام الصادرة بوقف إجراءات التفليسة إلى حين الفصل في الطعن في قرار قاضي التفليسة بشأن قبول الديون أو رفضها.</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5- الأحكام الصادرة بشأن قبول الديون المتنازع فيها مؤقتا.</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b/>
          <w:bCs/>
          <w:color w:val="F18B0B"/>
          <w:sz w:val="17"/>
          <w:szCs w:val="17"/>
          <w:rtl/>
        </w:rPr>
        <w:t>مادة ـ 14 ـ</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إذا لم توجد في التفليسة وقت شهرها نقود حاضرة لمواجهة حكم شهر الإفلاس أو شهره أو الطعن فيه أو وضع الأختام على أموال المفلس أو رفعها أو التحفظ على المفلس وجب دفع هذه المصاريف من خزانة المحكمة بناء على أمر من قاضي التفليسة وتسترد المبالغ التي دفعت من خزانتها بالامتياز على جميع الدائنين من أول نقود تدخل التفليسة.</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b/>
          <w:bCs/>
          <w:color w:val="F18B0B"/>
          <w:sz w:val="17"/>
          <w:szCs w:val="17"/>
          <w:rtl/>
        </w:rPr>
        <w:t>مادة ـ 15 ـ</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إذا صار المدين قبل أن يحوز حكم شهر الإفلاس قوة الشىء المقضي به قادرا على الوفاء بجميع ما هو مستحق عليه من ديون تجارية وجب على المحكمة أن تقضي بإلغاء حكم شهر الإفلاس على أن يتحمل المدين مصروفات الدعوى.</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b/>
          <w:bCs/>
          <w:color w:val="F18B0B"/>
          <w:sz w:val="17"/>
          <w:szCs w:val="17"/>
          <w:rtl/>
        </w:rPr>
        <w:t>مادة ـ 16 ـ</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1- إذا طلب المدين شهر إفلاسه وقضت المحكمة برفض الطلب جاز لها أن تحكم عليه بغرامة لا تقل عن مائتي دينار ولا تجاوز ألف دينار إذا تبين لها أنه تعمد اصطناع الإفلاس.</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2- وإذا طلب أحد الدائنين شهر الإفلاس وقضت المحكمة برفض الطلب جاز لها أن تحكم على الدائن بالغرامة المنصوص عليها في الفقرة السابقة وينشر الحكم على نفقته في صحيفة محلية أو أكثر تعينها المحكمة إذا تبين لها أنه تعمد الإساءة إلى سمعة المدين التجارية وذلك مع عدم الإخلال بحق المدين في طلب التعويض.</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b/>
          <w:bCs/>
          <w:color w:val="F18B0B"/>
          <w:sz w:val="17"/>
          <w:szCs w:val="17"/>
          <w:rtl/>
        </w:rPr>
        <w:t>الفصل الثاني</w:t>
      </w:r>
      <w:r w:rsidRPr="003B046F">
        <w:rPr>
          <w:rFonts w:ascii="Tahoma" w:eastAsia="Times New Roman" w:hAnsi="Tahoma" w:cs="Tahoma"/>
          <w:color w:val="6F6969"/>
          <w:sz w:val="17"/>
          <w:szCs w:val="17"/>
          <w:rtl/>
        </w:rPr>
        <w:br/>
      </w:r>
      <w:r w:rsidRPr="003B046F">
        <w:rPr>
          <w:rFonts w:ascii="Tahoma" w:eastAsia="Times New Roman" w:hAnsi="Tahoma" w:cs="Tahoma"/>
          <w:b/>
          <w:bCs/>
          <w:color w:val="6F6969"/>
          <w:sz w:val="17"/>
          <w:szCs w:val="17"/>
          <w:rtl/>
        </w:rPr>
        <w:t>الأشخاص الذين يديرون التفليسة</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b/>
          <w:bCs/>
          <w:color w:val="F18B0B"/>
          <w:sz w:val="17"/>
          <w:szCs w:val="17"/>
          <w:rtl/>
        </w:rPr>
        <w:t>مادة ـ 17 ـ</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1- تعين المحمة في حكم الإفلاس وكيلا لإدارة التفليسة وتصفية أموالها إذا انتهت بالاتحاد ويسمى هذا الوكيل ((أمين التفليسة)).</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2- ويجوز في كل وقت لأمين التفليسة من تلقاء ذاته أو بناء على طلب المفلس أو المراقب المعين من بين الدائنين للمادة (27) الأمر بإضافة أمين أو أكثر بشرط أن لا يزيد عددهم على ثلاثة.</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b/>
          <w:bCs/>
          <w:color w:val="F18B0B"/>
          <w:sz w:val="17"/>
          <w:szCs w:val="17"/>
          <w:rtl/>
        </w:rPr>
        <w:t>مادة ـ 18 ـ</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لا يجوز أن يعين أمينا للتفليسة من كان زوجا للمفلس أو قريبا أو صهرا إلى الدرجة الرابعة أو من كان شريكا له أو مستخدما عنده أو محاسبا لديه أو وكيلا عنه خلال السنتين السابقتين على شهر الإفلاس.</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كذلك لا يجوز أن يعين أمينا للتفليسة من سبق الحكم عليه بالإدانة في جناية أو في جنحة سرقة أو اختلاس أو خيانة أمانة أو اغتصاب الأموال أو النصب أو الإفلاس بالتقصير أو شهادة الزور.</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b/>
          <w:bCs/>
          <w:color w:val="F18B0B"/>
          <w:sz w:val="17"/>
          <w:szCs w:val="17"/>
          <w:rtl/>
        </w:rPr>
        <w:t>مادة ـ 19 ـ</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1- يقوم أمين التفليسة بإدارة أموال التفليسة والمحافظة عليها وينوب عن المفلس في جميع الأعمال التي تقتضيها الإدارة المذكورة.</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2- ويدوّن أمين التفليسة يوما بيوم جميع الأعمال المتعلقة بإدارة التفليسة في دفتر خاص ترقم صفحاته ويضع عليها قاضي التفليسة توقيعه أو ختمه ويؤشر في نهاية الدفتر بما يفيد انتهاءه.</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lastRenderedPageBreak/>
        <w:t>3- ويجوز للمحكمة ولقاضي التفليسة وللمراقب الاطلاع على هذا الدفتر في كل وقت وللمفلس بإذن من قاضي التفليسة الاطلاع عليه.</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b/>
          <w:bCs/>
          <w:color w:val="F18B0B"/>
          <w:sz w:val="17"/>
          <w:szCs w:val="17"/>
          <w:rtl/>
        </w:rPr>
        <w:t>مادة ـ 20 ـ</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1- إذا تعدد أمناء التفليسة وجب أن يعملوا مجتمعين ويسألون بالتضامن عن إدارتهم.</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2- ومع ذلك يجوز لقاضي التفليسة أن يقسم العمل بينهم أو أن يعهد إلى أحدهم بعمل معين، وفي هذه الحالة لا يكون أمين التفليسة مسئولا إلا عن الأعمال التي كلف بها.</w:t>
      </w:r>
    </w:p>
    <w:p w:rsidR="003B046F" w:rsidRPr="003B046F" w:rsidRDefault="003B046F" w:rsidP="003B046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3B046F">
        <w:rPr>
          <w:rFonts w:ascii="Tahoma" w:eastAsia="Times New Roman" w:hAnsi="Tahoma" w:cs="Tahoma"/>
          <w:color w:val="6F6969"/>
          <w:sz w:val="17"/>
          <w:szCs w:val="17"/>
          <w:rtl/>
        </w:rPr>
        <w:t>3- ويجوز لأمناء التفليسة أن ينيبوا بعضهم البعض في القيام بالأعمال المعهود بها إليهم. ولا يجوز لهم إنابة الغير إلا بإذن من قاضي التفليسة. ويكون أمين التفليسة ونائبه مسئولين بالتضامن عن الأعمال المذكورة.</w:t>
      </w:r>
    </w:p>
    <w:bookmarkEnd w:id="0"/>
    <w:p w:rsidR="009C79F0" w:rsidRDefault="009C79F0"/>
    <w:sectPr w:rsidR="009C79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046F"/>
    <w:rsid w:val="003B046F"/>
    <w:rsid w:val="009C79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7D32A6-9C74-4A99-89B1-0A711BD6E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
    <w:name w:val="header"/>
    <w:basedOn w:val="DefaultParagraphFont"/>
    <w:rsid w:val="003B046F"/>
  </w:style>
  <w:style w:type="paragraph" w:styleId="NormalWeb">
    <w:name w:val="Normal (Web)"/>
    <w:basedOn w:val="Normal"/>
    <w:uiPriority w:val="99"/>
    <w:semiHidden/>
    <w:unhideWhenUsed/>
    <w:rsid w:val="003B046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B04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8741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1487</Words>
  <Characters>8476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2019-01-24T10:23:00Z</dcterms:created>
  <dcterms:modified xsi:type="dcterms:W3CDTF">2019-01-24T10:23:00Z</dcterms:modified>
</cp:coreProperties>
</file>