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606E" w:rsidRPr="0032606E" w:rsidRDefault="0032606E" w:rsidP="0032606E">
      <w:pPr>
        <w:spacing w:after="0" w:line="240" w:lineRule="auto"/>
        <w:jc w:val="center"/>
        <w:rPr>
          <w:rFonts w:ascii="Times New Roman" w:eastAsia="Times New Roman" w:hAnsi="Times New Roman" w:cs="Times New Roman"/>
          <w:sz w:val="24"/>
          <w:szCs w:val="24"/>
        </w:rPr>
      </w:pPr>
      <w:r w:rsidRPr="0032606E">
        <w:rPr>
          <w:rFonts w:ascii="Tahoma" w:eastAsia="Times New Roman" w:hAnsi="Tahoma" w:cs="Tahoma"/>
          <w:b/>
          <w:bCs/>
          <w:color w:val="C63545"/>
          <w:sz w:val="18"/>
          <w:szCs w:val="18"/>
          <w:shd w:val="clear" w:color="auto" w:fill="FFFFFF"/>
          <w:rtl/>
        </w:rPr>
        <w:t>انون الإيداع القانوني للمصنفات</w:t>
      </w:r>
      <w:r w:rsidRPr="0032606E">
        <w:rPr>
          <w:rFonts w:ascii="Tahoma" w:eastAsia="Times New Roman" w:hAnsi="Tahoma" w:cs="Tahoma"/>
          <w:color w:val="6F6969"/>
          <w:sz w:val="17"/>
          <w:szCs w:val="17"/>
        </w:rPr>
        <w:br/>
      </w:r>
      <w:r w:rsidRPr="0032606E">
        <w:rPr>
          <w:rFonts w:ascii="Tahoma" w:eastAsia="Times New Roman" w:hAnsi="Tahoma" w:cs="Tahoma"/>
          <w:color w:val="6F6969"/>
          <w:sz w:val="17"/>
          <w:szCs w:val="17"/>
        </w:rPr>
        <w:br/>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b/>
          <w:bCs/>
          <w:color w:val="6F6969"/>
          <w:sz w:val="17"/>
          <w:szCs w:val="17"/>
          <w:rtl/>
        </w:rPr>
        <w:t>مرسوم بقانون رقم (20) لسنة 1975 بشأن الإيداع القانوني للمصنفات</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color w:val="6F6969"/>
          <w:sz w:val="17"/>
          <w:szCs w:val="17"/>
          <w:rtl/>
        </w:rPr>
        <w:t>نحن عيسى بن سلمان آل خليفة أمير دولة البحرين </w:t>
      </w:r>
      <w:r w:rsidRPr="0032606E">
        <w:rPr>
          <w:rFonts w:ascii="Tahoma" w:eastAsia="Times New Roman" w:hAnsi="Tahoma" w:cs="Tahoma"/>
          <w:color w:val="6F6969"/>
          <w:sz w:val="17"/>
          <w:szCs w:val="17"/>
        </w:rPr>
        <w:br/>
      </w:r>
      <w:r w:rsidRPr="0032606E">
        <w:rPr>
          <w:rFonts w:ascii="Tahoma" w:eastAsia="Times New Roman" w:hAnsi="Tahoma" w:cs="Tahoma"/>
          <w:color w:val="6F6969"/>
          <w:sz w:val="17"/>
          <w:szCs w:val="17"/>
          <w:rtl/>
        </w:rPr>
        <w:t>بعد الاطلاع على الدستور، وعلى الأمر الأميري رقم (4) لسنة 1975،</w:t>
      </w:r>
      <w:r w:rsidRPr="0032606E">
        <w:rPr>
          <w:rFonts w:ascii="Tahoma" w:eastAsia="Times New Roman" w:hAnsi="Tahoma" w:cs="Tahoma"/>
          <w:color w:val="6F6969"/>
          <w:sz w:val="17"/>
          <w:szCs w:val="17"/>
        </w:rPr>
        <w:br/>
      </w:r>
      <w:r w:rsidRPr="0032606E">
        <w:rPr>
          <w:rFonts w:ascii="Tahoma" w:eastAsia="Times New Roman" w:hAnsi="Tahoma" w:cs="Tahoma"/>
          <w:color w:val="6F6969"/>
          <w:sz w:val="17"/>
          <w:szCs w:val="17"/>
          <w:rtl/>
        </w:rPr>
        <w:t>وبناء على عرض وزير التربية والتعليم، </w:t>
      </w:r>
      <w:r w:rsidRPr="0032606E">
        <w:rPr>
          <w:rFonts w:ascii="Tahoma" w:eastAsia="Times New Roman" w:hAnsi="Tahoma" w:cs="Tahoma"/>
          <w:color w:val="6F6969"/>
          <w:sz w:val="17"/>
          <w:szCs w:val="17"/>
        </w:rPr>
        <w:br/>
      </w:r>
      <w:r w:rsidRPr="0032606E">
        <w:rPr>
          <w:rFonts w:ascii="Tahoma" w:eastAsia="Times New Roman" w:hAnsi="Tahoma" w:cs="Tahoma"/>
          <w:color w:val="6F6969"/>
          <w:sz w:val="17"/>
          <w:szCs w:val="17"/>
          <w:rtl/>
        </w:rPr>
        <w:t>وبعد موافقة مجلس الوزراء،</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b/>
          <w:bCs/>
          <w:color w:val="6F6969"/>
          <w:sz w:val="17"/>
          <w:szCs w:val="17"/>
          <w:rtl/>
        </w:rPr>
        <w:t>رسمنا بالقانون الآتي</w:t>
      </w:r>
      <w:bookmarkStart w:id="0" w:name="_GoBack"/>
      <w:bookmarkEnd w:id="0"/>
      <w:r w:rsidRPr="0032606E">
        <w:rPr>
          <w:rFonts w:ascii="Tahoma" w:eastAsia="Times New Roman" w:hAnsi="Tahoma" w:cs="Tahoma"/>
          <w:b/>
          <w:bCs/>
          <w:color w:val="6F6969"/>
          <w:sz w:val="17"/>
          <w:szCs w:val="17"/>
        </w:rPr>
        <w:t>:</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b/>
          <w:bCs/>
          <w:color w:val="F18B0B"/>
          <w:sz w:val="17"/>
          <w:szCs w:val="17"/>
          <w:rtl/>
        </w:rPr>
        <w:t>مادة – 1</w:t>
      </w:r>
      <w:r w:rsidRPr="0032606E">
        <w:rPr>
          <w:rFonts w:ascii="Tahoma" w:eastAsia="Times New Roman" w:hAnsi="Tahoma" w:cs="Tahoma"/>
          <w:b/>
          <w:bCs/>
          <w:color w:val="F18B0B"/>
          <w:sz w:val="17"/>
          <w:szCs w:val="17"/>
        </w:rPr>
        <w:t xml:space="preserve"> –</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color w:val="6F6969"/>
          <w:sz w:val="17"/>
          <w:szCs w:val="17"/>
          <w:rtl/>
        </w:rPr>
        <w:t>يلتزم بالتضامن مؤلفو وطابعو المصنفات، التي تعد للنشر عن طريق عمل نسخ منها في دولة البحرين، أن يودعوا على نفقتهم خمس نسخ من المصنفات المذكورة بالمكتبة العامة أو أي مكتبة أخرى يعينها وزير التربية والتعليم بقرار منه، وذلك قبل توزيع المصنفات مباشرة</w:t>
      </w:r>
      <w:r w:rsidRPr="0032606E">
        <w:rPr>
          <w:rFonts w:ascii="Tahoma" w:eastAsia="Times New Roman" w:hAnsi="Tahoma" w:cs="Tahoma"/>
          <w:color w:val="6F6969"/>
          <w:sz w:val="17"/>
          <w:szCs w:val="17"/>
        </w:rPr>
        <w:t>.</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color w:val="6F6969"/>
          <w:sz w:val="17"/>
          <w:szCs w:val="17"/>
          <w:rtl/>
        </w:rPr>
        <w:t>كما يلتزم المؤلفون المتمتعون بجنسية دولة البحرين الذين ينشرون مصنفاتهم خارج دولة البحرين بإيداع خمس نسخ من كل مصنف بالمكتبة العامة أو أي مكتبة أخرى يعينها وزير التربية والتعليم بقرار منه.  وينظم وزير التربية والتعليم بقرار منه قواعد وإجراءات الإيداع</w:t>
      </w:r>
      <w:r w:rsidRPr="0032606E">
        <w:rPr>
          <w:rFonts w:ascii="Tahoma" w:eastAsia="Times New Roman" w:hAnsi="Tahoma" w:cs="Tahoma"/>
          <w:color w:val="6F6969"/>
          <w:sz w:val="17"/>
          <w:szCs w:val="17"/>
        </w:rPr>
        <w:t>.</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b/>
          <w:bCs/>
          <w:color w:val="F18B0B"/>
          <w:sz w:val="17"/>
          <w:szCs w:val="17"/>
          <w:rtl/>
        </w:rPr>
        <w:t>مادة – 2</w:t>
      </w:r>
      <w:r w:rsidRPr="0032606E">
        <w:rPr>
          <w:rFonts w:ascii="Tahoma" w:eastAsia="Times New Roman" w:hAnsi="Tahoma" w:cs="Tahoma"/>
          <w:b/>
          <w:bCs/>
          <w:color w:val="F18B0B"/>
          <w:sz w:val="17"/>
          <w:szCs w:val="17"/>
        </w:rPr>
        <w:t xml:space="preserve"> –</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color w:val="6F6969"/>
          <w:sz w:val="17"/>
          <w:szCs w:val="17"/>
          <w:rtl/>
        </w:rPr>
        <w:t>يقصد بالمصنف في تطبيق أحكام هذا القانون كل مطبوع أو منسوخ معد للتوزيع ويعتبر في حكم المصنف كل مادة تؤدي ما يؤديه المصنف من أثر</w:t>
      </w:r>
      <w:r w:rsidRPr="0032606E">
        <w:rPr>
          <w:rFonts w:ascii="Tahoma" w:eastAsia="Times New Roman" w:hAnsi="Tahoma" w:cs="Tahoma"/>
          <w:color w:val="6F6969"/>
          <w:sz w:val="17"/>
          <w:szCs w:val="17"/>
        </w:rPr>
        <w:t>.</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color w:val="6F6969"/>
          <w:sz w:val="17"/>
          <w:szCs w:val="17"/>
          <w:rtl/>
        </w:rPr>
        <w:t>ويشمل هذا التعريف المصنفات المكتوبة والمصنفات الداخلة في فنون الرسم بالخطوط والألوان إذا كانت منشورة بكميات تجارية، والمصنفات المسرحية والمصنفات الموسيقية سواء اقترنت بألفاظ أو لم تقترن بها والمصنفات الفوتوغرافية والسينمائية والمصنفات التي تعد خصيصا أو تذاع بواسطة الإذاعة المسموعة أو المرئية والمطبوعات الحكومية وأي مصنف آخر يحدده وزير التربية والتعليم بقرار منه</w:t>
      </w:r>
      <w:r w:rsidRPr="0032606E">
        <w:rPr>
          <w:rFonts w:ascii="Tahoma" w:eastAsia="Times New Roman" w:hAnsi="Tahoma" w:cs="Tahoma"/>
          <w:color w:val="6F6969"/>
          <w:sz w:val="17"/>
          <w:szCs w:val="17"/>
        </w:rPr>
        <w:t>.</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b/>
          <w:bCs/>
          <w:color w:val="F18B0B"/>
          <w:sz w:val="17"/>
          <w:szCs w:val="17"/>
          <w:rtl/>
        </w:rPr>
        <w:t>مادة – 3</w:t>
      </w:r>
      <w:r w:rsidRPr="0032606E">
        <w:rPr>
          <w:rFonts w:ascii="Tahoma" w:eastAsia="Times New Roman" w:hAnsi="Tahoma" w:cs="Tahoma"/>
          <w:b/>
          <w:bCs/>
          <w:color w:val="F18B0B"/>
          <w:sz w:val="17"/>
          <w:szCs w:val="17"/>
        </w:rPr>
        <w:t xml:space="preserve"> –</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color w:val="6F6969"/>
          <w:sz w:val="17"/>
          <w:szCs w:val="17"/>
          <w:rtl/>
        </w:rPr>
        <w:t>يقتصر الإيداع على نسختين فقط بالنسبة للدوريات على اختلاف أنواعها وكذلك المصنفات التي لا يزيد ما ينشر منها في الطبعة الواحدة على 500 نسخة</w:t>
      </w:r>
      <w:r w:rsidRPr="0032606E">
        <w:rPr>
          <w:rFonts w:ascii="Tahoma" w:eastAsia="Times New Roman" w:hAnsi="Tahoma" w:cs="Tahoma"/>
          <w:color w:val="6F6969"/>
          <w:sz w:val="17"/>
          <w:szCs w:val="17"/>
        </w:rPr>
        <w:t>.</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color w:val="6F6969"/>
          <w:sz w:val="17"/>
          <w:szCs w:val="17"/>
          <w:rtl/>
        </w:rPr>
        <w:t>أما الرسائل الجامعية (الأطروحات) فيكتفي بإيداع نسخة واحدة أصلية أو صورة منها</w:t>
      </w:r>
      <w:r w:rsidRPr="0032606E">
        <w:rPr>
          <w:rFonts w:ascii="Tahoma" w:eastAsia="Times New Roman" w:hAnsi="Tahoma" w:cs="Tahoma"/>
          <w:color w:val="6F6969"/>
          <w:sz w:val="17"/>
          <w:szCs w:val="17"/>
        </w:rPr>
        <w:t>.</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b/>
          <w:bCs/>
          <w:color w:val="F18B0B"/>
          <w:sz w:val="17"/>
          <w:szCs w:val="17"/>
          <w:rtl/>
        </w:rPr>
        <w:t>مادة – 4</w:t>
      </w:r>
      <w:r w:rsidRPr="0032606E">
        <w:rPr>
          <w:rFonts w:ascii="Tahoma" w:eastAsia="Times New Roman" w:hAnsi="Tahoma" w:cs="Tahoma"/>
          <w:b/>
          <w:bCs/>
          <w:color w:val="F18B0B"/>
          <w:sz w:val="17"/>
          <w:szCs w:val="17"/>
        </w:rPr>
        <w:t xml:space="preserve"> –</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color w:val="6F6969"/>
          <w:sz w:val="17"/>
          <w:szCs w:val="17"/>
          <w:rtl/>
        </w:rPr>
        <w:t>يتجدد الالتزام بالإيداع كلما تجدد نشر المصنف على أن يكتفي في هذه الحالة بإيداع نسخة واحدة فقط، وذلك إذا لم يتضمن النشر تعديلا أو إضافة</w:t>
      </w:r>
      <w:r w:rsidRPr="0032606E">
        <w:rPr>
          <w:rFonts w:ascii="Tahoma" w:eastAsia="Times New Roman" w:hAnsi="Tahoma" w:cs="Tahoma"/>
          <w:color w:val="6F6969"/>
          <w:sz w:val="17"/>
          <w:szCs w:val="17"/>
        </w:rPr>
        <w:t>.</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b/>
          <w:bCs/>
          <w:color w:val="F18B0B"/>
          <w:sz w:val="17"/>
          <w:szCs w:val="17"/>
          <w:rtl/>
        </w:rPr>
        <w:t>مادة – 5</w:t>
      </w:r>
      <w:r w:rsidRPr="0032606E">
        <w:rPr>
          <w:rFonts w:ascii="Tahoma" w:eastAsia="Times New Roman" w:hAnsi="Tahoma" w:cs="Tahoma"/>
          <w:b/>
          <w:bCs/>
          <w:color w:val="F18B0B"/>
          <w:sz w:val="17"/>
          <w:szCs w:val="17"/>
        </w:rPr>
        <w:t xml:space="preserve"> –</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color w:val="6F6969"/>
          <w:sz w:val="17"/>
          <w:szCs w:val="17"/>
          <w:rtl/>
        </w:rPr>
        <w:t>على ناشري وطابعي المصنفات المشار إليها في المادة الأولى من هذا القانون أن يثبتوا في المصنفات البيانات الآتية</w:t>
      </w:r>
      <w:r w:rsidRPr="0032606E">
        <w:rPr>
          <w:rFonts w:ascii="Tahoma" w:eastAsia="Times New Roman" w:hAnsi="Tahoma" w:cs="Tahoma"/>
          <w:color w:val="6F6969"/>
          <w:sz w:val="17"/>
          <w:szCs w:val="17"/>
        </w:rPr>
        <w:t>:-</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proofErr w:type="gramStart"/>
      <w:r w:rsidRPr="0032606E">
        <w:rPr>
          <w:rFonts w:ascii="Tahoma" w:eastAsia="Times New Roman" w:hAnsi="Tahoma" w:cs="Tahoma"/>
          <w:color w:val="6F6969"/>
          <w:sz w:val="17"/>
          <w:szCs w:val="17"/>
        </w:rPr>
        <w:t xml:space="preserve">( </w:t>
      </w:r>
      <w:r w:rsidRPr="0032606E">
        <w:rPr>
          <w:rFonts w:ascii="Tahoma" w:eastAsia="Times New Roman" w:hAnsi="Tahoma" w:cs="Tahoma"/>
          <w:color w:val="6F6969"/>
          <w:sz w:val="17"/>
          <w:szCs w:val="17"/>
          <w:rtl/>
        </w:rPr>
        <w:t>أ</w:t>
      </w:r>
      <w:proofErr w:type="gramEnd"/>
      <w:r w:rsidRPr="0032606E">
        <w:rPr>
          <w:rFonts w:ascii="Tahoma" w:eastAsia="Times New Roman" w:hAnsi="Tahoma" w:cs="Tahoma"/>
          <w:color w:val="6F6969"/>
          <w:sz w:val="17"/>
          <w:szCs w:val="17"/>
          <w:rtl/>
        </w:rPr>
        <w:t xml:space="preserve"> ) تاريخ النشر</w:t>
      </w:r>
      <w:r w:rsidRPr="0032606E">
        <w:rPr>
          <w:rFonts w:ascii="Tahoma" w:eastAsia="Times New Roman" w:hAnsi="Tahoma" w:cs="Tahoma"/>
          <w:color w:val="6F6969"/>
          <w:sz w:val="17"/>
          <w:szCs w:val="17"/>
        </w:rPr>
        <w:t>.</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color w:val="6F6969"/>
          <w:sz w:val="17"/>
          <w:szCs w:val="17"/>
        </w:rPr>
        <w:t>(</w:t>
      </w:r>
      <w:r w:rsidRPr="0032606E">
        <w:rPr>
          <w:rFonts w:ascii="Tahoma" w:eastAsia="Times New Roman" w:hAnsi="Tahoma" w:cs="Tahoma"/>
          <w:color w:val="6F6969"/>
          <w:sz w:val="17"/>
          <w:szCs w:val="17"/>
          <w:rtl/>
        </w:rPr>
        <w:t>ب) رقم وتاريخ إيداع المصنفات بمكتبة الإيداع</w:t>
      </w:r>
      <w:r w:rsidRPr="0032606E">
        <w:rPr>
          <w:rFonts w:ascii="Tahoma" w:eastAsia="Times New Roman" w:hAnsi="Tahoma" w:cs="Tahoma"/>
          <w:color w:val="6F6969"/>
          <w:sz w:val="17"/>
          <w:szCs w:val="17"/>
        </w:rPr>
        <w:t>.</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color w:val="6F6969"/>
          <w:sz w:val="17"/>
          <w:szCs w:val="17"/>
          <w:rtl/>
        </w:rPr>
        <w:t>على أن يرد هذا البيان في آخر صحيفة من المصنف المطبوع وعلى وجه المصنف بالنسبة للمسجلات الموسيقية والصوتية</w:t>
      </w:r>
      <w:r w:rsidRPr="0032606E">
        <w:rPr>
          <w:rFonts w:ascii="Tahoma" w:eastAsia="Times New Roman" w:hAnsi="Tahoma" w:cs="Tahoma"/>
          <w:color w:val="6F6969"/>
          <w:sz w:val="17"/>
          <w:szCs w:val="17"/>
        </w:rPr>
        <w:t>.</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b/>
          <w:bCs/>
          <w:color w:val="F18B0B"/>
          <w:sz w:val="17"/>
          <w:szCs w:val="17"/>
          <w:rtl/>
        </w:rPr>
        <w:t>مادة – 6</w:t>
      </w:r>
      <w:r w:rsidRPr="0032606E">
        <w:rPr>
          <w:rFonts w:ascii="Tahoma" w:eastAsia="Times New Roman" w:hAnsi="Tahoma" w:cs="Tahoma"/>
          <w:b/>
          <w:bCs/>
          <w:color w:val="F18B0B"/>
          <w:sz w:val="17"/>
          <w:szCs w:val="17"/>
        </w:rPr>
        <w:t xml:space="preserve"> –</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color w:val="6F6969"/>
          <w:sz w:val="17"/>
          <w:szCs w:val="17"/>
          <w:rtl/>
        </w:rPr>
        <w:t>كل مخالفة لأحكام هذا القانون والقرارات الصادرة تنفيذا لـه يعاقب عليها بغرامة لا تزيد على خمسين دينارا، دون إخلال بوجوب الإيداع</w:t>
      </w:r>
      <w:r w:rsidRPr="0032606E">
        <w:rPr>
          <w:rFonts w:ascii="Tahoma" w:eastAsia="Times New Roman" w:hAnsi="Tahoma" w:cs="Tahoma"/>
          <w:color w:val="6F6969"/>
          <w:sz w:val="17"/>
          <w:szCs w:val="17"/>
        </w:rPr>
        <w:t>.</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b/>
          <w:bCs/>
          <w:color w:val="F18B0B"/>
          <w:sz w:val="17"/>
          <w:szCs w:val="17"/>
          <w:rtl/>
        </w:rPr>
        <w:lastRenderedPageBreak/>
        <w:t>مادة – 7</w:t>
      </w:r>
      <w:r w:rsidRPr="0032606E">
        <w:rPr>
          <w:rFonts w:ascii="Tahoma" w:eastAsia="Times New Roman" w:hAnsi="Tahoma" w:cs="Tahoma"/>
          <w:b/>
          <w:bCs/>
          <w:color w:val="F18B0B"/>
          <w:sz w:val="17"/>
          <w:szCs w:val="17"/>
        </w:rPr>
        <w:t xml:space="preserve"> –</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color w:val="6F6969"/>
          <w:sz w:val="17"/>
          <w:szCs w:val="17"/>
          <w:rtl/>
        </w:rPr>
        <w:t>يصدر وزير التربية والتعليم القرارات اللازمة لتنفيذ أحكام هذا القانون</w:t>
      </w:r>
      <w:r w:rsidRPr="0032606E">
        <w:rPr>
          <w:rFonts w:ascii="Tahoma" w:eastAsia="Times New Roman" w:hAnsi="Tahoma" w:cs="Tahoma"/>
          <w:color w:val="6F6969"/>
          <w:sz w:val="17"/>
          <w:szCs w:val="17"/>
        </w:rPr>
        <w:t>.</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b/>
          <w:bCs/>
          <w:color w:val="F18B0B"/>
          <w:sz w:val="17"/>
          <w:szCs w:val="17"/>
          <w:rtl/>
        </w:rPr>
        <w:t>مادة – 8</w:t>
      </w:r>
      <w:r w:rsidRPr="0032606E">
        <w:rPr>
          <w:rFonts w:ascii="Tahoma" w:eastAsia="Times New Roman" w:hAnsi="Tahoma" w:cs="Tahoma"/>
          <w:b/>
          <w:bCs/>
          <w:color w:val="F18B0B"/>
          <w:sz w:val="17"/>
          <w:szCs w:val="17"/>
        </w:rPr>
        <w:t xml:space="preserve"> –</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color w:val="6F6969"/>
          <w:sz w:val="17"/>
          <w:szCs w:val="17"/>
          <w:rtl/>
        </w:rPr>
        <w:t>على الوزراء – كل فيما يخصه – تنفيذ أحكام هذا القانون، وينشر في الجريدة الرسمية، ويعمل به من تاريخ نشره</w:t>
      </w:r>
      <w:r w:rsidRPr="0032606E">
        <w:rPr>
          <w:rFonts w:ascii="Tahoma" w:eastAsia="Times New Roman" w:hAnsi="Tahoma" w:cs="Tahoma"/>
          <w:color w:val="6F6969"/>
          <w:sz w:val="17"/>
          <w:szCs w:val="17"/>
        </w:rPr>
        <w:t>.</w:t>
      </w:r>
    </w:p>
    <w:p w:rsidR="0032606E" w:rsidRPr="0032606E" w:rsidRDefault="0032606E" w:rsidP="0032606E">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32606E">
        <w:rPr>
          <w:rFonts w:ascii="Tahoma" w:eastAsia="Times New Roman" w:hAnsi="Tahoma" w:cs="Tahoma"/>
          <w:color w:val="6F6969"/>
          <w:sz w:val="17"/>
          <w:szCs w:val="17"/>
        </w:rPr>
        <w:br/>
      </w:r>
      <w:r w:rsidRPr="0032606E">
        <w:rPr>
          <w:rFonts w:ascii="Tahoma" w:eastAsia="Times New Roman" w:hAnsi="Tahoma" w:cs="Tahoma"/>
          <w:color w:val="6F6969"/>
          <w:sz w:val="17"/>
          <w:szCs w:val="17"/>
          <w:rtl/>
        </w:rPr>
        <w:t>أمير دولة البحرين</w:t>
      </w:r>
      <w:r w:rsidRPr="0032606E">
        <w:rPr>
          <w:rFonts w:ascii="Tahoma" w:eastAsia="Times New Roman" w:hAnsi="Tahoma" w:cs="Tahoma"/>
          <w:color w:val="6F6969"/>
          <w:sz w:val="17"/>
          <w:szCs w:val="17"/>
        </w:rPr>
        <w:br/>
      </w:r>
      <w:r w:rsidRPr="0032606E">
        <w:rPr>
          <w:rFonts w:ascii="Tahoma" w:eastAsia="Times New Roman" w:hAnsi="Tahoma" w:cs="Tahoma"/>
          <w:b/>
          <w:bCs/>
          <w:color w:val="6F6969"/>
          <w:sz w:val="17"/>
          <w:szCs w:val="17"/>
          <w:rtl/>
        </w:rPr>
        <w:t>عيسى بن سلمان آل خليفة</w:t>
      </w:r>
      <w:r w:rsidRPr="0032606E">
        <w:rPr>
          <w:rFonts w:ascii="Tahoma" w:eastAsia="Times New Roman" w:hAnsi="Tahoma" w:cs="Tahoma"/>
          <w:b/>
          <w:bCs/>
          <w:color w:val="6F6969"/>
          <w:sz w:val="17"/>
          <w:szCs w:val="17"/>
        </w:rPr>
        <w:br/>
      </w:r>
      <w:r w:rsidRPr="0032606E">
        <w:rPr>
          <w:rFonts w:ascii="Tahoma" w:eastAsia="Times New Roman" w:hAnsi="Tahoma" w:cs="Tahoma"/>
          <w:color w:val="6F6969"/>
          <w:sz w:val="17"/>
          <w:szCs w:val="17"/>
        </w:rPr>
        <w:br/>
      </w:r>
      <w:r w:rsidRPr="0032606E">
        <w:rPr>
          <w:rFonts w:ascii="Tahoma" w:eastAsia="Times New Roman" w:hAnsi="Tahoma" w:cs="Tahoma"/>
          <w:color w:val="6F6969"/>
          <w:sz w:val="17"/>
          <w:szCs w:val="17"/>
          <w:rtl/>
        </w:rPr>
        <w:t>صدر في قصر الرفاع</w:t>
      </w:r>
      <w:r w:rsidRPr="0032606E">
        <w:rPr>
          <w:rFonts w:ascii="Tahoma" w:eastAsia="Times New Roman" w:hAnsi="Tahoma" w:cs="Tahoma"/>
          <w:color w:val="6F6969"/>
          <w:sz w:val="17"/>
          <w:szCs w:val="17"/>
        </w:rPr>
        <w:br/>
      </w:r>
      <w:r w:rsidRPr="0032606E">
        <w:rPr>
          <w:rFonts w:ascii="Tahoma" w:eastAsia="Times New Roman" w:hAnsi="Tahoma" w:cs="Tahoma"/>
          <w:color w:val="6F6969"/>
          <w:sz w:val="17"/>
          <w:szCs w:val="17"/>
          <w:rtl/>
        </w:rPr>
        <w:t>بتاريخ 15 رمضان 1395هـ</w:t>
      </w:r>
      <w:r w:rsidRPr="0032606E">
        <w:rPr>
          <w:rFonts w:ascii="Tahoma" w:eastAsia="Times New Roman" w:hAnsi="Tahoma" w:cs="Tahoma"/>
          <w:color w:val="6F6969"/>
          <w:sz w:val="17"/>
          <w:szCs w:val="17"/>
        </w:rPr>
        <w:br/>
      </w:r>
      <w:r w:rsidRPr="0032606E">
        <w:rPr>
          <w:rFonts w:ascii="Tahoma" w:eastAsia="Times New Roman" w:hAnsi="Tahoma" w:cs="Tahoma"/>
          <w:color w:val="6F6969"/>
          <w:sz w:val="17"/>
          <w:szCs w:val="17"/>
          <w:rtl/>
        </w:rPr>
        <w:t>الموافق 20 سبتمبر 1975م</w:t>
      </w:r>
    </w:p>
    <w:p w:rsidR="004068DF" w:rsidRDefault="004068DF"/>
    <w:sectPr w:rsidR="00406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06E"/>
    <w:rsid w:val="0032606E"/>
    <w:rsid w:val="004068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B8E28A-35F2-443B-A669-8E7325DF6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32606E"/>
  </w:style>
  <w:style w:type="paragraph" w:styleId="NormalWeb">
    <w:name w:val="Normal (Web)"/>
    <w:basedOn w:val="Normal"/>
    <w:uiPriority w:val="99"/>
    <w:semiHidden/>
    <w:unhideWhenUsed/>
    <w:rsid w:val="003260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60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1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2019-01-24T10:02:00Z</dcterms:created>
  <dcterms:modified xsi:type="dcterms:W3CDTF">2019-01-24T10:03:00Z</dcterms:modified>
</cp:coreProperties>
</file>