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C92" w:rsidRPr="000F2C92" w:rsidRDefault="000F2C92" w:rsidP="000F2C92">
      <w:pPr>
        <w:shd w:val="clear" w:color="auto" w:fill="FFFFFF"/>
        <w:spacing w:after="0" w:line="270" w:lineRule="atLeast"/>
        <w:jc w:val="center"/>
        <w:rPr>
          <w:rFonts w:ascii="Tahoma" w:eastAsia="Times New Roman" w:hAnsi="Tahoma" w:cs="Tahoma"/>
          <w:color w:val="C09331"/>
          <w:sz w:val="24"/>
          <w:szCs w:val="24"/>
        </w:rPr>
      </w:pPr>
      <w:r>
        <w:rPr>
          <w:rFonts w:ascii="Tahoma" w:eastAsia="Times New Roman" w:hAnsi="Tahoma" w:cs="Tahoma" w:hint="cs"/>
          <w:color w:val="C09331"/>
          <w:sz w:val="24"/>
          <w:szCs w:val="24"/>
          <w:rtl/>
          <w:lang w:bidi="ar-BH"/>
        </w:rPr>
        <w:t>ق</w:t>
      </w:r>
      <w:r w:rsidRPr="000F2C92">
        <w:rPr>
          <w:rFonts w:ascii="Tahoma" w:eastAsia="Times New Roman" w:hAnsi="Tahoma" w:cs="Tahoma"/>
          <w:color w:val="C09331"/>
          <w:sz w:val="24"/>
          <w:szCs w:val="24"/>
          <w:rtl/>
        </w:rPr>
        <w:t>انون رقم (50) لسنة 2014 بتعديل بعض أحكام قانون الشركات التجارية الصادر بالمرسوم بقانون رقم (21) لسنة 2001</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Pr>
      </w:pPr>
      <w:r w:rsidRPr="000F2C92">
        <w:rPr>
          <w:rFonts w:ascii="Arial" w:eastAsia="Times New Roman" w:hAnsi="Arial" w:cs="Arial"/>
          <w:b/>
          <w:bCs/>
          <w:color w:val="434343"/>
          <w:sz w:val="28"/>
          <w:szCs w:val="28"/>
          <w:shd w:val="clear" w:color="auto" w:fill="FFFFFF"/>
          <w:rtl/>
          <w:lang w:bidi="ar-BH"/>
        </w:rPr>
        <w:t>قانون رقم (50) لسنة 2014</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بتعديل بعض أحكام قانون الشركات التجارية</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الصادر بالمرسوم بقانون رقم (21) لسنة 2001</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نحن حمد بن عيسى آل خليفة              ملك مملكة البحرين.</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بعد الاطلاع على الدستور،</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وعلى المرسوم بقانون رقم (21) لسنة 2001 بإصدار قانون الشركات التجارية،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وعلى قانون رقم (64) لسنة 2006 بإصدار قانون مصرف البحرين المركزي والمؤسسات المالية،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أقر مجلس الشورى ومجلس النواب القانون الآتي نصه، وقد صدقنا عليه وأصدرناه:</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المادة الأولى</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تُستبدل بنصوص المواد: (55)، (65)، (75) البند (د)، (84)، (109)، (119)، (173) الفقرة الأولى - البند (ج)، (175) الفقرة الأولى، (187) الفقرة (أ)، (197)، (203)، (228)، (234)، (249) البند (هـ)، (264)، (290)، (293)، (347) و(348) من قانون الشركات التجارية الصادر بالمرسوم بقانون رقم (21) لسنة 2001 النصوص التالية: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(55):</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يُبين في عقد تأسيس الشركة الشركاء المتضامنون والشركاء الموصون.</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(65):</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يجوز أن تؤسس شركات مساهمة عامة بحرينية بمشاركة رأسمال أجنبي أو خبرة أجنبية.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ويجوز- بقرار من الوزير المعني بشئون التجارة- تحديد نسب مشاركة رأس المال الأجنبي أو الخبرة الأجنبية في قطاعات أو أنشطة معينة.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(75) البند (د):</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د- أسماء المؤسسين،على ألا يقل عددهم عن شخصين، ويُستثنى من ذلك الشركات التي تنفرد الحكومة بتأسيسها.</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(84):</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مع مراعاة أحكام قانون مصرف البحرين المركزي والمؤسسات المالية الصادر بالقانون رقم (64) لسنة 2006، واللوائح الصادرة تنفيذاً لأحكامه، على المؤسسين أن يكتتبوا بأسهم لا تقل عن 10٪ من رأسمال الشركة، وأن يدفعوا – قبل نشر بيان الاكتتاب - المبلغ الذي يعادل النسبة المطلوب دفعها من الجمهور عن كل سهم عند الاكتتاب.</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(109):</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lastRenderedPageBreak/>
        <w:t>مع مراعاة أحكام المادة (21مكرراً) من هذا القانون، يحدد رأسمال الشركة من قبل المؤسسين، ويجب أن يكون كافياً لتحقيق أغراضها.</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ويكون رأسمال الشركة بالعملة البحرينية، ويجوز بموافقة الوزير المعني بشئون التجارة أن يكون بعملة أخرى مقوّمة بالعملة البحرينية.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ويقسم رأسمال الشركة إلى أسهم متساوية، وتحدد اللائحة التنفيذية القيمة الاسمية للسهم.</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(119):</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يكون تداول الأسهم وتسجيلها وإيداعها ونقل ملكيتها وتقاصها وتسويتها وقيد الرهن والحجز عليها وشراء الشركة لأسهمها وفقاً لأحكام قانون مصرف البحرين المركزي والمؤسسات المالية الصادر بالقانون رقم (64) لسنة 2006 واللوائح الصادرة تنفيذاً لأحكامه.</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(173) الفقرة الأولى – البند (ج):</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ج - أية شروط أخرى يحددها عقد تأسيس الشركة أو نظامها الأساسي.</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(175) الفقرة الأولى:</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لكل من يملك 10٪ أو أكثر من رأس المال حق تعيين أعضاء في مجلس الإدارة بقدر نسبة ما يملك من رأس المال مع تقريب كسور العدد لأقرب عدد صحيح، ويسقط حقه في التصويت في النسبة التي يتم التعيين عنها. ولكل من لم يستخدم حقه في تعيين أعضاء في مجلس الإدارة، أو لم يكن له نسبة تؤهله لتعيين عضو آخر، أن يستخدم تلك النسبة في التصويت. ويسقط الحق في التعيين في حالة عدم استخدامه في أي انتخاب أو تعيين لأعضاء مجلس الإدارة في كل حالة على حدة، وذلك كله ما لم ينص عقد تأسيس الشركة أو نظامها الأساسي على خلاف ذلك.</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(187) الفقرة (أ):</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 يكون رفع دعوى المسئولية على أعضاء مجلس الإدارة بسبب الأخطاء التي تنشأ عنها أضرار تلحق بمجموع المساهمين من حق الشركة. ويجب أن يصدر قرار من الجمعية العامة برفع الدعوى، على أن يتولاها رئيس مجلس الإدارة. وإذا كان رئيس مجلس الإدارة ممن تخاصمهم الشركة، وجب أن تعيّن الجمعية العامة عضواً آخر من مجلس الإدارة لإقامة الدعوى. وإذا كانت الدعوى موجهة إلى جميع أعضاء مجلس الإدارة، وجب أن تعيّن الجمعية العامة مَن ينوب عنها من غير أعضاء المجلس في رفع الدعوى.</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وللمساهم، في حالة عدم قيام الشركة برفع دعوى المسئولية على أعضاء مجلس الإدارة، أن يرفع الدعوى منفرداً عما لحق به من ضرر بسبب تلك الأخطاء. ويجب على المساهم إخطار الشركة بتلك الأخطاء قبل رفع الدعوى بثلاثين يوماً على الأقل.</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(197):</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lastRenderedPageBreak/>
        <w:t>مع مراعاة أحكام قانون مصرف البحرين المركزي والمؤسسات المالية الصادر بالقانون رقم (64) لسنة 2006 واللوائح الصادرة تنفيذاً لأحكامه، يجوز للوزير المعني بشئون التجارة حل مجلس إدارة الشركة بقرار مسبب، في أي من الحالات الآتية: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إذا تعرضت الشركة لأوضاع مالية أو إدارية سيئة أو تعرضت لخسائر جسيمة تؤثر في حقوق المساهمين أو في حقوق دائنيها.</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إذا اُرتكبت مخالفات جسيمة لأحكام هذا القانون. ويجب أن يكون ما ورد في الحالتين السابقتين مثبتاً بتقرير من قبل من يندبه الوزير للتفتيش على أعمال الشركة وحساباتها وفقاً لأحكام هذا القانون.</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‌ج)</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إذا فقد مجلس إدارة الشركة نصابه القانوني بحيث يتعذر انعقاده أو لم تستطع الجمعية العامة للشركة انتخاب مجلس إدارة جديد.</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وفي جميع الحالات، يجب أن يتضمن قرار حل مجلس إدارة الشركة تعيين لجنة مؤقتة من ذوي الخبرة والاختصاص لإدارة الشركة لمدة لا تتجاوز ثلاثة أشهر، وأن يتضمن ميعاداً لاجتماع الجمعية العامة لانتخاب مجلس إدارة جديد.</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ولكل ذي مصلحة أن يطعن في قرار الحل أمام المحكمة الكبرى المدنية خلال خمسة عشر يوماً من تاريخ صدوره، وتفصل المحكمة في الدعوى بصفة مستعجلة.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(203):</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لكل مساهم - أياً كان عدد أسهمه- حق حضور الجمعية العامة، ويكون له عدد من الأصوات يساوي عدد أسهمه، ويقع باطلاً كل شرط أو قرار يخالف ذلك.</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ويجوز للمساهم أن يوكل غيره من المساهمين أو من غيرهم في الحضور نيابة عنه، على أن يكون الوكيل من غير رئيس وأعضاء مجلس الإدارة وموظفي الشركة، ولا يخل ذلك بحق التوكيل للأقارب من الدرجة الأولى، وذلك بمقتضى توكيل خاص وثابت بالكتابة تعده الشركة لهذا الغرض.</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ويمثل ناقصي الأهلية وفاقديها في الحضور النائبون عنهم قانونياً، وعلى الشركة أن تعد بطاقات خاصة بعدد الأسهم التي يملكها المساهم والأسهم التي يحضر فيها نيابة عن مساهمين آخرين، ويجب إجراء التوكيلات وإبراز صفة النيابة لدى الشركة قبل اجتماع الجمعية العامة بأربع وعشرين ساعة على الأقل، ولا يجوز لأي عضو أن يشترك في التصويت عن نفسه أو عمنْ يمثله في المسائل التي تتعلق بمنفعة خاصة مباشرة له أو بخلاف قائم بينه وبين الشركة.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(228):</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مع مراعاة أحكام المادة (21مكرراً) من هذا القانون، يحدد رأسمال الشركة من قبل المؤسسين، ويجب أن يكون كافياً لتحقيق أغراضها.</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(234):</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lastRenderedPageBreak/>
        <w:t>لا يجوز تداول أسهم شركات المساهمة المقفلة إلا بعد الوفاء بقيمة الأسهم كاملة، ويستثنى من ذلك عمليات التداول التي تتم فيما بين المؤسسين.</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(249) البند (هـ):</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هـ- مع مراعاة أحكام المادة (21 مكرراً) من هذا القانون، يحدد رأسمال الشركة من قبل المؤسسين، ويجب أن يكون كافياً لتحقيق أغراضها.</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(264):</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مع مراعاة أحكام المادة (21 مكرراً) من هذا القانون، يحدد رأسمال الشركة من قبل الشركاء، ويجب أن يكون كافياً لتحقيق أغراضها، ويُقسّم إلى حصص متساوية القيمة.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(290):</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يجب أن يكون لشركة الشخص الواحد نظام يحدد أحكامها وبياناتها وإجراءات قيدها وشهرها، ويصدر هذا النظام بقرار من الوزير المعني بشئون التجارة.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(293):</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مع مراعاة أحكام المادة (21 مكرراً) من هذا القانون، يحدد رأسمال الشركة من قبل المؤسسين، ويجب أن يكون كافياً لتحقيق أغراضها ومدفوعاً بالكامل، ويجوز أن يشمل رأس المال حصصاً عينية يقدر قيمتها أحد الخبراء المختصين.</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(347):</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يجوز للشركات المؤسسة في الخارج أن تنشئ لها فروعًا أو وكالات أو مكاتب في مملكة البحرين بالشروط الآتية: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1)</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أن تحصل الشركة الأجنبية على ترخيص من الوزارة المعنية بشئون التجارة بإنشاء الفرع أو الوكالة أو المكتب.</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2)</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أن يقيد الفرع أو الوكالة أو المكتب في السجل التجاري طبقاً لأحكام القانون.</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3)</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أية شروط أخرى يصدر بتحديدها قرار من الوزير المعني بشئون التجارة.</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إذا زاول الفرع أو الوكالة أو المكتب أعماله قبل إتمام الإجراءات المنصوص عليها في الفقرة (أ) من هذه المادة، كان الأشخاص الذين أجروا هذه الأعمال مسئولين عنها شخصياً وعلى وجه التضامن.</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(348):</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يجب أن يقدم الفرع أو الوكيل أو المكتب كفالة من المركز الرئيسي لضمان تنفيذ التزاماته. ويجوز للوزير المعني بشئون التجارة أن يحدد بقرار منه ضماناً إضافياً أو أكثر للفرع أو الوكيل أو المكتب.</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lastRenderedPageBreak/>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يلتزم الفرع أو الوكيل أو المكتب بأن يودع لدى الوزارة المعنية بشئون التجارة نسخة من عقد تأسيس المركز الرئيسي وكل تعديل يجرى عليه، كما يلتزم بأن يودع نسخة من البيانات المالية المدققة للمركز الرئيسي خلال ستة أشهر من تاريخ انتهاء السنة المالية.</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المادة الثانية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يُضاف إلى قانون الشركات التجارية الصادر بالمرسوم بقانون رقم (21) لسنة 2001 مواد جديدة بأرقام (5 مكرراً) و(18 مكرراً) و(21 مكرراً) و(23 مكرراً) و(358مكرراً) و(358 مكرراً 1)، ويُضاف إلى المادة (361) من ذات القانون بند جديد برقم (ي)، نصوصها كالتالي:</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(5 مكرراً):</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يجوز لأي شخص أن يطلب من الوزارة المعنية بشئون التجارة حجز اسم معين لاستخدامه عند إنشاء شركة وفقاً لأحكام هذا القانون، ويكون الحجز لمدة ثلاثين يوماً قابلة للتجديد مرتين مماثلتين وفقاً للإجراءات والشروط والأوضاع التي يصدر بتحديدها قرار من الوزير المعني بشئون التجارة.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ويُستحق رسم على طلب الحجز ورسم على طلب تجديد الحجز، ويصدر بتحديدهما قرار من الوزير المعني بشئون التجارة بعد موافقة مجلس الوزراء.</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(18 مكرراً):</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يكون المؤسس أو الشريك أو مالك رأس المال أو مدير الشركة أو عضو مجلس الإدارة في شركة المساهمة أو شركة المساهمة المقفلة أو الشركة ذات المسئولية المحدودة أو شركة الشخص الواحد - بحسب الأحوال-مسئولاً في جميع أمواله الخاصة عن أية أضرار تصيب الشركة أو الشركاء أو المساهمين أو الغير، في أي من الحالات الآتية: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1)</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قدم بيانات أو معلومات غير صحيحة عن رأسمال الشركة في عقد تأسيسها أو نظامها الأساسي أو في تعاملاتها مع الغير أو أي من وثائقها يكون من شأنها التأثير في الثقة المالية بالشركة.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2)</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استغل الشركة لأغراض الغش أو لأغراض غير مشروعة.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3)</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تعامل مع أموال الشركة على أنها من أمواله الشخصية.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4)</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لم يفصل بين مصلحته الشخصية ومصلحة الشركة.</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5)</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تسبب في ترتيب التزامات على الشركة، رغم علمه اليقيني أو المفترض بأن الشركة غير قادرة على أداء تلك الالتزامات وقت استحقاقها، أو كان ترتيب تلك الالتزامات بسبب إهماله أو خطئه الجسيم.</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6)</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تسبب في عجز الشركة عن أداء الضرائب والرسوم المستحقة للحكومة أو الهيئات أو المؤسسات العامة، وكان يعلم بذلك علماً يقينياً أو مفترضاً، أو كان عجز الشركة عن أداء تلك الضرائب والرسوم بسبب إهماله أو خطئه الجسيم.</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lastRenderedPageBreak/>
        <w:t>7)</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إذا خالف أحكام القانون أو عقد تأسيس الشركة أو نظامها الأساسي.</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لا تنتفي المسئولية اذا كانت المخالفة قد وقعت نتيجة قرار اتُخذ في اجتماع لمجلس الادارة أو الجمعية التأسيسية أو الجمعية العامة، إلا إذا اعترض على القرار الذي رتب المسئولية وأثبت اعتراضه في محضر الجلسة. ولا يعتبر الغياب عن حضور الجلسة التي صدر فيها القرار سبباً للإعفاء من المسئولية إلا اذا أثبت عدم علمه بالقرار أو علمه به وعدم استطاعته الاعتراض عليه.</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‌ج)</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تكون المسئولية المشار إليها في الفقرة (أ) من هذه المادة إما مسئولية شخصية تلحق المؤسس أو الشريك أو مالك رأس المال أو المدير أو عضو مجلس الإدارة، وإما مسئولية مشتركة على وجه التضامن في حالة تعدد من ارتكبوا المخالفة.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21مكرراً):</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يجوز للوزير المعني بشئون التجارة أن يصدر قراراً بتحديد حد أدنى لرأسمال أي نوع من أنواع الشركات التي تؤسس وفقاً لأحكام هذا القانون.</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يجوز للوزير المعني بشئون التجارة أن يصدر قراراً بتحديد حد أدنى لرأسمال الشركات التي تباشر أعمالاً في قطاعات أو أنشطة اقتصادية معينة، وذلك بعد التشاور مع الجهة المعنية بالإشراف على ذلك القطاع أو النشاط الاقتصادي.</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(23 مكرراً):</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يجوز أن ينص عقد تأسيس الشركة أو نظامها الأساسي على جواز عقد أي من الاجتماعات المقررة طبقاً لأحكام هذا القانون من خلال أي من وسائل الاتصال الإلكترونية أو الهاتفية، على أن يراعى اتخاذ التدابير التي تكفل ما يلي:</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1)</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التحقق من هوية المشارك في الاجتماع ومن صحة أي توكيل يكون الوكيل مشاركاً بموجبه.</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2)</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تمكين الشريك أو المساهم من المشاركة الكاملة في الاجتماع، كما لو كان حاضراً في مكان الاجتماع، ويشمل ذلك الإلمام بكافة ما يدور في الاجتماع وإبداء الرأي والمشاركة في المناقشات.</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3)</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تدوين أي بيان أو تصويت يدلي به المشارك في الاجتماع على وجه صحيح.</w:t>
      </w:r>
    </w:p>
    <w:p w:rsidR="000F2C92" w:rsidRPr="000F2C92" w:rsidRDefault="000F2C92" w:rsidP="000F2C92">
      <w:pPr>
        <w:bidi/>
        <w:spacing w:after="0" w:line="440" w:lineRule="atLeast"/>
        <w:ind w:left="720" w:hanging="360"/>
        <w:rPr>
          <w:rFonts w:ascii="Calibri" w:eastAsia="Times New Roman" w:hAnsi="Calibri" w:cs="Calibri"/>
          <w:color w:val="434343"/>
          <w:shd w:val="clear" w:color="auto" w:fill="FFFFFF"/>
          <w:rtl/>
        </w:rPr>
      </w:pPr>
      <w:r w:rsidRPr="000F2C92">
        <w:rPr>
          <w:rFonts w:ascii="Arial" w:eastAsia="Times New Roman" w:hAnsi="Arial" w:cs="Arial"/>
          <w:color w:val="434343"/>
          <w:shd w:val="clear" w:color="auto" w:fill="FFFFFF"/>
          <w:rtl/>
        </w:rPr>
        <w:t>4)</w:t>
      </w:r>
      <w:r w:rsidRPr="000F2C92">
        <w:rPr>
          <w:rFonts w:ascii="Times New Roman" w:eastAsia="Times New Roman" w:hAnsi="Times New Roman" w:cs="Times New Roman"/>
          <w:color w:val="434343"/>
          <w:sz w:val="14"/>
          <w:szCs w:val="14"/>
          <w:shd w:val="clear" w:color="auto" w:fill="FFFFFF"/>
          <w:rtl/>
        </w:rPr>
        <w:t>    </w:t>
      </w:r>
      <w:r w:rsidRPr="000F2C92">
        <w:rPr>
          <w:rFonts w:ascii="Arial" w:eastAsia="Times New Roman" w:hAnsi="Arial" w:cs="Arial"/>
          <w:color w:val="434343"/>
          <w:sz w:val="28"/>
          <w:szCs w:val="28"/>
          <w:shd w:val="clear" w:color="auto" w:fill="FFFFFF"/>
          <w:rtl/>
          <w:lang w:bidi="ar-BH"/>
        </w:rPr>
        <w:t>أية تدابير أخرى يصدر بتحديدها قرار من الوزير المعني بشئون التجارة.</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لا تسري أحكام الفقرة (أ) من هذه المادة على اجتماعات الجمعية العامة للشركات المساهمة العامة، وكذلك على أعمال الاقتراع التي تكون سرية وفقاً لأحكام هذا القانون.</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(358 مكرراً):</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يجوز للوزارة المعنية بشئون التجارة أن تحفظ أصول أي من الأوراق والمستندات المودعة لديها أو البيانات والمعلومات والسجلات المتعلقة بأعمالها في شكل سجل إلكتروني.</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(358 مكرراً 1):</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lastRenderedPageBreak/>
        <w:t>‌أ)</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يصدر- بقرار من الوزير المعني بشئون التجارة- ميثاق لإدارة وحوكمة الشركات طبقاً لأفضل مبادئ الإدارة والحوكمة المتعارف عليها دولياً.</w:t>
      </w:r>
    </w:p>
    <w:p w:rsidR="000F2C92" w:rsidRPr="000F2C92" w:rsidRDefault="000F2C92" w:rsidP="000F2C92">
      <w:pPr>
        <w:bidi/>
        <w:spacing w:after="0" w:line="440" w:lineRule="atLeast"/>
        <w:ind w:left="360" w:hanging="360"/>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w:t>
      </w:r>
      <w:r w:rsidRPr="000F2C92">
        <w:rPr>
          <w:rFonts w:ascii="Times New Roman" w:eastAsia="Times New Roman" w:hAnsi="Times New Roman" w:cs="Times New Roman"/>
          <w:color w:val="434343"/>
          <w:sz w:val="14"/>
          <w:szCs w:val="14"/>
          <w:shd w:val="clear" w:color="auto" w:fill="FFFFFF"/>
          <w:rtl/>
          <w:lang w:bidi="ar-BH"/>
        </w:rPr>
        <w:t>  </w:t>
      </w:r>
      <w:r w:rsidRPr="000F2C92">
        <w:rPr>
          <w:rFonts w:ascii="Arial" w:eastAsia="Times New Roman" w:hAnsi="Arial" w:cs="Arial"/>
          <w:color w:val="434343"/>
          <w:sz w:val="28"/>
          <w:szCs w:val="28"/>
          <w:shd w:val="clear" w:color="auto" w:fill="FFFFFF"/>
          <w:rtl/>
          <w:lang w:bidi="ar-BH"/>
        </w:rPr>
        <w:t>يسري ميثاق إدارة وحوكمة الشركات على جميع الشركات التجارية الخاضعة لأحكام هذا القانون، باستثناء الشركات المساهمة التي تخضع لمبادئ الحوكمة الصادرة عن مصرف البحرين المركزي.</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مادة (361) البند (ي):</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ي- كل من انطبقت عليه أية حالة من الحالات الواردة في البند (أ) من المادة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(18 مكرراً) من هذا القانون.</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المادة الثالثة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تستبدل عبارة "الوزير المعني بشئون التجارة" بعبارة "وزير التجارة والصناعة"، وعبارة "الوزارة المعنية بشئون التجارة" بعبارة "وزارة التجارة والصناعة" وعبارة "خمسة عشر يوم عمل" بعبارة "ستين يوماً"، أينما وردت في نصوص قانون الشركات التجارية الصادر بالمرسوم بقانون رقم (21) لسنة 2001.</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المادة الرابعة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تُلغى المواد أرقام (64) و(120) و(121) و(122) و(123) و(124) و(174) و(177) و(245) و(345) من قانون الشركات التجارية الصادر بالمرسوم بقانون رقم (21) لسنة 2001.</w:t>
      </w:r>
    </w:p>
    <w:p w:rsidR="000F2C92" w:rsidRPr="000F2C92" w:rsidRDefault="000F2C92" w:rsidP="000F2C92">
      <w:pPr>
        <w:bidi/>
        <w:spacing w:after="0" w:line="440" w:lineRule="atLeast"/>
        <w:jc w:val="center"/>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المادة الخامسة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على رئيس مجلس الوزراء والوزراء - كل فيما يخصه- تنفيذ أحكام هذا القانون، ويُعمل به اعتباراً من اليوم التالي لتاريخ نشره في الجريدة الرسمية.</w:t>
      </w:r>
    </w:p>
    <w:p w:rsidR="000F2C92" w:rsidRPr="000F2C92" w:rsidRDefault="000F2C92" w:rsidP="000F2C92">
      <w:pPr>
        <w:bidi/>
        <w:spacing w:after="0" w:line="440" w:lineRule="atLeast"/>
        <w:jc w:val="righ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ملك مملكة البحرين</w:t>
      </w:r>
    </w:p>
    <w:p w:rsidR="000F2C92" w:rsidRPr="000F2C92" w:rsidRDefault="000F2C92" w:rsidP="000F2C92">
      <w:pPr>
        <w:bidi/>
        <w:spacing w:after="0" w:line="440" w:lineRule="atLeast"/>
        <w:jc w:val="right"/>
        <w:rPr>
          <w:rFonts w:ascii="Calibri" w:eastAsia="Times New Roman" w:hAnsi="Calibri" w:cs="Calibri"/>
          <w:color w:val="434343"/>
          <w:shd w:val="clear" w:color="auto" w:fill="FFFFFF"/>
          <w:rtl/>
        </w:rPr>
      </w:pPr>
      <w:r w:rsidRPr="000F2C92">
        <w:rPr>
          <w:rFonts w:ascii="Arial" w:eastAsia="Times New Roman" w:hAnsi="Arial" w:cs="Arial"/>
          <w:b/>
          <w:bCs/>
          <w:color w:val="434343"/>
          <w:sz w:val="28"/>
          <w:szCs w:val="28"/>
          <w:shd w:val="clear" w:color="auto" w:fill="FFFFFF"/>
          <w:rtl/>
          <w:lang w:bidi="ar-BH"/>
        </w:rPr>
        <w:t>حمد بن عيسى آل خليفة</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صدر في قصر الرفاع:</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بتاريخ: 16ذي القعدة 1435هـ</w:t>
      </w:r>
    </w:p>
    <w:p w:rsidR="000F2C92" w:rsidRPr="000F2C92" w:rsidRDefault="000F2C92" w:rsidP="000F2C92">
      <w:pPr>
        <w:bidi/>
        <w:spacing w:after="0" w:line="440" w:lineRule="atLeast"/>
        <w:rPr>
          <w:rFonts w:ascii="Calibri" w:eastAsia="Times New Roman" w:hAnsi="Calibri" w:cs="Calibri"/>
          <w:color w:val="434343"/>
          <w:shd w:val="clear" w:color="auto" w:fill="FFFFFF"/>
          <w:rtl/>
        </w:rPr>
      </w:pPr>
      <w:r w:rsidRPr="000F2C92">
        <w:rPr>
          <w:rFonts w:ascii="Arial" w:eastAsia="Times New Roman" w:hAnsi="Arial" w:cs="Arial"/>
          <w:color w:val="434343"/>
          <w:sz w:val="28"/>
          <w:szCs w:val="28"/>
          <w:shd w:val="clear" w:color="auto" w:fill="FFFFFF"/>
          <w:rtl/>
          <w:lang w:bidi="ar-BH"/>
        </w:rPr>
        <w:t>الموافق: 11 سبتمبر 2014م</w:t>
      </w:r>
    </w:p>
    <w:p w:rsidR="00D33912" w:rsidRDefault="00D33912"/>
    <w:p w:rsidR="006902AE" w:rsidRDefault="006902AE"/>
    <w:p w:rsidR="006902AE" w:rsidRPr="006902AE" w:rsidRDefault="006902AE" w:rsidP="006902AE">
      <w:pPr>
        <w:shd w:val="clear" w:color="auto" w:fill="FFFFFF"/>
        <w:spacing w:after="0" w:line="270" w:lineRule="atLeast"/>
        <w:rPr>
          <w:rFonts w:ascii="Tahoma" w:eastAsia="Times New Roman" w:hAnsi="Tahoma" w:cs="Tahoma"/>
          <w:color w:val="C09331"/>
          <w:sz w:val="24"/>
          <w:szCs w:val="24"/>
        </w:rPr>
      </w:pPr>
      <w:r w:rsidRPr="006902AE">
        <w:rPr>
          <w:rFonts w:ascii="Tahoma" w:eastAsia="Times New Roman" w:hAnsi="Tahoma" w:cs="Tahoma"/>
          <w:color w:val="C09331"/>
          <w:sz w:val="24"/>
          <w:szCs w:val="24"/>
          <w:rtl/>
        </w:rPr>
        <w:t>انون رقم (1) لسنة 2018 بتعديل بعض أحكام قانون الشركات التجارية الصادر بالمرسوم بقانون رقم (21) لسنة 2001</w:t>
      </w:r>
    </w:p>
    <w:p w:rsidR="006902AE" w:rsidRPr="006902AE" w:rsidRDefault="006902AE" w:rsidP="006902AE">
      <w:pPr>
        <w:shd w:val="clear" w:color="auto" w:fill="F3F3F2"/>
        <w:spacing w:after="0" w:line="240" w:lineRule="atLeast"/>
        <w:rPr>
          <w:rFonts w:ascii="Tahoma" w:eastAsia="Times New Roman" w:hAnsi="Tahoma" w:cs="Tahoma"/>
          <w:color w:val="434343"/>
          <w:sz w:val="18"/>
          <w:szCs w:val="18"/>
        </w:rPr>
      </w:pPr>
      <w:r w:rsidRPr="006902AE">
        <w:rPr>
          <w:rFonts w:ascii="Tahoma" w:eastAsia="Times New Roman" w:hAnsi="Tahoma" w:cs="Tahoma"/>
          <w:b/>
          <w:bCs/>
          <w:color w:val="434343"/>
          <w:sz w:val="18"/>
          <w:szCs w:val="18"/>
          <w:rtl/>
        </w:rPr>
        <w:t>التاريخ</w:t>
      </w:r>
      <w:r w:rsidRPr="006902AE">
        <w:rPr>
          <w:rFonts w:ascii="Tahoma" w:eastAsia="Times New Roman" w:hAnsi="Tahoma" w:cs="Tahoma"/>
          <w:color w:val="434343"/>
          <w:sz w:val="18"/>
          <w:szCs w:val="18"/>
        </w:rPr>
        <w:t>:</w:t>
      </w:r>
    </w:p>
    <w:p w:rsidR="006902AE" w:rsidRPr="006902AE" w:rsidRDefault="006902AE" w:rsidP="006902AE">
      <w:pPr>
        <w:shd w:val="clear" w:color="auto" w:fill="F3F3F2"/>
        <w:spacing w:after="30" w:line="240" w:lineRule="atLeast"/>
        <w:rPr>
          <w:rFonts w:ascii="Tahoma" w:eastAsia="Times New Roman" w:hAnsi="Tahoma" w:cs="Tahoma"/>
          <w:color w:val="434343"/>
          <w:sz w:val="18"/>
          <w:szCs w:val="18"/>
        </w:rPr>
      </w:pPr>
      <w:r w:rsidRPr="006902AE">
        <w:rPr>
          <w:rFonts w:ascii="Tahoma" w:eastAsia="Times New Roman" w:hAnsi="Tahoma" w:cs="Tahoma"/>
          <w:color w:val="434343"/>
          <w:sz w:val="18"/>
          <w:szCs w:val="18"/>
        </w:rPr>
        <w:t>11/01/2018</w:t>
      </w:r>
    </w:p>
    <w:p w:rsidR="006902AE" w:rsidRPr="006902AE" w:rsidRDefault="006902AE" w:rsidP="006902AE">
      <w:pPr>
        <w:shd w:val="clear" w:color="auto" w:fill="F3F3F2"/>
        <w:spacing w:after="0" w:line="240" w:lineRule="atLeast"/>
        <w:rPr>
          <w:rFonts w:ascii="Tahoma" w:eastAsia="Times New Roman" w:hAnsi="Tahoma" w:cs="Tahoma"/>
          <w:color w:val="434343"/>
          <w:sz w:val="18"/>
          <w:szCs w:val="18"/>
        </w:rPr>
      </w:pPr>
      <w:r w:rsidRPr="006902AE">
        <w:rPr>
          <w:rFonts w:ascii="Tahoma" w:eastAsia="Times New Roman" w:hAnsi="Tahoma" w:cs="Tahoma"/>
          <w:b/>
          <w:bCs/>
          <w:color w:val="434343"/>
          <w:sz w:val="18"/>
          <w:szCs w:val="18"/>
          <w:rtl/>
        </w:rPr>
        <w:t>رقم الجريدة الرسمية</w:t>
      </w:r>
      <w:r w:rsidRPr="006902AE">
        <w:rPr>
          <w:rFonts w:ascii="Tahoma" w:eastAsia="Times New Roman" w:hAnsi="Tahoma" w:cs="Tahoma"/>
          <w:color w:val="434343"/>
          <w:sz w:val="18"/>
          <w:szCs w:val="18"/>
        </w:rPr>
        <w:t>:</w:t>
      </w:r>
    </w:p>
    <w:p w:rsidR="006902AE" w:rsidRPr="006902AE" w:rsidRDefault="006902AE" w:rsidP="006902AE">
      <w:pPr>
        <w:shd w:val="clear" w:color="auto" w:fill="F3F3F2"/>
        <w:spacing w:after="30" w:line="240" w:lineRule="atLeast"/>
        <w:rPr>
          <w:rFonts w:ascii="Tahoma" w:eastAsia="Times New Roman" w:hAnsi="Tahoma" w:cs="Tahoma"/>
          <w:color w:val="434343"/>
          <w:sz w:val="18"/>
          <w:szCs w:val="18"/>
        </w:rPr>
      </w:pPr>
      <w:r w:rsidRPr="006902AE">
        <w:rPr>
          <w:rFonts w:ascii="Tahoma" w:eastAsia="Times New Roman" w:hAnsi="Tahoma" w:cs="Tahoma"/>
          <w:color w:val="434343"/>
          <w:sz w:val="18"/>
          <w:szCs w:val="18"/>
        </w:rPr>
        <w:t>3348</w:t>
      </w:r>
    </w:p>
    <w:p w:rsidR="006902AE" w:rsidRPr="006902AE" w:rsidRDefault="006902AE" w:rsidP="006902AE">
      <w:pPr>
        <w:shd w:val="clear" w:color="auto" w:fill="FFFFFF"/>
        <w:spacing w:line="240" w:lineRule="atLeast"/>
        <w:rPr>
          <w:rFonts w:ascii="Tahoma" w:eastAsia="Times New Roman" w:hAnsi="Tahoma" w:cs="Tahoma"/>
          <w:color w:val="434343"/>
          <w:sz w:val="18"/>
          <w:szCs w:val="18"/>
        </w:rPr>
      </w:pPr>
      <w:r w:rsidRPr="006902AE">
        <w:rPr>
          <w:rFonts w:ascii="Tahoma" w:eastAsia="Times New Roman" w:hAnsi="Tahoma" w:cs="Tahoma"/>
          <w:noProof/>
          <w:color w:val="434343"/>
          <w:sz w:val="18"/>
          <w:szCs w:val="18"/>
        </w:rPr>
        <w:drawing>
          <wp:inline distT="0" distB="0" distL="0" distR="0">
            <wp:extent cx="381000" cy="333375"/>
            <wp:effectExtent l="0" t="0" r="0" b="9525"/>
            <wp:docPr id="1" name="Picture 1" descr="http://www.legalaffairs.gov.bh/images/pdf-arabic.png">
              <a:hlinkClick xmlns:a="http://schemas.openxmlformats.org/drawingml/2006/main" r:id="rId4" tgtFrame="&quot;_blank&quot;" tooltip="&quot;Open Arabic version of legisl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legalaffairs.gov.bh/images/pdf-arabic.png">
                      <a:hlinkClick r:id="rId4" tgtFrame="&quot;_blank&quot;" tooltip="&quot;Open Arabic version of legislation&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33375"/>
                    </a:xfrm>
                    <a:prstGeom prst="rect">
                      <a:avLst/>
                    </a:prstGeom>
                    <a:noFill/>
                    <a:ln>
                      <a:noFill/>
                    </a:ln>
                  </pic:spPr>
                </pic:pic>
              </a:graphicData>
            </a:graphic>
          </wp:inline>
        </w:drawing>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Pr>
      </w:pPr>
      <w:r w:rsidRPr="006902AE">
        <w:rPr>
          <w:rFonts w:ascii="Arial" w:eastAsia="Times New Roman" w:hAnsi="Arial" w:cs="Arial"/>
          <w:b/>
          <w:bCs/>
          <w:color w:val="434343"/>
          <w:sz w:val="28"/>
          <w:szCs w:val="28"/>
          <w:shd w:val="clear" w:color="auto" w:fill="FFFFFF"/>
          <w:rtl/>
        </w:rPr>
        <w:lastRenderedPageBreak/>
        <w:t>قانون رقم (1) لسنة 2018</w:t>
      </w:r>
      <w:r w:rsidRPr="006902AE">
        <w:rPr>
          <w:rFonts w:ascii="Arial" w:eastAsia="Times New Roman" w:hAnsi="Arial" w:cs="Arial"/>
          <w:b/>
          <w:bCs/>
          <w:color w:val="434343"/>
          <w:sz w:val="28"/>
          <w:szCs w:val="28"/>
          <w:shd w:val="clear" w:color="auto" w:fill="FFFFFF"/>
          <w:rtl/>
        </w:rPr>
        <w:br/>
        <w:t>بتعديل بعض أحكام قانون الشركات التجارية</w:t>
      </w:r>
      <w:r w:rsidRPr="006902AE">
        <w:rPr>
          <w:rFonts w:ascii="Arial" w:eastAsia="Times New Roman" w:hAnsi="Arial" w:cs="Arial"/>
          <w:b/>
          <w:bCs/>
          <w:color w:val="434343"/>
          <w:sz w:val="28"/>
          <w:szCs w:val="28"/>
          <w:shd w:val="clear" w:color="auto" w:fill="FFFFFF"/>
          <w:rtl/>
        </w:rPr>
        <w:br/>
        <w:t>الصادر بالمرسوم بقانون رقم (21) لسنة 2001</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نحن حمد بن عيسى آل خليفة     ملك مملكة البحرين.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بعد الاطلاع على الدستور، وعلى الأخص المادة (87) منه،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وعلى قانون الإثبات في المواد المدنية والتجارية الصادر بالمرسوم بقانون رقم (14) لسنة 1996 وتعديلاته،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وعلى قانون الشركات التجارية الصادر بالمرسوم بقانون رقم (21) لسنة 2001 وتعديلاته،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وعلى قانون مصرف البحرين المركزي والمؤسسات المالية الصادر بالقانون رقم (64) لسنة 2006 وتعديلاته،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أقرَّ مجلس الشورى ومجلس النواب القانون الآتي نصُّه، وقد صدَّقنا عليه وأصدرناه:</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المادة الأولى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تُستبدَل بنصوص المواد: (18 مكرراً 1)، (27)، (172)، (173)، (175 الفقرة الثانية)، (176)، (185)، (187)، (189)، (193 فقرة أ)، (198)، (199 فقرة أ)، (202)، (207)، (210)، (215)، (240)، (242)، (278)، (283)، (284 فقرة أ)، (285)، (286 فقرة ج)، (298)، (345 فقرة د)، (348 فقرة ب)، (358 مكرراً1 فقرة ب)، (361 صدر المادة)، (361 فقرة د) و(362 صدر المادة) من قانون الشركات التجارية الصادر بالمرسوم بقانون رقم (21) لسنة 2001، النصوص التالية: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(18 مكرراً 1):</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مع مراعاة أحكام ميثاق إدارة وحوكمة الشركات، يجوز للشريك أن يكون شريكاً في أكثر من شركة منافِسة دون أن يتدخل في إدارة أكثر من واحدة منها، وذلك ما لم ينص عقد الشركة أو نظامها الأساسي على خلاف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(27):</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يتكون اسم شركة التضامن من أسماء جميع الشركاء أو من اسم واحد منهم أو أكثر مع إضافة (وشركاه) أو ما يفيد هذا المعنى، كما يجوز أن يتكون اسم هذه الشركة بأية طريقة أخرى تقبلها الوزارة المعنية بشئون التجارة، ويجب أن يتبع اسم الشركة أينما وَرَد عبارة (شركة تضامن بحرينية)، وأن يكون اسم الشركة متفقاً دائماً مع هيئتها القائمة.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(172):</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 xml:space="preserve">يتولى إدارة الشركة مجلس إدارة يبيِّن نظام الشركة طريقة تكوينه ومدته. ولا يجوز أن يقل عدد أعضائه عن خمسة أعضاء، كما لا يجوز أن تزيد مدة العضوية فيه على ثلاث سنوات قابلة للتجديد. ويُراعى أن </w:t>
      </w:r>
      <w:r w:rsidRPr="006902AE">
        <w:rPr>
          <w:rFonts w:ascii="Arial" w:eastAsia="Times New Roman" w:hAnsi="Arial" w:cs="Arial"/>
          <w:color w:val="434343"/>
          <w:sz w:val="28"/>
          <w:szCs w:val="28"/>
          <w:shd w:val="clear" w:color="auto" w:fill="FFFFFF"/>
          <w:rtl/>
        </w:rPr>
        <w:lastRenderedPageBreak/>
        <w:t>يشتمل المجلس على عدد من الأعضاء المستقلين وغير التنفيذيين، وذلك وفقاً للضوابط التي يحدِّدها قرار من مصرف البحرين المركزي بالنسبة للشركات المرخَّص لها من قِبَله ومن الوزير المعني بشئون التجارة بالنسبة للشركات الأخرى.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ويجوز بقرار مسبَّب من مصرف البحرين المركزي بالنسبة للشركات المرخَّص لها من قِبَله أو من الوزير المعني بشئون التجارة بالنسبة للشركات الأخرى - بحسب الأحوال - تمديد مدة مجلس الإدارة بما لا يزيد على ستة أشهر، وذلك بناءً على طلب مسبَّب من مجلس الإدارة.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(173):</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يجب أن تتوافر في عضو مجلس الإدارة الشروط التالية: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أن يكون متمتعاً بأهلية التصرف.</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ألا يكون قد سبق الحكم عليه في جريمة تَفَالُس بالتقصير أو بالتدليس، أو جريمة مخلَّة بالشرف أو الأمانة، أو في جريمة بسبب مخالفته لأحكام هذا القانون، ما لم يكن قد رُدَّ إليه اعتباره.</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ألا يكون محظوراً عليه تولِّي عضوية مجلس إدارة شركة مساهمة وفقاً لأحكام هذا القانون أو أي قانون آخر معمول به في المملكة.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‌د)</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بالنسبة لرئيس مجلس الإدارة أو نائبه، ألا يجمع بين هذا المنصب ومنصب المدير الأعلى رتبة في الشركة.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‌ه)</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الشروط التي يصدر بتحديدها قرار من الوزير المعنِي بشئون التجارة، بالنسبة للأعضاء المستقلين وغير التنفيذيين والتنفيذيين في مجالس إدارات الشركات غير المرخَّص لها من قِبَل مصرف البحرين المركزي.</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الشروط التي يصدر بتحديدها قرار من مصرف البحرين المركزي، بالنسبة للأعضاء المستقلين وغير التنفيذيين والتنفيذيين في مجالس إدارات الشركات المرخَّص لها من قِبَل المصرف، وذلك مع عدم الإخلال بأحكام المادة (65) من قانون مصرف البحرين المركزي والمؤسسات المالية.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‌ز)</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أية شروط أخرى ينص عليها عقد تأسيس الشركة أو نظامها الأساسي.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(175 الفقرة الثانية):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وفي جميع الأحوال، يُراعى في تشكيل مجلس إدارة الشركة أحكام النظام الأساسي للشركة والضوابط المشار إليها في الفقرة الأولى من المادة (172) من هذا القانون.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(176):</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تنتخب الجمعية العامة أعضاء مجلس الإدارة بالتصويت التراكمي السري.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ويُقصَد بالتصويت التراكمي أن يكون لكل مساهم عدد من الأصوات يساوي عدد الأسهم التي يملكها، ويكون له الحق في التصويت بها لمرشح واحد أو توزيعها على مَن يختارهم من المرشحين.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ومع مراعاة أحكام قانون مصرف البحرين المركزي والمؤسسات المالية، يجوز بالنسبة لأعضاء مجلس الإدارة الأول أن يُشترَط في نظام الشركة انتخاب عدد لا يتجاوز نصف أعضائه من بين مؤسِّسي الشركة.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(185):</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تقوم مسئولية رئيس وأعضاء مجلس الإدارة ومديري الشركة تجاه الشركة والمساهمين والغير وفقاً لأحكام المادة (18 مكرراً) من هذا القانون، وكل شرط يقضي بغير ذلك يُعتبَر كأنْ لم يكن. ولا يحول دون إقامة دعوى المسئولية قِبَل أيٍّ من الأشخاص المشار إليهم اقتراع من الجمعية العامة بإبراء ذمته.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(187):</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مع مراعاة أحكام الفقرتين (ب) و(ج) من هذه المادة، يكون رفْع دعوى المسئولية على رئيس وأعضاء مجلس الإدارة والمديرين عن الأضرار التي تلحق بالشركة في أيٍّ من الحالات الواردة في الفقرة (أ) من المادة (18 مكرراً) من هذا القانون من حق الشركة. ويجب أن يصدر قرار من الجمعية العامة برفْع الدعوى، على أن يتولاها رئيس مجلس الإدارة. وإذا كان رئيس مجلس الإدارة ممن تخاصمهم الشركة، وجَبَ أن تعيِّن الجمعية العامة عضواً آخر من مجلس الإدارة لإقامة الدعوى. وإذا كانت الدعوى موجَّهة إلى جميع أعضاء مجلس الإدارة، وجَبَ أن تعيِّن الجمعية العامة مَن ينوب عنها من غير أعضاء المجلس في رفْع الدعوى.</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لكل مساهم أن يرفع دعوى المسئولية منفرداً ضد مجلس إدارة الشركة في حالة عدم قيام الشركة برفْعها وفقاً لأحكام الفقرة (أ) من هذه المادة، إذا كان من شأن الخطأ إلحاق ضرر خاص به كمساهم، وذلك بعد قيامه بإخطار الشركة بموجب كتاب مسجَّل مصحوب بعِلْم الوصول بعزمه على رفْع الدعوى قبل رفْعها بثلاثين يوماً على الأقل. ويقع باطلاً كل شرط في نظام الشركة يقضي بغير ذلك. ويجوز للمساهم أن يطلب أثناء نظر الدعوى إلزام المدعى عليه أو الغير بتقديم ما تحت يده من أيَّة محرَّرات أو فئات منها تكون ذات صلة بموضوع الدعوى.</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في حالة إفلاس الشركة، يكون الحق في رفْع دعوى المسئولية المشار إليها في الفقرة (أ) من هذه المادة من حق أمين التفليسة. وإذا كانت الشركة في دور التصفية، تولَّى المصفِّي رفْع الدعوى دون الحاجة لقرار من الجمعية العامة.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(189):</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يجب على كلٍّ من رئيس وأعضاء مجلس الإدارة أن يبلغ المجلس بما له من مصلحة شخصية مباشرة أو غير مباشرة في المسائل المعروضة على المجلس، مع بيانٍ وافٍ عن تفاصيل هذه المصلحة يشمل كافة الأمور الجوهرية الخاصة بها، ولا يجوز له الاشتراك في المداولة أو حضور الاجتماع أو التصويت على القرارات الصادرة في هذا الشأن، ويُثبَت التبليغ في محضر الجلسة.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لا يجوز أن يكون لأيٍّ من رئيس أو أعضاء مجلس إدارة الشركة أو لأيٍّ من مديريها أيَّة مصلحة شخصية مباشرة أو غير مباشرة في العقود والتصرفات التي تكون الشركة طرفاً فيها إلا بموافقة من مجلس الإدارة. ويجوز لمصرف البحرين المركزي وضْع ضوابط إضافية أخرى بشأن الموافقة على العقود والتصرفات المشار إليها إذا كانت الشركة من الشركات المرخَّص لها من قِبَله.</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على رئيس مجلس الإدارة أن يبلغ الجمعية العامة بنتائج العقود والتصرفات التي تمت الموافقة عليها وفقاً لأحكام الفقرة (ب) من هذه المادة، وذلك في أول اجتماع تالٍ لتنفيذ العقد أو إتمام التصرف. ويجب أن يكون التبليغ مصحوباً بتقرير خاص من مدقِّق الحسابات الخارجي، وعلى الشركة أن تفصح عن هذه العقود والتصرفات في بياناتها المالية وتقريرها السنوي، ويشمل الإفصاح تفاصيل تلك العقود والتصرفات وطبيعة ومدى المصلحة وصاحب المصلحة سواء كان الرئيس أو عضو مجلس الإدارة أو المدير.</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‌د)</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مع عدم الإخلال بحقوق الغير حسن النية، يترتب على مخالفة الحظْر المشار إليه في الفقرة (ب) من هذه المادة جواز المطالبة ببطلان العقد أو التصرف إذا كانت شروطه غير عادلة أو كان ينطوي على تَعارُض في المصالح، وإلزام المخالف بالتعويض وأن يردَّ إلى الشركة أيَّ ربح أو منفعة تحققت له من المخالفة. ودون الإخلال بأحكام الفقرة (ب) من المادة (18 مكرراً) والمادة (186) من هذا القانون، يُسأل مجلس الإدارة بالتضامن مع صاحب المصلحة المخالف عن كل ذلك، إذا كان قد صرَّح بالمخالفة المشار إليها أو كان يعلم أو من شأنه أن يعلم بها.</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‌ه)</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يجوز للمساهمين الحائزين على ما لا يقل عن 10% من رأسمال الشركة الاطلاع على الأوراق والمستندات المتعلقة بالعقود أو التصرفات المشار إليها في الفقرة (ب) من هذه المادة والحصول على صور أو مستخرجات منها.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(193 فقرة أ):</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لا يجوز تعيين أو انتخاب أيِّ شخص عضواً بمجلس الإدارة إلا بعد أن يُقِرَّ كتابة بقبول الترشيح، على أن يتضمن الإقرار الإفصاح عن أيِّ عملٍ يقوم به بصورة مباشرة أو غير مباشرة يشكِّل منافسةً للشركة، وأسماء الشركات والجهات التي يزاول العمل فيها أو يشغل عضوية مجالس إداراتها.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(198):</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تنعقد الجمعية العامة العادية للمساهمين بدعوة من رئيس مجلس الإدارة في الزمان والمكان اللذَين يعيِّنهما نظام الشركة. ويجب أن تُعقَد الجمعية العامة مرة واحدة على الأقل في السنة، على أن يكون ذلك خلال الشهور الثلاثة التالية لنهاية السنة المالية للشركة.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على مجلس الإدارة دعوة الجمعية العامة العادية إلى الانعقاد إذا طلب ذلك مدقِّق الحسابات أو عدد من المساهمين يمثل 10٪ من رأسمال الشركة.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يجوز للوزارة المعنية بشئون التجارة أن تدعوَ الجمعية العامة العادية إلى الانعقاد، في أيٍّ من الحالات التالية: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1)</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انقضى شهر على الموعد المحدَّد لانعقاد الجمعية العامة دون أن تُدعى إلى الانعقاد.</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2)</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نقص عدد أعضاء مجلس الإدارة عن الحد الأدنى اللازم لصحة انعقاده.</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3)</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لم يقُم مجلس الإدارة بدعوة الجمعية العامة إلى الانعقاد خلال شهر من اليوم التالي لتاريخ الطلب المقدَّم إليه وفق الفقرة (ب) من هذه المادة.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4)</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ارتأى الوزير المعنِي بشئون التجارة ما يستوجب دعوة الجمعية العامة للانعقاد، وأصدر قراراً مسبَّباً بذلك.</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5)</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طلبت الجهة المختصة بالرقابة على نشاط الشركة في الأحوال التي لا تكون الوزارة المعنية بالتجارة الجهة المختصة بذلك.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(199 فقرة أ):</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تُعلَن دعوة المساهمين لانعقاد الجمعية العامة في جريدتين يوميتين على الأقل تصدران باللغة العربية، على أن تكون إحداهما محلية، وذلك قبل الموعد المحدَّد للانعقاد بواحد وعشرين يوماً على الأقل، ويجب أن يكون الإعلان مشتملاً على جدول الأعمال.</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(202):</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للوزارة المعنية بشئون التجارة أن تندب مندوباً عنها لحضور الجمعيات العامة، ولا يكون له صوت معدود في المداولات، ويقدم تقريراً بملاحظاته إلى الوزارة، ويصدر قرار من الوزير المعني بشئون التجارة – بعد موافقة مجلس الوزراء - بتحديد رسم حضور مندوب الوزارة الاجتماعات.</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ولمصرف البحرين المركزي أن يندب أحد موظفيه لحضور الجمعيات العامة بالنسبة للشركات الخاضعة لرقابته، ولا يكون له صوت معدود في المداولات.</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(207):</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لا يجوز للجمعية العامة مناقشة موضوعات غير مدرجة في جدول الأعمال إلا في الأحوال التالية: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1)</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كانت من الأمور العاجلة التي طرأت بعد إعداد هذا الجدول.</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2)</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تكشَّفت أثناء الاجتماع.</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3)</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 xml:space="preserve">إذا قُدِّم طلب كتابي بإدراجها في جدول الأعمال إلى مجلس الإدارة قبل خمسة أيام عمل على الأقل من الموعد المحدَّد لانعقاد الجمعية العامة من قِبَل الجهة المختصة بالرقابة على نشاط الشركة، أو </w:t>
      </w:r>
      <w:r w:rsidRPr="006902AE">
        <w:rPr>
          <w:rFonts w:ascii="Arial" w:eastAsia="Times New Roman" w:hAnsi="Arial" w:cs="Arial"/>
          <w:color w:val="434343"/>
          <w:sz w:val="28"/>
          <w:szCs w:val="28"/>
          <w:shd w:val="clear" w:color="auto" w:fill="FFFFFF"/>
          <w:rtl/>
        </w:rPr>
        <w:lastRenderedPageBreak/>
        <w:t>أحد الأشخاص العامة المساهمة في الشركة، أو مدقِّق الحسابات، أو عدد من المساهمين يملكون 5٪ على الأقل من رأسمال الشركة.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إذا تبيَّن أثناء المناقشة عدم كفاية المعلومات المتعلقة ببعض المسائل المعروضة على الجمعية العامة، تعيَّن تأجيل الاجتماع لمدة عشرة أيام عمل على الأكثر إذا طلب ذلك عدد من المساهمين يملكون ربع الأسهم التي انعقد بها الاجتماع.</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يجب على مجلس الإدارة عرْض القرار الصادر عن الجمعية العامة في الأمور العاجلة التي طرأت على الوزارة المعنية بشئون التجارة أو مصرف البحرين المركزي بالنسبة للشركات المرخَّص لها من قِبَله، بحسب الأحوال، وذلك خلال خمسة أيام عمل من اليوم التالي لتاريخ انعقادها.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(210):</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تختص الجمعية العامة غير العادية بالأمور الآتية: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تعديل عقد التأسيس أو النظام الأساسي، أو إطالة مدة الشركة.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‌تخفيض رأس المال، أو زيادته بما في ذلك إصدار أسهم جديدة.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التصرف فيما تجاوز قيمته نصف أصول الشركة، بمراعاة أحكام المادة (194 مكرراً) من هذا القانون.</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‌د)</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‌بيْع كل المشروع الذي قامت من أجله الشركة أو التصرف فيه بأيِّ وجه آخر.</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‌ه)</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حل الشركة أو تحَوُّلُها أو إدماجها في شركة أخرى.</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أية أمور أخرى منصوص عليها في هذا القانون.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ولا يجوز للجمعية العامة غير العادية إجراء تعديلات في عقد التأسيس أو النظام الأساسي للشركة يكون من شأنها تغيير جنسيتها أو نقل مركزها الرئيسي إلى خارج المملكة أو زيادة أعباء المساهمين بخلاف زيادة رأس المال. ويعتبر باطلاً كل نص يقضي بغير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(215):</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يجوز للمساهم إقامة دعوى البطلان، والمطالبة بالتعويض إن كان له مقتضى، بشأن أيِّ قرار يصدر عن الجمعية العامة العادية أو غير العادية إذا كان مخالفاً للقانون أو النظام العام أو عقد تأسيس الشركة أو نظامها الأساسي. ومع عدم الإخلال بحقوق الغير حسن النية، يترتب على الحكم بالبطلان اعتبار قرار الجمعية العامة كأنْ لم يكن. ويجب على مجلس الإدارة نشر حكم البطلان في إحدى الجرائد اليومية المحلية.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يجوز للمساهم أن يطلب أثناء نظر دعوى البطلان المشار إليها في الفقرة (أ) من هذه المادة إلزام المدعى عليه أو الغير بتقديم ما تحت يده من أيَّة محرَّرات أو فئات منها تكون ذات صلة بموضوع الدعوى.</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لا تُسمع دعوى البطلان المشار إليها في الفقرة (أ) من هذه المادة بمُضِيِّ ستين يوماً من تاريخ عِلْم المساهم بقرار الجمعية أو سنة من تاريخ صدوره، أي المدتين تنقضي أولاً. ولا يترتب على رفْع الدعوى وقْف تنفيذ القرار ما لم تأمر المحكمة بغير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(240):</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يتولى إدارة الشركة مجلس إدارة يبيِّن نظام الشركة طريقة تكوينه ومدته، ولا يجوز أن يقل عدد أعضائه عن ثلاثة أعضاء، كما لا يجوز أن تزيد مدة العضوية فيه على ثلاث سنوات قابلة للتجديد. ويراعى أن يشتمل المجلس على عدد من الأعضاء المستقلين وغير التنفيذيين، وذلك بالنسبة للشركات المساهمة المقفلة المدرجة في سوق الأوراق المالية، والشركات المساهمة المقفلة الأخرى التي يصدر بتحديد فئاتها قرار من الوزير المعنِي بشئون التجارة أو من مصرف البحرين المركزي، بحسب الأحوال.</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يجب أن تتوافر في عضو مجلس الإدارة الشروط الآتية: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1)</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أن يكون متمتعاً بأهليَّة التصرف.</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2)</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ألا يكون قد سبق الحكم عليه في جريمة تَفَالُس بالتقصير أو بالتدليس، أو في جريمة مخلَّة بالشرف أو الأمانة، أو في جريمة بسبب مخالفته لأحكام هذا القانون، ما لم يكن قد رُدَّ إليه اعتباره.</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3)</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الشروط التي يصدر بتحديدها قرار من مصرف البحرين المركزي بالنسبة للأعضاء المستقلين وغير التنفيذيين والتنفيذيين في مجالس إدارات الشركات المرخص لها من قبل المصرف، وذلك مع عدم الإخلال بأحكام المادة (65) من قانون مصرف البحرين المركزي والمؤسسات المالية.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4)</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أية شروط أخرى ينص عليها عقد تأسيس الشركة أو نظامها الأساسي.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(242):</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توجَّه الدعوة لاجتماع الجمعية العامة بخطابات مسجَّلة بعِلْم الوصول، أو بأية طريقة أخرى تُثبِت واقعة العِلْم بزمان ومكان الاجتماع وجدول الأعمال، وذلك قبل موعد الاجتماع بواحد وعشرين يوماً على الأقل. ويجب أن تُعقَد الجمعية مرة واحدة على الأقل خلال الشهور الثلاثة التالية لنهاية السنة المالية بالنسبة للشركات المدرجة في سوق الأوراق المالية، والشركات المرخَّص لها من قِبَل مصرف البحرين المركزي، أو الشهور الستة التالية لنهاية السنة المالية بالنسبة لسائر الشركات الأخرى.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(278):</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 تقوم مسئولية مديري الشركة تجاه الشركة والشركاء والغير وفقاً لأحكام المادة (18 مكرراً) من هذا القانون، وكل شرط يقضي بغير ذلك يُعتبَر كأنْ لم يكن. ولا يحول دون إقامة دعوى المسئولية قِبَل المدير اقتراع من الجمعية العامة بإبراء ذمته.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(283):</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‌‌يكون للشركة ذات المسئولية المحدودة جمعية عامة تتكون من جميع الشركاء.</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تنعقد الجمعية العامة بدعوة من المديرين مرة على الأقل في السنة خلال الشهور الستة التالية لانتهاء السنة المالية للشركة.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تُدعى الجمعية العامة للانعقاد في كل وقت بناءً على طلب المديرين أو مجلس الرقابة أو مدقِّق الحسابات أو الوزارة المعنية بشئون التجارة أو عدد من الشركاء الحائزين على ما لا يقل عن 10% من رأس المال.</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‌د)</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‌توجَّه الدعوة لانعقاد الجمعية العامة بخطابات مسجَّلة بعِلْم الوصول أو بأيَّة طريقة أخرى تُثبِت واقعة العِلْم قبل موعد الاجتماع بواحد وعشرين يوماً على الأقل.</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‌ه)</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‌يجب أن تشتمل الدعوة لانعقاد الجمعية العامة على زمان ومكان الاجتماع وجدول الأعمال، على أن يتضمن هذا الجدول بوجه خاص تقارير المديرين ومدقِّق الحسابات ومجلس الرقابة إنْ وُجِد، والتصديق على الميزانية وحساب الأرباح والخسائر، والنظر في مقترحات المديرين بشأن توزيع الأرباح.</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ويجوز للشركاء الحائزين على ما لا يقل عن 5% من رأسمال الشركة طلب إدراج أيَّة مسألة في جدول الأعمال، ويُجاب الطلب ويُخطَر الشركاء بذلك إذا تم تقديمه كتابة خلال فترة لا تقل عن خمسة أيام عمل من التاريخ المحدَّد لانعقاد الجمعية العامة موقَّعاً عليه مِن قِبَل مَن قام بتقديمه من الشركاء ومدوَّناً فيه عدد الحصص التي يملكها كل منهم.</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ولا يجوز للجمعية العامة المداولة في غير الموضوعات المدرجة في جدول الأعمال، إلا إذا تكشَّفت بعد إعداد الجدول أو أثناء الاجتماع أمور عاجلة تقتضي المداولة فيها.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(284 فقرة أ):</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لكل شريك حق حضور اجتماع الجمعية العامة بنفسه أو عن طريق وكيل عنه بموجب توكيل رسمي، من غير أعضاء مجلس الرقابة أو مدير الشركة، ويكون لكل شريك عدد من الأصوات يعادل عدد الحصص التي يملكها في الشركة.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(285):</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لا يجوز تعديل عقد الشركة، ولا زيادة رأسمالها أو تخفيضه، إلا بقرار من الجمعية العامة للشركاء، يصدر بأغلبية الشركاء الحائزين لثلاثة أرباع رأسمالها، ما لم ينص عقد الشركة على نسبة أعلى. ومع ذلك لا يجوز زيادة التزامات الشركاء المالية أو إدخال شريك جديد إلا بموافقة الشركاء الإجماعية.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 xml:space="preserve">باستثناء الرَّهْن والحالات التي يكون فيها التصرف لشركة تابعة، لا يجوز في غير السياق المعتاد لأعمال الشركة إجراء أيِّ تصرف فيما تجاوِز قيمته نصف أصول الشركة إلا بعد إقراره من قبل الجمعية العامة للشركاء بأغلبية الشركاء الحائزين لثلاثة أرباع رأسمالها على الأقل، ما لم ينص عقد </w:t>
      </w:r>
      <w:r w:rsidRPr="006902AE">
        <w:rPr>
          <w:rFonts w:ascii="Arial" w:eastAsia="Times New Roman" w:hAnsi="Arial" w:cs="Arial"/>
          <w:color w:val="434343"/>
          <w:sz w:val="28"/>
          <w:szCs w:val="28"/>
          <w:shd w:val="clear" w:color="auto" w:fill="FFFFFF"/>
          <w:rtl/>
        </w:rPr>
        <w:lastRenderedPageBreak/>
        <w:t>الشركة على نسبة أعلى. ويجب أن تشتمل أوراق الدعوة للاجتماع على قدرٍ كافٍ من التفصيل عن التصرف وشروطه وأحكامه. ولأغراض هذه الفقرة، تشمل أصول الشركة أصول أية شركة تابعة.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(286 فقرة ج):</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 - على المديرين أن يرسلوا إلى الوزارة المعنية بشئون التجارة - خلال ستة أشهر من تاريخ انتهاء السنة المالية - صورةً من كلٍّ من الميزانية وحساب الأرباح والخسائر والتقرير السنوي وتقرير مدقِّق الحسابات، أو خطاباً موقَّعاً ومختوماً من مدقِّق الحسابات بشأن الوضع المالي للشركة وفقاً للأنموذج الذي تعتمده الوزارة. وفي حالة تجاوز خسارة الشركة نصف رأسمالها، يجب على المديرين أن يرسلوا إلى الوزارة صورة من تقرير مدقِّق الحسابات موقَّعاً ومختوماً منه.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وفي كل الأحوال، يجوز للوزارة المعنية بشئون التجارة أن تطلب أية بيانات مالية أو مستندات أو تقارير أو معلومات إضافية تراها ضرورية.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(298):</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الشركة القابضة هي شركة الهدف من تأسيسها تمَلُّك أسهم أو حصص في شركات بحرينية أو أجنبية، أو الاشتراك في تأسيس هذه الشركات.</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(345 فقرة د):</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د - يجوز للوزير المعنِي بشئون التجارة أن يعفيَ شركات ذات رأسمال أجنبي من الحد الأدنى لرأس المال المقرَّر وفقاً لأحكام هذا القانون، ويجوز لمجالس إدارة هذه الشركات وجمعياتها العامة العادية وغير العادية عقد اجتماعاتها خارج مملكة البحرين، على أن تلتزم في شأن اجتماعاتها بكافة الأحكام الواردة في هذا القانون.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(348 فقرة ب):</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 - يلتزم الفرع أو الوكيل أو المكتب بأن يودع لدى الوزارة المعنية بشئون التجارة نسخة من عقد تأسيس المركز الرئيسي وكل تعديل يجرى عليه، كما يلتزم بأن يودع نسخة من البيانات المالية المدققة للفرع أو الوكيل أو المكتب في البحرين خلال ستة أشهر من تاريخ انتهاء السنة المالية.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(358 مكرراً 1 فقرة ب):</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 - يسري ميثاق إدارة وحوكمة الشركات على جميع الشركات التجارية الخاضعة لأحكام هذا القانون، باستثناء الشركات المرخَّص لها من مصرف البحرين المركزي والخاضعة لمبادىء الحوكمة الصادرة عنه.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(361 صدر المادة):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مع عدم الإخلال بأيَّة عقوبة أشد يُنَص عليها في قانون العقوبات أو أيِّ قانون آخر، يعاقَب بالحبس وبغرامة لا تقل عن عشرة آلاف دينار بحريني ولا تزيد عن مائة ألف دينار بحريني أو بإحدى هاتين العقوبتين: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(361 فقرة د):</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د - كل عضو مجلس إدارة أو مدير أو مدقِّق حسابات شارك في إعداد أو اعتماد ميزانية، أو أرسل إلى الوزارة خطاباً طبقاً لأحكام المادة (244 مكرراً) أو الفقرة (ج) من المادة (286) من هذا القانون بالشكل الذي لا يعبِّر على الوجه الصحيح عن حقيقة المركز المالي للشركة، أو حساباً للأرباح والخسائر لا يعبِّر على الوجه الصحيح عن أرباح الشركة أو خسائرها عن السنة المالية، أو لم يرسل إلى الوزارة أياً من البيانات المالية أو المستندات أو التقارير أو الخطابات المطلوبة طبقاً لأحكام المادة (244 مكرراً) أو الفقرة (ج) من المادة (286) من هذا القانون.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(362 صدر المادة):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مع عدم الإخلال بأية عقوبة أشد يُنَص عليها في قانون العقوبات أو أيِّ قانون آخر، يعاقَب بغرامة لا تجاوز خمسين ألف دينار بحريني:</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المادة الثانية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تُضاف إلى قانون الشركات التجارية الصادر بالمرسوم بقانون رقم (21) لسنة 2001 مواد جديدة بأرقام: (120)، (168 مكرراً)، (184 مكرراً)، (194 مكرراً)، (215 مكرراً)، (236 مكرراً)، (241 مكرراً)، (241 مكرراً 1)، (244 مكرراً) و(288 مكرراً). ويُضاف إلى الفقرة (أ) من المادة (18 مكرراً) من ذات القانون بندان جديدان برقمي (8) و(9)، وإلى المادة (168) فقرة جديدة برقم (ح)، وإلى المادة (361) فقرة جديدة برقم (ك)، نصوصها كالآتي: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(120):</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يحظر تمَلُّك أسهم شركة المساهمة العامة من قِبَل أيَّة شركة تابعة لها.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ولأغراض هذا القانون ومع عدم الإخلال بأحكام قانون مصرف البحرين المركزي والمؤسسات المالية، تعَدُّ الشركة تابعة إذا كانت مسَيطَراً عليها بشكل مباشر أو غير مباشر من قِبَل الشركة الأم، من خلال ملكية الشركة الأم لِما يزيد على نصف رأسمالها أو ملكيتها لحقوق أو لقدْر من الأسهم أو الحصص فيها بما يمَكِّنها من السيطرة على قراراتها أو تشكيل مجلس إدارتها أو تعيين مديريها.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(168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للمساهم إقامة دعوى على الشركة لتحكم المحكمة بما تراه مناسباً، إذا كانت شئونها تُسيَّر أو تم تسييرها بشكل يضر على نحو غير عادل بمصالح المساهمين بوجه عام أو بمصالح مساهم أو أكثر، على أن يكون من بينهم المساهم صاحب الدعوى، أو إذا قامت الشركة أو عزمت على القيام بأيِّ عمل أو الامتناع عن أيِّ عمل يضر أو من شأنه إلحاق ضرر على النحو المشار إليه، ويشمل ذلك قيام الغير أو امتناعه أو عزمه القيام بأيٍّ مما تقدَّم نيابة عن الشركة.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(184 مكرراً):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تُشكَّل بقرار من مجلس الإدارة لجنة تدقيق تتولى مراجعة الممارسات المحاسبية والمالية للشركة والتدقيق المحاسبي وما يتصل به، ومدى الالتزام بأحكام القانون وأنظمة وسياسات الشركة، ويحدِّد ميثاق إدارة وحوكمة الشركات ضوابط تشكيل لجنة التدقيق واختصاصاتها ونظام عملها ومكافآت أعضائها.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للجنة التدقيق - في سبيل القيام بعملها - حق الاطلاع على سجلات الشركة ومستنداتها وأوراقها وحساباتها وطلب أيِّ إيضاح أو بيان من أعضاء مجلس الإدارة أو الإدارة التنفيذية.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يُدرَج ضمن التقرير السنوي بيان بأعمال لجنة التدقيق يراعى فيه أن يشتمل على التفاصيل المنصوص عليها في ميثاق إدارة وحوكمة الشركات.</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(194 مكرراً):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باستثناء الرَّهْن والحالات التي يكون فيها التصرف لشركة تابعة، لا يجوز في غير السياق المعتاد لأعمال الشركة إجراء أيِّ تصرف فيما تجاوِز قيمته نصف أصول الشركة إلا بموافقة مجلس الإدارة، وعرْض التصرف على الجمعية العامة غير العادية للموافقة عليه، وذلك مع مراعاة حكم الفقرة (ب) من هذه المادة. ويجب أن تشتمل أوراق الدعوة لاجتماع الجمعية العامة غير العادية على قدْرٍ كافٍ من التفصيل عن التصرف وشروطه وأحكامه. ولأغراض هذه الفقرة، تشمل أصول الشركة أصول أية شركة تابعة.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مع عدم الإخلال بأيَّة حقوق ترتبت لأيِّ طرف ثالث حسن النية، لا يُلزَم مجلس الإدارة بإتمام التصرف بعد موافقة الجمعية العامة غير العادية عليه وفقاً لأحكام الفقرة (أ) من هذه المادة إنْ وُجِد ما يسوِّغ ذلك. ويجب على مجلس الإدارة بيان أسباب عدم إتمام التصرف للجمعية العامة في أول اجتماع لها تالٍ على قرار مجلس الإدارة بعدم إتمامه.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(215 مكرراً):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يجوز للمساهم إقامة دعوى البطلان، والمطالبة بالتعويض إن كان له مقتضى، بشأن أيِّ قرار يصدر عن الجمعية العامة العادية أو غير العادية إذا كان لصالح فئة معينة من المساهمين أو لجلب نفع خاص لأعضاء مجلس الإدارة أو لغيرهم، أو صدر بقصد الإضرار بفئة معينة من المساهمين، أو فيه إجحاف بحقوق الأقلية دون اعتبار لمصلحة الشركة.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مع عدم الإخلال بحقوق الغير حسن النية، يترتب على الحكم بالبطلان وفقاً لأحكام الفقرة (أ) من هذه المادة، اعتبار القرار كأنْ لم يكن. وللمحكمة في غير حالات مخالفة أحكام القانون أن تؤيد القرار أو تعدِّله أو تلغيَه أو ترجئَ تنفيذه حتى تُجرَى تسوية مناسبة لشراء أسهم المعترضين بمراعاة الأحكام الخاصة بشراء الشركة لأسهمها.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‌ج)</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يجوز للمساهم أن يطلب أثناء نظر دعوى البطلان المشار إليها في الفقرة (أ) من هذه المادة إلزام المدعى عليه أو الغير بتقديم ما تحت يده من أيَّة محرَّرات أو فئات منها تكون ذات صلة بموضوع الدعوى.</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‌د)</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لا تُسمع دعوى البطلان المشار إليها في الفقرة (أ) من هذه المادة بمضي ستين يوماً من تاريخ عِلْم المساهم بقرار الجمعية أو مُضِيِّ سنة من تاريخ صدوره، أيُّ المدتين تنقضي أولاً. ولا يترتب على رفْع الدعوى وقْف تنفيذ القرار ما لم تأمر المحكمة بغير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(236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يُحظَر تمَلُّك أسهم الشركة المساهمة المقفلة المدرجة في سوق الأوراق المالية من قِبَل أيَّة شركة تابعة لها.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(241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 تُشكَّل بقرار من مجلس الإدارة لجنة تدقيق للشركات المساهمة المقفلة المدرجة في سوق الأوراق المالية والشركات المساهمة المقفلة الأخرى التي يصدر بتحديد فئاتها قرار من الوزير المعنِي بشئون التجارة.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(241 مكرراً 1):</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‌أ)</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باستثناء الرَّهْن والحالات التي يكون فيها التصرف لشركة تابعة، لا يجوز في غير السياق المعتاد لأعمال الشركات المساهمة المقفلة إجراء أيِّ تصرف فيما تُجاوِز قيمته نصف أصول الشركة إلا بموافقة مجلس الإدارة، وعرْض التصرف على الجمعية العامة غير العادية للموافقة عليه، وذلك مع مراعاة حكم الفقرة (ب) من هذه المادة. ويجب أن تشتمل أوراق الدعوة لاجتماع الجمعية العامة غير العادية على قدْرٍ كافٍ من التفصيل عن التصرف وشروطه وأحكامه. ولأغراض هذه الفقرة، تشمل أصول الشركة أصول أيَّة شركة تابعة.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rPr>
        <w:t>مع عدم الإخلال بأيَّة حقوق ترتبت لأيِّ طرف ثالث حسن النية، لا يُلزَم مجلس الإدارة بإتمام التصرف بعد الحصول على موافقة الجمعية العامة غير العادية عليه وفقاً لأحكام الفقرة (أ) من هذه المادة إنْ وُجِد ما يسوِّغ ذلك. ويجب على مجلس الإدارة بيان أسباب عدم إتمام التصرف للجمعية العامة غير العادية في أول اجتماع لها تالٍ على قرار مجلس الإدارة بعدم إتمامه.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(244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مع مراعاة أحكام قانون مصرف البحرين المركزي والمؤسسات المالية، يجب على مجلس الإدارة أن يرسل إلى الوزارة المعنية بشئون التجارة - خلال ستة أشهر من تاريخ انتهاء السنة المالية - صورةً من كلٍّ من الميزانية وحساب الأرباح والخسائر والتقرير السنوي وتقرير مدقق الحسابات، أو خطاباً موقَّعاً ومختوماً من مدقِّق الحسابات بشأن الوضع المالي للشركة وفقاً للنموذج الذي تعِدُّه الوزارة. وفي حالة تجاوز خسارة الشركة نصف رأسمالها، يجب على مجلس الإدارة أن يرسل إلى الوزارة صورة من تقرير مدقِّق الحسابات مُوَقَّعاً ومختوماً منه.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lastRenderedPageBreak/>
        <w:t>وفي كل الأحوال، يجوز للوزارة المعنية بشئون التجارة أن تطلب أيَّة بيانات مالية أو مستندات أو تقارير أو معلومات إضافية تراها ضرورية.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(288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يجب على الشركة توزيع الأرباح على الشركاء خلال فترة لا تجاوِز ثلاثين يوماً من تاريخ التصديق عليها من قِبَل الجمعية العامة.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(18 مكرراً فقرة أ البندان 8، 9):</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8- إذا تجاوز صلاحياته أو ارتكب أيَّ غش أو إهمال في أداء مهامه.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9- إذا لم يتصرف تصرُّف الشخص المُتَبَصِّر في مثل هذه الظروف.</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(168 فقرة ح):</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ح - سائر الحقوق المنصوص عليها في هذا القانون وعقد الشركة ونظامها الأساسي.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مادة (361 فقرة 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ك - كل مَن تعمَّد إثبات بيانات أو معلومات تخالف الحقيقة في أوراق ترَشُّحِه لعضوية مجلس إدارة شركة المساهَمة العامة، أو تعمَّد إخفاء بيانات أو معلومات كان يجب عليه الإفصاح عنها بموجب أحكام هذا القانون.</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المادة الثالثة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تُستبدَل عبارة (سوق الأوراق المالية) بعبارة (سوق البحرين للأوراق المالية)، وعبارة (مصرف البحرين المركزي) بعبارة (مؤسسة نقد البحرين)، أينما وردت في نصوص قانون الشركات التجارية الصادر بالمرسوم بقانون رقم (21) لسنة 2001.</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المادة الرابعة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تلغى الفقرة الثانية من المادة (109) من قانون الشركات التجارية الصادر بالمرسوم بقانون رقم (21) لسنة 2001.</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المادة الخامسة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يُعمل بأحكام المادة (176) من قانون الشركات التجارية الصادر بالمرسوم بقانون رقم (21) لسنة 2001 - المُستَبدَلة بمقتضى المادة الأولى من هذا القانون - اعتباراً من أول الشهر التالي لمُضِيِّ ستة أشهر على تاريخ نشر هذا القانون في الجريدة الرسمية.</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المادة السادسة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على رئيس مجلس الوزراء والوزراء - كل فيما يخصه - تنفيذ أحكام هذا القانون، ويُعمل به اعتباراً من اليوم التالي لتاريخ نشره في الجريدة الرسمية.</w:t>
      </w:r>
    </w:p>
    <w:p w:rsidR="006902AE" w:rsidRPr="006902AE" w:rsidRDefault="006902AE" w:rsidP="006902AE">
      <w:pPr>
        <w:bidi/>
        <w:spacing w:after="0" w:line="440" w:lineRule="atLeast"/>
        <w:jc w:val="righ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t>ملك مملكة البحرين</w:t>
      </w:r>
    </w:p>
    <w:p w:rsidR="006902AE" w:rsidRPr="006902AE" w:rsidRDefault="006902AE" w:rsidP="006902AE">
      <w:pPr>
        <w:bidi/>
        <w:spacing w:after="0" w:line="440" w:lineRule="atLeast"/>
        <w:jc w:val="righ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rPr>
        <w:lastRenderedPageBreak/>
        <w:t>حمد بن عيسى آل خليفة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صدر في قصر الرفاع:</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rPr>
        <w:t>بتاريخ: 17 ربيع الآخر 1439هـ</w:t>
      </w:r>
    </w:p>
    <w:p w:rsidR="006902AE" w:rsidRDefault="006902AE" w:rsidP="006902AE">
      <w:pPr>
        <w:bidi/>
        <w:spacing w:after="0" w:line="440" w:lineRule="atLeast"/>
        <w:rPr>
          <w:rFonts w:ascii="Arial" w:eastAsia="Times New Roman" w:hAnsi="Arial" w:cs="Arial"/>
          <w:color w:val="434343"/>
          <w:sz w:val="28"/>
          <w:szCs w:val="28"/>
          <w:shd w:val="clear" w:color="auto" w:fill="FFFFFF"/>
        </w:rPr>
      </w:pPr>
      <w:r w:rsidRPr="006902AE">
        <w:rPr>
          <w:rFonts w:ascii="Arial" w:eastAsia="Times New Roman" w:hAnsi="Arial" w:cs="Arial"/>
          <w:color w:val="434343"/>
          <w:sz w:val="28"/>
          <w:szCs w:val="28"/>
          <w:shd w:val="clear" w:color="auto" w:fill="FFFFFF"/>
          <w:rtl/>
        </w:rPr>
        <w:t>الموافق: 4 يناير 2018م</w:t>
      </w:r>
    </w:p>
    <w:p w:rsidR="006902AE" w:rsidRDefault="006902AE" w:rsidP="006902AE">
      <w:pPr>
        <w:bidi/>
        <w:spacing w:after="0" w:line="440" w:lineRule="atLeast"/>
        <w:rPr>
          <w:rFonts w:ascii="Arial" w:eastAsia="Times New Roman" w:hAnsi="Arial" w:cs="Arial"/>
          <w:color w:val="434343"/>
          <w:sz w:val="28"/>
          <w:szCs w:val="28"/>
          <w:shd w:val="clear" w:color="auto" w:fill="FFFFFF"/>
        </w:rPr>
      </w:pPr>
    </w:p>
    <w:p w:rsidR="006902AE" w:rsidRPr="006902AE" w:rsidRDefault="006902AE" w:rsidP="006902AE">
      <w:pPr>
        <w:shd w:val="clear" w:color="auto" w:fill="FFFFFF"/>
        <w:spacing w:after="0" w:line="270" w:lineRule="atLeast"/>
        <w:rPr>
          <w:rFonts w:ascii="Tahoma" w:eastAsia="Times New Roman" w:hAnsi="Tahoma" w:cs="Tahoma"/>
          <w:color w:val="C09331"/>
          <w:sz w:val="24"/>
          <w:szCs w:val="24"/>
        </w:rPr>
      </w:pPr>
      <w:r w:rsidRPr="006902AE">
        <w:rPr>
          <w:rFonts w:ascii="Tahoma" w:eastAsia="Times New Roman" w:hAnsi="Tahoma" w:cs="Tahoma"/>
          <w:color w:val="C09331"/>
          <w:sz w:val="24"/>
          <w:szCs w:val="24"/>
          <w:rtl/>
        </w:rPr>
        <w:t>مرسوم بقانون رقم (28) لسنة 2015 بتعديل بعض أحكام قانون الشركات التجارية الصادر بالمرسوم بقانون رقم (21) لسنة 2001</w:t>
      </w:r>
    </w:p>
    <w:p w:rsidR="006902AE" w:rsidRPr="006902AE" w:rsidRDefault="006902AE" w:rsidP="006902AE">
      <w:pPr>
        <w:shd w:val="clear" w:color="auto" w:fill="F3F3F2"/>
        <w:spacing w:after="0" w:line="240" w:lineRule="atLeast"/>
        <w:rPr>
          <w:rFonts w:ascii="Tahoma" w:eastAsia="Times New Roman" w:hAnsi="Tahoma" w:cs="Tahoma"/>
          <w:color w:val="434343"/>
          <w:sz w:val="18"/>
          <w:szCs w:val="18"/>
        </w:rPr>
      </w:pPr>
      <w:r w:rsidRPr="006902AE">
        <w:rPr>
          <w:rFonts w:ascii="Tahoma" w:eastAsia="Times New Roman" w:hAnsi="Tahoma" w:cs="Tahoma"/>
          <w:b/>
          <w:bCs/>
          <w:color w:val="434343"/>
          <w:sz w:val="18"/>
          <w:szCs w:val="18"/>
          <w:rtl/>
        </w:rPr>
        <w:t>التاريخ</w:t>
      </w:r>
      <w:r w:rsidRPr="006902AE">
        <w:rPr>
          <w:rFonts w:ascii="Tahoma" w:eastAsia="Times New Roman" w:hAnsi="Tahoma" w:cs="Tahoma"/>
          <w:color w:val="434343"/>
          <w:sz w:val="18"/>
          <w:szCs w:val="18"/>
        </w:rPr>
        <w:t>:</w:t>
      </w:r>
    </w:p>
    <w:p w:rsidR="006902AE" w:rsidRPr="006902AE" w:rsidRDefault="006902AE" w:rsidP="006902AE">
      <w:pPr>
        <w:shd w:val="clear" w:color="auto" w:fill="F3F3F2"/>
        <w:spacing w:after="30" w:line="240" w:lineRule="atLeast"/>
        <w:rPr>
          <w:rFonts w:ascii="Tahoma" w:eastAsia="Times New Roman" w:hAnsi="Tahoma" w:cs="Tahoma"/>
          <w:color w:val="434343"/>
          <w:sz w:val="18"/>
          <w:szCs w:val="18"/>
        </w:rPr>
      </w:pPr>
      <w:r w:rsidRPr="006902AE">
        <w:rPr>
          <w:rFonts w:ascii="Tahoma" w:eastAsia="Times New Roman" w:hAnsi="Tahoma" w:cs="Tahoma"/>
          <w:color w:val="434343"/>
          <w:sz w:val="18"/>
          <w:szCs w:val="18"/>
        </w:rPr>
        <w:t>08/10/2015</w:t>
      </w:r>
    </w:p>
    <w:p w:rsidR="006902AE" w:rsidRPr="006902AE" w:rsidRDefault="006902AE" w:rsidP="006902AE">
      <w:pPr>
        <w:shd w:val="clear" w:color="auto" w:fill="F3F3F2"/>
        <w:spacing w:after="0" w:line="240" w:lineRule="atLeast"/>
        <w:rPr>
          <w:rFonts w:ascii="Tahoma" w:eastAsia="Times New Roman" w:hAnsi="Tahoma" w:cs="Tahoma"/>
          <w:color w:val="434343"/>
          <w:sz w:val="18"/>
          <w:szCs w:val="18"/>
        </w:rPr>
      </w:pPr>
      <w:r w:rsidRPr="006902AE">
        <w:rPr>
          <w:rFonts w:ascii="Tahoma" w:eastAsia="Times New Roman" w:hAnsi="Tahoma" w:cs="Tahoma"/>
          <w:b/>
          <w:bCs/>
          <w:color w:val="434343"/>
          <w:sz w:val="18"/>
          <w:szCs w:val="18"/>
          <w:rtl/>
        </w:rPr>
        <w:t>رقم الجريدة الرسمية</w:t>
      </w:r>
      <w:r w:rsidRPr="006902AE">
        <w:rPr>
          <w:rFonts w:ascii="Tahoma" w:eastAsia="Times New Roman" w:hAnsi="Tahoma" w:cs="Tahoma"/>
          <w:color w:val="434343"/>
          <w:sz w:val="18"/>
          <w:szCs w:val="18"/>
        </w:rPr>
        <w:t>:</w:t>
      </w:r>
    </w:p>
    <w:p w:rsidR="006902AE" w:rsidRPr="006902AE" w:rsidRDefault="006902AE" w:rsidP="006902AE">
      <w:pPr>
        <w:shd w:val="clear" w:color="auto" w:fill="F3F3F2"/>
        <w:spacing w:after="30" w:line="240" w:lineRule="atLeast"/>
        <w:rPr>
          <w:rFonts w:ascii="Tahoma" w:eastAsia="Times New Roman" w:hAnsi="Tahoma" w:cs="Tahoma"/>
          <w:color w:val="434343"/>
          <w:sz w:val="18"/>
          <w:szCs w:val="18"/>
        </w:rPr>
      </w:pPr>
      <w:r w:rsidRPr="006902AE">
        <w:rPr>
          <w:rFonts w:ascii="Tahoma" w:eastAsia="Times New Roman" w:hAnsi="Tahoma" w:cs="Tahoma"/>
          <w:color w:val="434343"/>
          <w:sz w:val="18"/>
          <w:szCs w:val="18"/>
        </w:rPr>
        <w:t>3230(</w:t>
      </w:r>
      <w:r w:rsidRPr="006902AE">
        <w:rPr>
          <w:rFonts w:ascii="Tahoma" w:eastAsia="Times New Roman" w:hAnsi="Tahoma" w:cs="Tahoma"/>
          <w:color w:val="434343"/>
          <w:sz w:val="18"/>
          <w:szCs w:val="18"/>
          <w:rtl/>
        </w:rPr>
        <w:t>ملحق</w:t>
      </w:r>
      <w:r w:rsidRPr="006902AE">
        <w:rPr>
          <w:rFonts w:ascii="Tahoma" w:eastAsia="Times New Roman" w:hAnsi="Tahoma" w:cs="Tahoma"/>
          <w:color w:val="434343"/>
          <w:sz w:val="18"/>
          <w:szCs w:val="18"/>
        </w:rPr>
        <w:t>)</w:t>
      </w:r>
    </w:p>
    <w:p w:rsidR="006902AE" w:rsidRPr="006902AE" w:rsidRDefault="006902AE" w:rsidP="006902AE">
      <w:pPr>
        <w:shd w:val="clear" w:color="auto" w:fill="FFFFFF"/>
        <w:spacing w:line="240" w:lineRule="atLeast"/>
        <w:rPr>
          <w:rFonts w:ascii="Tahoma" w:eastAsia="Times New Roman" w:hAnsi="Tahoma" w:cs="Tahoma"/>
          <w:color w:val="434343"/>
          <w:sz w:val="18"/>
          <w:szCs w:val="18"/>
        </w:rPr>
      </w:pPr>
      <w:r w:rsidRPr="006902AE">
        <w:rPr>
          <w:rFonts w:ascii="Tahoma" w:eastAsia="Times New Roman" w:hAnsi="Tahoma" w:cs="Tahoma"/>
          <w:noProof/>
          <w:color w:val="434343"/>
          <w:sz w:val="18"/>
          <w:szCs w:val="18"/>
        </w:rPr>
        <w:drawing>
          <wp:inline distT="0" distB="0" distL="0" distR="0">
            <wp:extent cx="381000" cy="333375"/>
            <wp:effectExtent l="0" t="0" r="0" b="9525"/>
            <wp:docPr id="2" name="Picture 2" descr="http://www.legalaffairs.gov.bh/images/pdf-arabic.png">
              <a:hlinkClick xmlns:a="http://schemas.openxmlformats.org/drawingml/2006/main" r:id="rId6" tgtFrame="&quot;_blank&quot;" tooltip="&quot;Open Arabic version of legisl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egalaffairs.gov.bh/images/pdf-arabic.png">
                      <a:hlinkClick r:id="rId6" tgtFrame="&quot;_blank&quot;" tooltip="&quot;Open Arabic version of legislation&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33375"/>
                    </a:xfrm>
                    <a:prstGeom prst="rect">
                      <a:avLst/>
                    </a:prstGeom>
                    <a:noFill/>
                    <a:ln>
                      <a:noFill/>
                    </a:ln>
                  </pic:spPr>
                </pic:pic>
              </a:graphicData>
            </a:graphic>
          </wp:inline>
        </w:drawing>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Pr>
      </w:pPr>
      <w:r w:rsidRPr="006902AE">
        <w:rPr>
          <w:rFonts w:ascii="Arial" w:eastAsia="Times New Roman" w:hAnsi="Arial" w:cs="Arial"/>
          <w:b/>
          <w:bCs/>
          <w:color w:val="434343"/>
          <w:sz w:val="28"/>
          <w:szCs w:val="28"/>
          <w:shd w:val="clear" w:color="auto" w:fill="FFFFFF"/>
          <w:rtl/>
          <w:lang w:bidi="ar-BH"/>
        </w:rPr>
        <w:t>مرسوم بقانون رقم (28) لسنة 2015</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بتعديل بعض أحكام قانون الشركات التجارية</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الصادر بالمرسوم بقانون رقم (21) لسنة 2001</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نحن حمد بن عيسى آل خليفة              ملك مملكة البحرين.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بعد الاطلاع على الدستور، وعلى الأخص المادة (38) منه،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وعلى قانون الشركات التجارية الصادر بالمرسوم بقانون رقم (21) لسنة 2001، المعدل بالقانون رقم (50) لسنة 2014،</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وعلى قانون مصرف البحرين المركزي والمؤسسات المالية الصادر بالقانون رقم (64) لسنة 2006،</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وبناءًً على عرض رئيس مجلس الوزراء،</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وبعد موافقة مجلس الوزراء،</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رسمنا بالقانون الآتي:</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الأولى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يُستبدل بنصي المادتين (286 فقرة ج) و(361 فقرة د) من قانون الشركات التجارية الصادر بالمرسوم بقانون رقم (21) لسنة 2001 النصان الآتيان: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(286 فقرة ج):</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 xml:space="preserve">ج- على المديرين من جانب، ومدقق الحسابات من جانب آخر، أن يرسلوا إلى الوزارة المعنية بشئون التجارة - خلال ستة أشهر من تاريخ انتهاء السنة المالية - صورةً من كل من الميزانية وحساب الأرباح والخسائر والتقرير السنوي وتقرير مدقق الحسابات، أو خطاباً موقعاً ومختوماً من مدقق الحسابات بشأن الوضع المالي للشركة وفقاً للنموذج الذي تعده الوزارة. وفي حالة تجاوز خسارة الشركة نصف رأسمالها، </w:t>
      </w:r>
      <w:r w:rsidRPr="006902AE">
        <w:rPr>
          <w:rFonts w:ascii="Arial" w:eastAsia="Times New Roman" w:hAnsi="Arial" w:cs="Arial"/>
          <w:color w:val="434343"/>
          <w:sz w:val="28"/>
          <w:szCs w:val="28"/>
          <w:shd w:val="clear" w:color="auto" w:fill="FFFFFF"/>
          <w:rtl/>
          <w:lang w:bidi="ar-BH"/>
        </w:rPr>
        <w:lastRenderedPageBreak/>
        <w:t>يجب على المديرين ومدقق الحسابات أن يرسلوا إلى الوزارة صورة من تقرير مدقق الحسابات موقعاً ومختوماً منه.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وفي كل الأحوال، يجوز للوزارة المعنية بشئون التجارة أن تطلب أية بيانات مالية أو مستندات أو تقارير أو معلومات إضافية تراها ضرورية.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(361 فقرة د):</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كل عضو مجلس إدارة أو مدير أو مدقق حسابات شارك في إعداد أو اعتماد ميزانية أو أرسل إلى الوزارة خطاباً طبقاً لأحكام الفقرة (ج) من المادة (286) من هذا القانون بالشكل الذي لا يعبر على الوجه الصحيح عن حقيقة المركز المالي للشركة أو حساباً للأرباح والخسائر لا يعبر على الوجه الصحيح عن أرباح الشركة أو خسائرها عن السنة المالية، أو لم يرسل إلى الوزارة أي من البيانات المالية أو المستندات أو التقارير أو الخطابات المطلوبة طبقاً لأحكام الفقرة (ج) من المادة (286) من هذا القانون.</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الثانية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تُضاف إلى قانون الشركات التجارية الصادر بالمرسوم بقانون رقم (21) لسنة 2001 مواد جديدة بأرقام (18 مكرراً 1) و(345) و(345 مكرراً) نصوصها التالية: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(18 مكرراً 1):</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مع مراعاة أحكام ميثاق إدارة وحوكمة الشركات، يجوز للشريك أن يكون شريكاً في أكثر من شركة دون أن يتدخل في إدارة أكثر من شركة واحدة، وذلك ما لم ينص عقد الشركة أو نظامها الأساسي على خلاف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(345):</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استثناءً من أحكام أي قانون آخر، ومع مراعاة حكم الفقرة الثالثة من المادة (4) من هذا القانون ومراعاة أحكام قانون مصرف البحرين المركزي فيما يخص المؤسسات المالية، يجوز الترخيص بتأسيس شركات مما يُنصُ عليه في هذا القانون تكون مملوكة - كلياً أو جزئياً - لشركاء غير بحرينيين، لمزاولة أنشطة مما يقتصر الترخيص بمزاولتها على البحرينيين أو التي لا يجوز لغير البحريني مزاولتها دون شريك بحريني يملك غالبية الحصص في الشركة، أو لمزاولة أي من تلك الأنشطة تبعاً لمقدار رأسمال الشركة أو المناطق التي تتخذها مقراً لممارسة أعمالها.</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يصدر بتحديد الأنشطة المشار إليها في الفقرة (أ) من هذه المادة والتي يجوز لأي من الشركات ذات رأس المال الأجنبي مزاولتها قرار من مجلس الوزراء، بناءً على عرض الوزير المعني بشئون التجارة بعد التنسيق مع الوزير المعني بالجهة الإدارية التي يخضع مزاولة النشاط للترخيص من قبلها أو لرقابتها.</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‌ج)</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 xml:space="preserve">للوزير المعني بشئون التجارة أن يصدر – بعد موافقة مجلس الوزراء - قراراً يرخص بتأسيس شركة من الشركات ذات رأس المال الأجنبي لمزاولة نشاط محدد أو أكثر من غير الأنشطة المشار </w:t>
      </w:r>
      <w:r w:rsidRPr="006902AE">
        <w:rPr>
          <w:rFonts w:ascii="Arial" w:eastAsia="Times New Roman" w:hAnsi="Arial" w:cs="Arial"/>
          <w:color w:val="434343"/>
          <w:sz w:val="28"/>
          <w:szCs w:val="28"/>
          <w:shd w:val="clear" w:color="auto" w:fill="FFFFFF"/>
          <w:rtl/>
          <w:lang w:bidi="ar-BH"/>
        </w:rPr>
        <w:lastRenderedPageBreak/>
        <w:t>إليها في الفقرة (ب) من هذه المادة في الحالات التي يقدر فيها أن لتأسيس الشركة أهمية اقتصادية استراتيجية أو عائد مجزي لاقتصاد المملكة، وذلك بعد التنسيق مع الوزير المعني بالجهة الإدارية التي يخضع مزاولة النشاط للترخيص من قبلها أو لرقابتها، ووفقاً للضوابط والاشتراطات والإجراءات التي تبينها اللائحة التنفيذية.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‌د)</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تُعفى الشركات ذات رأس المال الأجنبي من الحد الأدنى لرأس المال المقرر قانوناً، ويجوز أن يكون رأسمال هذه الشركات بعملة غير بحرينية على أن يكون مقوماً بالعملة البحرينية، ويجوز لمجالس إداراتها وجمعياتها العامة العادية وغير العادية عقد اجتماعاتها خارج مملكة البحرين، على أن تلتزم في شأن اجتماعاتها بكافة الأحكام الواردة في هذا القانون.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(345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استثناءً من أحكام تأسيس الشركات المنصوص عليها في هذا القانون، يجوز تأسيس شركات غرضها ابتداءً أن تكون جاهزة لمباشرة أغراض تقررها الشركة ويرخص بمزاولتها في أي وقت لاحق بعد التأسيس، ولا يجوز لهذه الشركات مزاولة أي نشاط دون موافقة الجهات المختصة وقيد النشاط الذي يرخص به في السجل التجاري. ولأغراض هذا القانون، يُشار إلى هذه الشركات بالشركات الساكنة إلى أن يرخص لها بمزاولة أي نشاط، ويجب أن يتبع اسمها والعبارة الدالة على شكلها عبارة “شركة ساكنة”، واستثناءً من أي نص ورد في قانون آخر لا يُشطب قيد الشركة الساكنة لعدم مباشرتها لأي نشاط.</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وتبين اللائحة التنفيذية الأحكام الخاصة بالشركات الساكنة، بما لا يخل بأحكام هذا القانون.</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الثالثة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على رئيس مجلس الوزراء والوزراء - كل فيما يخصه - تنفيذ أحكام هذا القانون، ويُعمل به اعتباراً من اليوم التالي لتاريخ نشره في الجريدة الرسمية.</w:t>
      </w:r>
    </w:p>
    <w:p w:rsidR="006902AE" w:rsidRPr="006902AE" w:rsidRDefault="006902AE" w:rsidP="006902AE">
      <w:pPr>
        <w:bidi/>
        <w:spacing w:after="0" w:line="440" w:lineRule="atLeast"/>
        <w:jc w:val="righ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ملك مملكة البحرين</w:t>
      </w:r>
    </w:p>
    <w:p w:rsidR="006902AE" w:rsidRPr="006902AE" w:rsidRDefault="006902AE" w:rsidP="006902AE">
      <w:pPr>
        <w:bidi/>
        <w:spacing w:after="0" w:line="440" w:lineRule="atLeast"/>
        <w:jc w:val="righ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حمد بن عيسى آل خليفة</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رئيس مجلس الوزراء</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خليفة بن سلمان آل خليفة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صدر في قصر الرفاع:</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بتاريخ: 23 ذي الحجة 1436هـ</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الموافق: 7 أكتوبر 2015م</w:t>
      </w:r>
    </w:p>
    <w:p w:rsidR="006902AE" w:rsidRDefault="006902AE" w:rsidP="006902AE">
      <w:pPr>
        <w:bidi/>
        <w:spacing w:after="0" w:line="440" w:lineRule="atLeast"/>
        <w:rPr>
          <w:rFonts w:ascii="Calibri" w:eastAsia="Times New Roman" w:hAnsi="Calibri" w:cs="Calibri"/>
          <w:color w:val="434343"/>
          <w:shd w:val="clear" w:color="auto" w:fill="FFFFFF"/>
        </w:rPr>
      </w:pPr>
    </w:p>
    <w:p w:rsidR="006902AE" w:rsidRDefault="006902AE" w:rsidP="006902AE">
      <w:pPr>
        <w:bidi/>
        <w:spacing w:after="0" w:line="440" w:lineRule="atLeast"/>
        <w:rPr>
          <w:rFonts w:ascii="Calibri" w:eastAsia="Times New Roman" w:hAnsi="Calibri" w:cs="Calibri"/>
          <w:color w:val="434343"/>
          <w:shd w:val="clear" w:color="auto" w:fill="FFFFFF"/>
        </w:rPr>
      </w:pPr>
    </w:p>
    <w:p w:rsidR="006902AE" w:rsidRDefault="006902AE" w:rsidP="006902AE">
      <w:pPr>
        <w:bidi/>
        <w:spacing w:after="0" w:line="440" w:lineRule="atLeast"/>
        <w:rPr>
          <w:rFonts w:ascii="Calibri" w:eastAsia="Times New Roman" w:hAnsi="Calibri" w:cs="Calibri"/>
          <w:color w:val="434343"/>
          <w:shd w:val="clear" w:color="auto" w:fill="FFFFFF"/>
        </w:rPr>
      </w:pPr>
    </w:p>
    <w:p w:rsidR="006902AE" w:rsidRPr="006902AE" w:rsidRDefault="006902AE" w:rsidP="006902AE">
      <w:pPr>
        <w:shd w:val="clear" w:color="auto" w:fill="FFFFFF"/>
        <w:spacing w:after="0" w:line="270" w:lineRule="atLeast"/>
        <w:rPr>
          <w:rFonts w:ascii="Tahoma" w:eastAsia="Times New Roman" w:hAnsi="Tahoma" w:cs="Tahoma"/>
          <w:color w:val="C09331"/>
          <w:sz w:val="24"/>
          <w:szCs w:val="24"/>
        </w:rPr>
      </w:pPr>
      <w:r w:rsidRPr="006902AE">
        <w:rPr>
          <w:rFonts w:ascii="Tahoma" w:eastAsia="Times New Roman" w:hAnsi="Tahoma" w:cs="Tahoma"/>
          <w:color w:val="C09331"/>
          <w:sz w:val="24"/>
          <w:szCs w:val="24"/>
          <w:rtl/>
        </w:rPr>
        <w:lastRenderedPageBreak/>
        <w:t>قانون رقم (50) لسنة 2014 بتعديل بعض أحكام قانون الشركات التجارية الصادر بالمرسوم بقانون رقم (21) لسنة 2001</w:t>
      </w:r>
    </w:p>
    <w:p w:rsidR="006902AE" w:rsidRPr="006902AE" w:rsidRDefault="006902AE" w:rsidP="006902AE">
      <w:pPr>
        <w:shd w:val="clear" w:color="auto" w:fill="F3F3F2"/>
        <w:spacing w:after="0" w:line="240" w:lineRule="atLeast"/>
        <w:rPr>
          <w:rFonts w:ascii="Tahoma" w:eastAsia="Times New Roman" w:hAnsi="Tahoma" w:cs="Tahoma"/>
          <w:color w:val="434343"/>
          <w:sz w:val="18"/>
          <w:szCs w:val="18"/>
        </w:rPr>
      </w:pPr>
      <w:r w:rsidRPr="006902AE">
        <w:rPr>
          <w:rFonts w:ascii="Tahoma" w:eastAsia="Times New Roman" w:hAnsi="Tahoma" w:cs="Tahoma"/>
          <w:b/>
          <w:bCs/>
          <w:color w:val="434343"/>
          <w:sz w:val="18"/>
          <w:szCs w:val="18"/>
          <w:rtl/>
        </w:rPr>
        <w:t>التاريخ</w:t>
      </w:r>
      <w:r w:rsidRPr="006902AE">
        <w:rPr>
          <w:rFonts w:ascii="Tahoma" w:eastAsia="Times New Roman" w:hAnsi="Tahoma" w:cs="Tahoma"/>
          <w:color w:val="434343"/>
          <w:sz w:val="18"/>
          <w:szCs w:val="18"/>
        </w:rPr>
        <w:t>:</w:t>
      </w:r>
    </w:p>
    <w:p w:rsidR="006902AE" w:rsidRPr="006902AE" w:rsidRDefault="006902AE" w:rsidP="006902AE">
      <w:pPr>
        <w:shd w:val="clear" w:color="auto" w:fill="F3F3F2"/>
        <w:spacing w:after="30" w:line="240" w:lineRule="atLeast"/>
        <w:rPr>
          <w:rFonts w:ascii="Tahoma" w:eastAsia="Times New Roman" w:hAnsi="Tahoma" w:cs="Tahoma"/>
          <w:color w:val="434343"/>
          <w:sz w:val="18"/>
          <w:szCs w:val="18"/>
        </w:rPr>
      </w:pPr>
      <w:r w:rsidRPr="006902AE">
        <w:rPr>
          <w:rFonts w:ascii="Tahoma" w:eastAsia="Times New Roman" w:hAnsi="Tahoma" w:cs="Tahoma"/>
          <w:color w:val="434343"/>
          <w:sz w:val="18"/>
          <w:szCs w:val="18"/>
        </w:rPr>
        <w:t>18/09/2014</w:t>
      </w:r>
    </w:p>
    <w:p w:rsidR="006902AE" w:rsidRPr="006902AE" w:rsidRDefault="006902AE" w:rsidP="006902AE">
      <w:pPr>
        <w:shd w:val="clear" w:color="auto" w:fill="F3F3F2"/>
        <w:spacing w:after="0" w:line="240" w:lineRule="atLeast"/>
        <w:rPr>
          <w:rFonts w:ascii="Tahoma" w:eastAsia="Times New Roman" w:hAnsi="Tahoma" w:cs="Tahoma"/>
          <w:color w:val="434343"/>
          <w:sz w:val="18"/>
          <w:szCs w:val="18"/>
        </w:rPr>
      </w:pPr>
      <w:r w:rsidRPr="006902AE">
        <w:rPr>
          <w:rFonts w:ascii="Tahoma" w:eastAsia="Times New Roman" w:hAnsi="Tahoma" w:cs="Tahoma"/>
          <w:b/>
          <w:bCs/>
          <w:color w:val="434343"/>
          <w:sz w:val="18"/>
          <w:szCs w:val="18"/>
          <w:rtl/>
        </w:rPr>
        <w:t>رقم الجريدة الرسمية</w:t>
      </w:r>
      <w:r w:rsidRPr="006902AE">
        <w:rPr>
          <w:rFonts w:ascii="Tahoma" w:eastAsia="Times New Roman" w:hAnsi="Tahoma" w:cs="Tahoma"/>
          <w:color w:val="434343"/>
          <w:sz w:val="18"/>
          <w:szCs w:val="18"/>
        </w:rPr>
        <w:t>:</w:t>
      </w:r>
    </w:p>
    <w:p w:rsidR="006902AE" w:rsidRPr="006902AE" w:rsidRDefault="006902AE" w:rsidP="006902AE">
      <w:pPr>
        <w:shd w:val="clear" w:color="auto" w:fill="F3F3F2"/>
        <w:spacing w:after="30" w:line="240" w:lineRule="atLeast"/>
        <w:rPr>
          <w:rFonts w:ascii="Tahoma" w:eastAsia="Times New Roman" w:hAnsi="Tahoma" w:cs="Tahoma"/>
          <w:color w:val="434343"/>
          <w:sz w:val="18"/>
          <w:szCs w:val="18"/>
        </w:rPr>
      </w:pPr>
      <w:r w:rsidRPr="006902AE">
        <w:rPr>
          <w:rFonts w:ascii="Tahoma" w:eastAsia="Times New Roman" w:hAnsi="Tahoma" w:cs="Tahoma"/>
          <w:color w:val="434343"/>
          <w:sz w:val="18"/>
          <w:szCs w:val="18"/>
        </w:rPr>
        <w:t>3174</w:t>
      </w:r>
    </w:p>
    <w:p w:rsidR="006902AE" w:rsidRPr="006902AE" w:rsidRDefault="006902AE" w:rsidP="006902AE">
      <w:pPr>
        <w:shd w:val="clear" w:color="auto" w:fill="FFFFFF"/>
        <w:spacing w:line="240" w:lineRule="atLeast"/>
        <w:rPr>
          <w:rFonts w:ascii="Tahoma" w:eastAsia="Times New Roman" w:hAnsi="Tahoma" w:cs="Tahoma"/>
          <w:color w:val="434343"/>
          <w:sz w:val="18"/>
          <w:szCs w:val="18"/>
        </w:rPr>
      </w:pPr>
      <w:r w:rsidRPr="006902AE">
        <w:rPr>
          <w:rFonts w:ascii="Tahoma" w:eastAsia="Times New Roman" w:hAnsi="Tahoma" w:cs="Tahoma"/>
          <w:noProof/>
          <w:color w:val="434343"/>
          <w:sz w:val="18"/>
          <w:szCs w:val="18"/>
        </w:rPr>
        <w:drawing>
          <wp:inline distT="0" distB="0" distL="0" distR="0">
            <wp:extent cx="381000" cy="333375"/>
            <wp:effectExtent l="0" t="0" r="0" b="9525"/>
            <wp:docPr id="3" name="Picture 3" descr="http://www.legalaffairs.gov.bh/images/pdf-arabic.png">
              <a:hlinkClick xmlns:a="http://schemas.openxmlformats.org/drawingml/2006/main" r:id="rId7" tgtFrame="&quot;_blank&quot;" tooltip="&quot;Open Arabic version of legisl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legalaffairs.gov.bh/images/pdf-arabic.png">
                      <a:hlinkClick r:id="rId7" tgtFrame="&quot;_blank&quot;" tooltip="&quot;Open Arabic version of legislation&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 cy="333375"/>
                    </a:xfrm>
                    <a:prstGeom prst="rect">
                      <a:avLst/>
                    </a:prstGeom>
                    <a:noFill/>
                    <a:ln>
                      <a:noFill/>
                    </a:ln>
                  </pic:spPr>
                </pic:pic>
              </a:graphicData>
            </a:graphic>
          </wp:inline>
        </w:drawing>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Pr>
      </w:pPr>
      <w:r w:rsidRPr="006902AE">
        <w:rPr>
          <w:rFonts w:ascii="Arial" w:eastAsia="Times New Roman" w:hAnsi="Arial" w:cs="Arial"/>
          <w:b/>
          <w:bCs/>
          <w:color w:val="434343"/>
          <w:sz w:val="28"/>
          <w:szCs w:val="28"/>
          <w:shd w:val="clear" w:color="auto" w:fill="FFFFFF"/>
          <w:rtl/>
          <w:lang w:bidi="ar-BH"/>
        </w:rPr>
        <w:t>قانون رقم (50) لسنة 2014</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بتعديل بعض أحكام قانون الشركات التجارية</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الصادر بالمرسوم بقانون رقم (21) لسنة 2001</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نحن حمد بن عيسى آل خليفة              ملك مملكة البحرين.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بعد الاطلاع على الدستور،</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وعلى المرسوم بقانون رقم (21) لسنة 2001 بإصدار قانون الشركات التجارية،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وعلى قانون رقم (64) لسنة 2006 بإصدار قانون مصرف البحرين المركزي والمؤسسات المالية،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أقر مجلس الشورى ومجلس النواب القانون الآتي نصه، وقد صدقنا عليه وأصدرناه:</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الأولى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تُستبدل بنصوص المواد: (55)، (65)، (75) البند (د)، (84)، (109)، (119)، (173) الفقرة الأولى - البند (ج)، (175) الفقرة الأولى، (187) الفقرة (أ)، (197)، (203)، (228)، (234)، (249) البند (هـ)، (264)، (290)، (293)، (347) و(348) من قانون الشركات التجارية الصادر بالمرسوم بقانون رقم (21) لسنة 2001 النصوص التالية: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(55):</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يُبين في عقد تأسيس الشركة الشركاء المتضامنون والشركاء الموصون.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(65):</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يجوز أن تؤسس شركات مساهمة عامة بحرينية بمشاركة رأسمال أجنبي أو خبرة أجنبية.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ويجوز- بقرار من الوزير المعني بشئون التجارة- تحديد نسب مشاركة رأس المال الأجنبي أو الخبرة الأجنبية في قطاعات أو أنشطة معينة.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(75) البند (د):</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د- أسماء المؤسسين،على ألا يقل عددهم عن شخصين، ويُستثنى من ذلك الشركات التي تنفرد الحكومة بتأسيسها.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(84):</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lastRenderedPageBreak/>
        <w:t>مع مراعاة أحكام قانون مصرف البحرين المركزي والمؤسسات المالية الصادر بالقانون رقم (64) لسنة 2006، واللوائح الصادرة تنفيذاً لأحكامه، على المؤسسين أن يكتتبوا بأسهم لا تقل عن 10٪ من رأسمال الشركة، وأن يدفعوا – قبل نشر بيان الاكتتاب - المبلغ الذي يعادل النسبة المطلوب دفعها من الجمهور عن كل سهم عند الاكتتاب.</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(109):</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مع مراعاة أحكام المادة (21مكرراً) من هذا القانون، يحدد رأسمال الشركة من قبل المؤسسين، ويجب أن يكون كافياً لتحقيق أغراضها.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ويكون رأسمال الشركة بالعملة البحرينية، ويجوز بموافقة الوزير المعني بشئون التجارة أن يكون بعملة أخرى مقوّمة بالعملة البحرينية.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ويقسم رأسمال الشركة إلى أسهم متساوية، وتحدد اللائحة التنفيذية القيمة الاسمية للسهم.</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(119):</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يكون تداول الأسهم وتسجيلها وإيداعها ونقل ملكيتها وتقاصها وتسويتها وقيد الرهن والحجز عليها وشراء الشركة لأسهمها وفقاً لأحكام قانون مصرف البحرين المركزي والمؤسسات المالية الصادر بالقانون رقم (64) لسنة 2006 واللوائح الصادرة تنفيذاً لأحكامه.</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(173) الفقرة الأولى – البند (ج):</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ج - أية شروط أخرى يحددها عقد تأسيس الشركة أو نظامها الأساسي.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(175) الفقرة الأولى: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لكل من يملك 10٪ أو أكثر من رأس المال حق تعيين أعضاء في مجلس الإدارة بقدر نسبة ما يملك من رأس المال مع تقريب كسور العدد لأقرب عدد صحيح، ويسقط حقه في التصويت في النسبة التي يتم التعيين عنها. ولكل من لم يستخدم حقه في تعيين أعضاء في مجلس الإدارة، أو لم يكن له نسبة تؤهله لتعيين عضو آخر، أن يستخدم تلك النسبة في التصويت. ويسقط الحق في التعيين في حالة عدم استخدامه في أي انتخاب أو تعيين لأعضاء مجلس الإدارة في كل حالة على حدة، وذلك كله ما لم ينص عقد تأسيس الشركة أو نظامها الأساسي على خلاف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(187) الفقرة (أ):</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 يكون رفع دعوى المسئولية على أعضاء مجلس الإدارة بسبب الأخطاء التي تنشأ عنها أضرار تلحق بمجموع المساهمين من حق الشركة. ويجب أن يصدر قرار من الجمعية العامة برفع الدعوى، على أن يتولاها رئيس مجلس الإدارة. وإذا كان رئيس مجلس الإدارة ممن تخاصمهم الشركة، وجب أن تعيّن الجمعية العامة عضواً آخر من مجلس الإدارة لإقامة الدعوى. وإذا كانت الدعوى موجهة إلى جميع أعضاء مجلس الإدارة، وجب أن تعيّن الجمعية العامة مَن ينوب عنها من غير أعضاء المجلس في رفع الدعوى.</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lastRenderedPageBreak/>
        <w:t>وللمساهم، في حالة عدم قيام الشركة برفع دعوى المسئولية على أعضاء مجلس الإدارة، أن يرفع الدعوى منفرداً عما لحق به من ضرر بسبب تلك الأخطاء. ويجب على المساهم إخطار الشركة بتلك الأخطاء قبل رفع الدعوى بثلاثين يوماً على الأقل.</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(197):</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مع مراعاة أحكام قانون مصرف البحرين المركزي والمؤسسات المالية الصادر بالقانون رقم (64) لسنة 2006 واللوائح الصادرة تنفيذاً لأحكامه، يجوز للوزير المعني بشئون التجارة حل مجلس إدارة الشركة بقرار مسبب، في أي من الحالات الآتية: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إذا تعرضت الشركة لأوضاع مالية أو إدارية سيئة أو تعرضت لخسائر جسيمة تؤثر في حقوق المساهمين أو في حقوق دائنيها.</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إذا اُرتكبت مخالفات جسيمة لأحكام هذا القانون. ويجب أن يكون ما ورد في الحالتين السابقتين مثبتاً بتقرير من قبل من يندبه الوزير للتفتيش على أعمال الشركة وحساباتها وفقاً لأحكام هذا القانون.</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‌ج)</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إذا فقد مجلس إدارة الشركة نصابه القانوني بحيث يتعذر انعقاده أو لم تستطع الجمعية العامة للشركة انتخاب مجلس إدارة جديد.</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وفي جميع الحالات، يجب أن يتضمن قرار حل مجلس إدارة الشركة تعيين لجنة مؤقتة من ذوي الخبرة والاختصاص لإدارة الشركة لمدة لا تتجاوز ثلاثة أشهر، وأن يتضمن ميعاداً لاجتماع الجمعية العامة لانتخاب مجلس إدارة جديد.</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ولكل ذي مصلحة أن يطعن في قرار الحل أمام المحكمة الكبرى المدنية خلال خمسة عشر يوماً من تاريخ صدوره، وتفصل المحكمة في الدعوى بصفة مستعجلة.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(203):</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لكل مساهم - أياً كان عدد أسهمه- حق حضور الجمعية العامة، ويكون له عدد من الأصوات يساوي عدد أسهمه، ويقع باطلاً كل شرط أو قرار يخالف ذلك.</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ويجوز للمساهم أن يوكل غيره من المساهمين أو من غيرهم في الحضور نيابة عنه، على أن يكون الوكيل من غير رئيس وأعضاء مجلس الإدارة وموظفي الشركة، ولا يخل ذلك بحق التوكيل للأقارب من الدرجة الأولى، وذلك بمقتضى توكيل خاص وثابت بالكتابة تعده الشركة لهذا الغرض.</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ويمثل ناقصي الأهلية وفاقديها في الحضور النائبون عنهم قانونياً، وعلى الشركة أن تعد بطاقات خاصة بعدد الأسهم التي يملكها المساهم والأسهم التي يحضر فيها نيابة عن مساهمين آخرين، ويجب إجراء التوكيلات وإبراز صفة النيابة لدى الشركة قبل اجتماع الجمعية العامة بأربع وعشرين ساعة على الأقل، ولا يجوز لأي عضو أن يشترك في التصويت عن نفسه أو عمنْ يمثله في المسائل التي تتعلق بمنفعة خاصة مباشرة له أو بخلاف قائم بينه وبين الشركة.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lastRenderedPageBreak/>
        <w:t>مادة (228):</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مع مراعاة أحكام المادة (21مكرراً) من هذا القانون، يحدد رأسمال الشركة من قبل المؤسسين، ويجب أن يكون كافياً لتحقيق أغراضها.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(234):</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لا يجوز تداول أسهم شركات المساهمة المقفلة إلا بعد الوفاء بقيمة الأسهم كاملة، ويستثنى من ذلك عمليات التداول التي تتم فيما بين المؤسسين.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(249) البند (هـ):</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هـ- مع مراعاة أحكام المادة (21 مكرراً) من هذا القانون، يحدد رأسمال الشركة من قبل المؤسسين، ويجب أن يكون كافياً لتحقيق أغراضها.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(264):</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مع مراعاة أحكام المادة (21 مكرراً) من هذا القانون، يحدد رأسمال الشركة من قبل الشركاء، ويجب أن يكون كافياً لتحقيق أغراضها، ويُقسّم إلى حصص متساوية القيمة.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(290):</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يجب أن يكون لشركة الشخص الواحد نظام يحدد أحكامها وبياناتها وإجراءات قيدها وشهرها، ويصدر هذا النظام بقرار من الوزير المعني بشئون التجارة.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(293):</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مع مراعاة أحكام المادة (21 مكرراً) من هذا القانون، يحدد رأسمال الشركة من قبل المؤسسين، ويجب أن يكون كافياً لتحقيق أغراضها ومدفوعاً بالكامل، ويجوز أن يشمل رأس المال حصصاً عينية يقدر قيمتها أحد الخبراء المختصين.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(347):</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يجوز للشركات المؤسسة في الخارج أن تنشئ لها فروعًا أو وكالات أو مكاتب في مملكة البحرين بالشروط الآتية: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1)</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أن تحصل الشركة الأجنبية على ترخيص من الوزارة المعنية بشئون التجارة بإنشاء الفرع أو الوكالة أو المكتب.</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2)</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أن يقيد الفرع أو الوكالة أو المكتب في السجل التجاري طبقاً لأحكام القانون.</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3)</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أية شروط أخرى يصدر بتحديدها قرار من الوزير المعني بشئون التجارة.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إذا زاول الفرع أو الوكالة أو المكتب أعماله قبل إتمام الإجراءات المنصوص عليها في الفقرة (أ) من هذه المادة، كان الأشخاص الذين أجروا هذه الأعمال مسئولين عنها شخصياً وعلى وجه التضامن.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(348):</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lastRenderedPageBreak/>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يجب أن يقدم الفرع أو الوكيل أو المكتب كفالة من المركز الرئيسي لضمان تنفيذ التزاماته. ويجوز للوزير المعني بشئون التجارة أن يحدد بقرار منه ضماناً إضافياً أو أكثر للفرع أو الوكيل أو المكتب.</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يلتزم الفرع أو الوكيل أو المكتب بأن يودع لدى الوزارة المعنية بشئون التجارة نسخة من عقد تأسيس المركز الرئيسي وكل تعديل يجرى عليه، كما يلتزم بأن يودع نسخة من البيانات المالية المدققة للمركز الرئيسي خلال ستة أشهر من تاريخ انتهاء السنة المالية.</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الثانية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يُضاف إلى قانون الشركات التجارية الصادر بالمرسوم بقانون رقم (21) لسنة 2001 مواد جديدة بأرقام (5 مكرراً) و(18 مكرراً) و(21 مكرراً) و(23 مكرراً) و(358مكرراً) و(358 مكرراً 1)، ويُضاف إلى المادة (361) من ذات القانون بند جديد برقم (ي)، نصوصها كالتالي: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(5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يجوز لأي شخص أن يطلب من الوزارة المعنية بشئون التجارة حجز اسم معين لاستخدامه عند إنشاء شركة وفقاً لأحكام هذا القانون، ويكون الحجز لمدة ثلاثين يوماً قابلة للتجديد مرتين مماثلتين وفقاً للإجراءات والشروط والأوضاع التي يصدر بتحديدها قرار من الوزير المعني بشئون التجارة.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ويُستحق رسم على طلب الحجز ورسم على طلب تجديد الحجز، ويصدر بتحديدهما قرار من الوزير المعني بشئون التجارة بعد موافقة مجلس الوزراء.</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(18 مكرراً):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يكون المؤسس أو الشريك أو مالك رأس المال أو مدير الشركة أو عضو مجلس الإدارة في شركة المساهمة أو شركة المساهمة المقفلة أو الشركة ذات المسئولية المحدودة أو شركة الشخص الواحد - بحسب الأحوال-مسئولاً في جميع أمواله الخاصة عن أية أضرار تصيب الشركة أو الشركاء أو المساهمين أو الغير، في أي من الحالات الآتية: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1)</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قدم بيانات أو معلومات غير صحيحة عن رأسمال الشركة في عقد تأسيسها أو نظامها الأساسي أو في تعاملاتها مع الغير أو أي من وثائقها يكون من شأنها التأثير في الثقة المالية بالشركة.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2)</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استغل الشركة لأغراض الغش أو لأغراض غير مشروعة.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3)</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تعامل مع أموال الشركة على أنها من أمواله الشخصية.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4)</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لم يفصل بين مصلحته الشخصية ومصلحة الشركة.</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5)</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تسبب في ترتيب التزامات على الشركة، رغم علمه اليقيني أو المفترض بأن الشركة غير قادرة على أداء تلك الالتزامات وقت استحقاقها، أو كان ترتيب تلك الالتزامات بسبب إهماله أو خطئه الجسيم.</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lastRenderedPageBreak/>
        <w:t>6)</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تسبب في عجز الشركة عن أداء الضرائب والرسوم المستحقة للحكومة أو الهيئات أو المؤسسات العامة، وكان يعلم بذلك علماً يقينياً أو مفترضاً، أو كان عجز الشركة عن أداء تلك الضرائب والرسوم بسبب إهماله أو خطئه الجسيم.</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7)</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إذا خالف أحكام القانون أو عقد تأسيس الشركة أو نظامها الأساسي.</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لا تنتفي المسئولية اذا كانت المخالفة قد وقعت نتيجة قرار اتُخذ في اجتماع لمجلس الادارة أو الجمعية التأسيسية أو الجمعية العامة، إلا إذا اعترض على القرار الذي رتب المسئولية وأثبت اعتراضه في محضر الجلسة. ولا يعتبر الغياب عن حضور الجلسة التي صدر فيها القرار سبباً للإعفاء من المسئولية إلا اذا أثبت عدم علمه بالقرار أو علمه به وعدم استطاعته الاعتراض عليه.</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‌ج)</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تكون المسئولية المشار إليها في الفقرة (أ) من هذه المادة إما مسئولية شخصية تلحق المؤسس أو الشريك أو مالك رأس المال أو المدير أو عضو مجلس الإدارة، وإما مسئولية مشتركة على وجه التضامن في حالة تعدد من ارتكبوا المخالفة.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21مكرراً):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يجوز للوزير المعني بشئون التجارة أن يصدر قراراً بتحديد حد أدنى لرأسمال أي نوع من أنواع الشركات التي تؤسس وفقاً لأحكام هذا القانون.</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يجوز للوزير المعني بشئون التجارة أن يصدر قراراً بتحديد حد أدنى لرأسمال الشركات التي تباشر أعمالاً في قطاعات أو أنشطة اقتصادية معينة، وذلك بعد التشاور مع الجهة المعنية بالإشراف على ذلك القطاع أو النشاط الاقتصادي.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(23 مكرراً):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يجوز أن ينص عقد تأسيس الشركة أو نظامها الأساسي على جواز عقد أي من الاجتماعات المقررة طبقاً لأحكام هذا القانون من خلال أي من وسائل الاتصال الإلكترونية أو الهاتفية، على أن يراعى اتخاذ التدابير التي تكفل ما يلي:</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1)</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التحقق من هوية المشارك في الاجتماع ومن صحة أي توكيل يكون الوكيل مشاركاً بموجبه.</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2)</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تمكين الشريك أو المساهم من المشاركة الكاملة في الاجتماع، كما لو كان حاضراً في مكان الاجتماع، ويشمل ذلك الإلمام بكافة ما يدور في الاجتماع وإبداء الرأي والمشاركة في المناقشات.</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3)</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تدوين أي بيان أو تصويت يدلي به المشارك في الاجتماع على وجه صحيح.</w:t>
      </w:r>
    </w:p>
    <w:p w:rsidR="006902AE" w:rsidRPr="006902AE" w:rsidRDefault="006902AE" w:rsidP="006902AE">
      <w:pPr>
        <w:bidi/>
        <w:spacing w:after="0" w:line="440" w:lineRule="atLeast"/>
        <w:ind w:left="720" w:hanging="360"/>
        <w:rPr>
          <w:rFonts w:ascii="Calibri" w:eastAsia="Times New Roman" w:hAnsi="Calibri" w:cs="Calibri"/>
          <w:color w:val="434343"/>
          <w:shd w:val="clear" w:color="auto" w:fill="FFFFFF"/>
          <w:rtl/>
        </w:rPr>
      </w:pPr>
      <w:r w:rsidRPr="006902AE">
        <w:rPr>
          <w:rFonts w:ascii="Arial" w:eastAsia="Times New Roman" w:hAnsi="Arial" w:cs="Arial"/>
          <w:color w:val="434343"/>
          <w:shd w:val="clear" w:color="auto" w:fill="FFFFFF"/>
          <w:rtl/>
        </w:rPr>
        <w:t>4)</w:t>
      </w:r>
      <w:r w:rsidRPr="006902AE">
        <w:rPr>
          <w:rFonts w:ascii="Times New Roman" w:eastAsia="Times New Roman" w:hAnsi="Times New Roman" w:cs="Times New Roman"/>
          <w:color w:val="434343"/>
          <w:sz w:val="14"/>
          <w:szCs w:val="14"/>
          <w:shd w:val="clear" w:color="auto" w:fill="FFFFFF"/>
          <w:rtl/>
        </w:rPr>
        <w:t>    </w:t>
      </w:r>
      <w:r w:rsidRPr="006902AE">
        <w:rPr>
          <w:rFonts w:ascii="Arial" w:eastAsia="Times New Roman" w:hAnsi="Arial" w:cs="Arial"/>
          <w:color w:val="434343"/>
          <w:sz w:val="28"/>
          <w:szCs w:val="28"/>
          <w:shd w:val="clear" w:color="auto" w:fill="FFFFFF"/>
          <w:rtl/>
          <w:lang w:bidi="ar-BH"/>
        </w:rPr>
        <w:t>أية تدابير أخرى يصدر بتحديدها قرار من الوزير المعني بشئون التجارة.</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لا تسري أحكام الفقرة (أ) من هذه المادة على اجتماعات الجمعية العامة للشركات المساهمة العامة، وكذلك على أعمال الاقتراع التي تكون سرية وفقاً لأحكام هذا القانون.</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(358 مكرراً):</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lastRenderedPageBreak/>
        <w:t>يجوز للوزارة المعنية بشئون التجارة أن تحفظ أصول أي من الأوراق والمستندات المودعة لديها أو البيانات والمعلومات والسجلات المتعلقة بأعمالها في شكل سجل إلكتروني.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(358 مكرراً 1):</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‌أ)</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يصدر- بقرار من الوزير المعني بشئون التجارة- ميثاق لإدارة وحوكمة الشركات طبقاً لأفضل مبادئ الإدارة والحوكمة المتعارف عليها دولياً.</w:t>
      </w:r>
    </w:p>
    <w:p w:rsidR="006902AE" w:rsidRPr="006902AE" w:rsidRDefault="006902AE" w:rsidP="006902AE">
      <w:pPr>
        <w:bidi/>
        <w:spacing w:after="0" w:line="440" w:lineRule="atLeast"/>
        <w:ind w:left="360" w:hanging="360"/>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w:t>
      </w:r>
      <w:r w:rsidRPr="006902AE">
        <w:rPr>
          <w:rFonts w:ascii="Times New Roman" w:eastAsia="Times New Roman" w:hAnsi="Times New Roman" w:cs="Times New Roman"/>
          <w:color w:val="434343"/>
          <w:sz w:val="14"/>
          <w:szCs w:val="14"/>
          <w:shd w:val="clear" w:color="auto" w:fill="FFFFFF"/>
          <w:rtl/>
          <w:lang w:bidi="ar-BH"/>
        </w:rPr>
        <w:t>  </w:t>
      </w:r>
      <w:r w:rsidRPr="006902AE">
        <w:rPr>
          <w:rFonts w:ascii="Arial" w:eastAsia="Times New Roman" w:hAnsi="Arial" w:cs="Arial"/>
          <w:color w:val="434343"/>
          <w:sz w:val="28"/>
          <w:szCs w:val="28"/>
          <w:shd w:val="clear" w:color="auto" w:fill="FFFFFF"/>
          <w:rtl/>
          <w:lang w:bidi="ar-BH"/>
        </w:rPr>
        <w:t>يسري ميثاق إدارة وحوكمة الشركات على جميع الشركات التجارية الخاضعة لأحكام هذا القانون، باستثناء الشركات المساهمة التي تخضع لمبادئ الحوكمة الصادرة عن مصرف البحرين المركزي.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مادة (361) البند (ي):</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ي- كل من انطبقت عليه أية حالة من الحالات الواردة في البند (أ) من المادة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(18 مكرراً) من هذا القانون.</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الثالثة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تستبدل عبارة "الوزير المعني بشئون التجارة" بعبارة "وزير التجارة والصناعة"، وعبارة "الوزارة المعنية بشئون التجارة" بعبارة "وزارة التجارة والصناعة" وعبارة "خمسة عشر يوم عمل" بعبارة "ستين يوماً"، أينما وردت في نصوص قانون الشركات التجارية الصادر بالمرسوم بقانون رقم (21) لسنة 2001.</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الرابعة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تُلغى المواد أرقام (64) و(120) و(121) و(122) و(123) و(124) و(174) و(177) و(245) و(345) من قانون الشركات التجارية الصادر بالمرسوم بقانون رقم (21) لسنة 2001.</w:t>
      </w:r>
    </w:p>
    <w:p w:rsidR="006902AE" w:rsidRPr="006902AE" w:rsidRDefault="006902AE" w:rsidP="006902AE">
      <w:pPr>
        <w:bidi/>
        <w:spacing w:after="0" w:line="440" w:lineRule="atLeast"/>
        <w:jc w:val="center"/>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المادة الخامسة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على رئيس مجلس الوزراء والوزراء - كل فيما يخصه- تنفيذ أحكام هذا القانون، ويُعمل به اعتباراً من اليوم التالي لتاريخ نشره في الجريدة الرسمية.</w:t>
      </w:r>
    </w:p>
    <w:p w:rsidR="006902AE" w:rsidRPr="006902AE" w:rsidRDefault="006902AE" w:rsidP="006902AE">
      <w:pPr>
        <w:bidi/>
        <w:spacing w:after="0" w:line="440" w:lineRule="atLeast"/>
        <w:jc w:val="righ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ملك مملكة البحرين</w:t>
      </w:r>
    </w:p>
    <w:p w:rsidR="006902AE" w:rsidRPr="006902AE" w:rsidRDefault="006902AE" w:rsidP="006902AE">
      <w:pPr>
        <w:bidi/>
        <w:spacing w:after="0" w:line="440" w:lineRule="atLeast"/>
        <w:jc w:val="right"/>
        <w:rPr>
          <w:rFonts w:ascii="Calibri" w:eastAsia="Times New Roman" w:hAnsi="Calibri" w:cs="Calibri"/>
          <w:color w:val="434343"/>
          <w:shd w:val="clear" w:color="auto" w:fill="FFFFFF"/>
          <w:rtl/>
        </w:rPr>
      </w:pPr>
      <w:r w:rsidRPr="006902AE">
        <w:rPr>
          <w:rFonts w:ascii="Arial" w:eastAsia="Times New Roman" w:hAnsi="Arial" w:cs="Arial"/>
          <w:b/>
          <w:bCs/>
          <w:color w:val="434343"/>
          <w:sz w:val="28"/>
          <w:szCs w:val="28"/>
          <w:shd w:val="clear" w:color="auto" w:fill="FFFFFF"/>
          <w:rtl/>
          <w:lang w:bidi="ar-BH"/>
        </w:rPr>
        <w:t>حمد بن عيسى آل خليفة</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صدر في قصر الرفاع:</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بتاريخ: 16ذي القعدة 1435هـ</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r w:rsidRPr="006902AE">
        <w:rPr>
          <w:rFonts w:ascii="Arial" w:eastAsia="Times New Roman" w:hAnsi="Arial" w:cs="Arial"/>
          <w:color w:val="434343"/>
          <w:sz w:val="28"/>
          <w:szCs w:val="28"/>
          <w:shd w:val="clear" w:color="auto" w:fill="FFFFFF"/>
          <w:rtl/>
          <w:lang w:bidi="ar-BH"/>
        </w:rPr>
        <w:t>الموافق: 11 سبتمبر 2014م</w:t>
      </w:r>
    </w:p>
    <w:p w:rsidR="006902AE" w:rsidRPr="006902AE" w:rsidRDefault="006902AE" w:rsidP="006902AE">
      <w:pPr>
        <w:bidi/>
        <w:spacing w:after="0" w:line="440" w:lineRule="atLeast"/>
        <w:rPr>
          <w:rFonts w:ascii="Calibri" w:eastAsia="Times New Roman" w:hAnsi="Calibri" w:cs="Calibri"/>
          <w:color w:val="434343"/>
          <w:shd w:val="clear" w:color="auto" w:fill="FFFFFF"/>
          <w:rtl/>
        </w:rPr>
      </w:pPr>
      <w:bookmarkStart w:id="0" w:name="_GoBack"/>
      <w:bookmarkEnd w:id="0"/>
    </w:p>
    <w:p w:rsidR="006902AE" w:rsidRDefault="006902AE"/>
    <w:sectPr w:rsidR="00690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C92"/>
    <w:rsid w:val="000F2C92"/>
    <w:rsid w:val="006902AE"/>
    <w:rsid w:val="00D339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C5FFE7-3591-49DD-AFDE-B3B7C85C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F2C92"/>
    <w:rPr>
      <w:b/>
      <w:bCs/>
    </w:rPr>
  </w:style>
  <w:style w:type="paragraph" w:styleId="ListParagraph">
    <w:name w:val="List Paragraph"/>
    <w:basedOn w:val="Normal"/>
    <w:uiPriority w:val="34"/>
    <w:qFormat/>
    <w:rsid w:val="000F2C9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9326">
      <w:bodyDiv w:val="1"/>
      <w:marLeft w:val="0"/>
      <w:marRight w:val="0"/>
      <w:marTop w:val="0"/>
      <w:marBottom w:val="0"/>
      <w:divBdr>
        <w:top w:val="none" w:sz="0" w:space="0" w:color="auto"/>
        <w:left w:val="none" w:sz="0" w:space="0" w:color="auto"/>
        <w:bottom w:val="none" w:sz="0" w:space="0" w:color="auto"/>
        <w:right w:val="none" w:sz="0" w:space="0" w:color="auto"/>
      </w:divBdr>
      <w:divsChild>
        <w:div w:id="1420100665">
          <w:marLeft w:val="0"/>
          <w:marRight w:val="0"/>
          <w:marTop w:val="0"/>
          <w:marBottom w:val="225"/>
          <w:divBdr>
            <w:top w:val="none" w:sz="0" w:space="0" w:color="auto"/>
            <w:left w:val="none" w:sz="0" w:space="0" w:color="auto"/>
            <w:bottom w:val="dashed" w:sz="6" w:space="0" w:color="CCCCCC"/>
            <w:right w:val="none" w:sz="0" w:space="0" w:color="auto"/>
          </w:divBdr>
          <w:divsChild>
            <w:div w:id="1008559130">
              <w:marLeft w:val="0"/>
              <w:marRight w:val="0"/>
              <w:marTop w:val="0"/>
              <w:marBottom w:val="0"/>
              <w:divBdr>
                <w:top w:val="none" w:sz="0" w:space="0" w:color="auto"/>
                <w:left w:val="none" w:sz="0" w:space="0" w:color="auto"/>
                <w:bottom w:val="none" w:sz="0" w:space="0" w:color="auto"/>
                <w:right w:val="none" w:sz="0" w:space="0" w:color="auto"/>
              </w:divBdr>
              <w:divsChild>
                <w:div w:id="52512547">
                  <w:marLeft w:val="0"/>
                  <w:marRight w:val="0"/>
                  <w:marTop w:val="0"/>
                  <w:marBottom w:val="0"/>
                  <w:divBdr>
                    <w:top w:val="none" w:sz="0" w:space="0" w:color="auto"/>
                    <w:left w:val="none" w:sz="0" w:space="0" w:color="auto"/>
                    <w:bottom w:val="none" w:sz="0" w:space="0" w:color="auto"/>
                    <w:right w:val="none" w:sz="0" w:space="0" w:color="auto"/>
                  </w:divBdr>
                </w:div>
                <w:div w:id="2044019181">
                  <w:marLeft w:val="0"/>
                  <w:marRight w:val="0"/>
                  <w:marTop w:val="0"/>
                  <w:marBottom w:val="0"/>
                  <w:divBdr>
                    <w:top w:val="none" w:sz="0" w:space="0" w:color="auto"/>
                    <w:left w:val="none" w:sz="0" w:space="0" w:color="auto"/>
                    <w:bottom w:val="none" w:sz="0" w:space="0" w:color="auto"/>
                    <w:right w:val="none" w:sz="0" w:space="0" w:color="auto"/>
                  </w:divBdr>
                  <w:divsChild>
                    <w:div w:id="1338071089">
                      <w:marLeft w:val="0"/>
                      <w:marRight w:val="0"/>
                      <w:marTop w:val="0"/>
                      <w:marBottom w:val="0"/>
                      <w:divBdr>
                        <w:top w:val="none" w:sz="0" w:space="0" w:color="auto"/>
                        <w:left w:val="none" w:sz="0" w:space="0" w:color="auto"/>
                        <w:bottom w:val="none" w:sz="0" w:space="0" w:color="auto"/>
                        <w:right w:val="none" w:sz="0" w:space="0" w:color="auto"/>
                      </w:divBdr>
                      <w:divsChild>
                        <w:div w:id="49547513">
                          <w:marLeft w:val="0"/>
                          <w:marRight w:val="0"/>
                          <w:marTop w:val="195"/>
                          <w:marBottom w:val="30"/>
                          <w:divBdr>
                            <w:top w:val="none" w:sz="0" w:space="0" w:color="auto"/>
                            <w:left w:val="none" w:sz="0" w:space="0" w:color="auto"/>
                            <w:bottom w:val="none" w:sz="0" w:space="0" w:color="auto"/>
                            <w:right w:val="none" w:sz="0" w:space="0" w:color="auto"/>
                          </w:divBdr>
                          <w:divsChild>
                            <w:div w:id="970094397">
                              <w:marLeft w:val="0"/>
                              <w:marRight w:val="0"/>
                              <w:marTop w:val="0"/>
                              <w:marBottom w:val="0"/>
                              <w:divBdr>
                                <w:top w:val="none" w:sz="0" w:space="0" w:color="auto"/>
                                <w:left w:val="none" w:sz="0" w:space="0" w:color="auto"/>
                                <w:bottom w:val="none" w:sz="0" w:space="0" w:color="auto"/>
                                <w:right w:val="none" w:sz="0" w:space="0" w:color="auto"/>
                              </w:divBdr>
                            </w:div>
                          </w:divsChild>
                        </w:div>
                        <w:div w:id="1395932231">
                          <w:marLeft w:val="0"/>
                          <w:marRight w:val="30"/>
                          <w:marTop w:val="195"/>
                          <w:marBottom w:val="30"/>
                          <w:divBdr>
                            <w:top w:val="none" w:sz="0" w:space="0" w:color="auto"/>
                            <w:left w:val="none" w:sz="0" w:space="0" w:color="auto"/>
                            <w:bottom w:val="none" w:sz="0" w:space="0" w:color="auto"/>
                            <w:right w:val="none" w:sz="0" w:space="0" w:color="auto"/>
                          </w:divBdr>
                          <w:divsChild>
                            <w:div w:id="1319651805">
                              <w:marLeft w:val="0"/>
                              <w:marRight w:val="0"/>
                              <w:marTop w:val="0"/>
                              <w:marBottom w:val="0"/>
                              <w:divBdr>
                                <w:top w:val="none" w:sz="0" w:space="0" w:color="auto"/>
                                <w:left w:val="none" w:sz="0" w:space="0" w:color="auto"/>
                                <w:bottom w:val="none" w:sz="0" w:space="0" w:color="auto"/>
                                <w:right w:val="none" w:sz="0" w:space="0" w:color="auto"/>
                              </w:divBdr>
                            </w:div>
                          </w:divsChild>
                        </w:div>
                        <w:div w:id="2146700468">
                          <w:marLeft w:val="0"/>
                          <w:marRight w:val="30"/>
                          <w:marTop w:val="19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180661076">
      <w:bodyDiv w:val="1"/>
      <w:marLeft w:val="0"/>
      <w:marRight w:val="0"/>
      <w:marTop w:val="0"/>
      <w:marBottom w:val="0"/>
      <w:divBdr>
        <w:top w:val="none" w:sz="0" w:space="0" w:color="auto"/>
        <w:left w:val="none" w:sz="0" w:space="0" w:color="auto"/>
        <w:bottom w:val="none" w:sz="0" w:space="0" w:color="auto"/>
        <w:right w:val="none" w:sz="0" w:space="0" w:color="auto"/>
      </w:divBdr>
      <w:divsChild>
        <w:div w:id="208229874">
          <w:marLeft w:val="0"/>
          <w:marRight w:val="0"/>
          <w:marTop w:val="0"/>
          <w:marBottom w:val="225"/>
          <w:divBdr>
            <w:top w:val="none" w:sz="0" w:space="0" w:color="auto"/>
            <w:left w:val="none" w:sz="0" w:space="0" w:color="auto"/>
            <w:bottom w:val="dashed" w:sz="6" w:space="0" w:color="CCCCCC"/>
            <w:right w:val="none" w:sz="0" w:space="0" w:color="auto"/>
          </w:divBdr>
          <w:divsChild>
            <w:div w:id="1174420668">
              <w:marLeft w:val="0"/>
              <w:marRight w:val="0"/>
              <w:marTop w:val="0"/>
              <w:marBottom w:val="0"/>
              <w:divBdr>
                <w:top w:val="none" w:sz="0" w:space="0" w:color="auto"/>
                <w:left w:val="none" w:sz="0" w:space="0" w:color="auto"/>
                <w:bottom w:val="none" w:sz="0" w:space="0" w:color="auto"/>
                <w:right w:val="none" w:sz="0" w:space="0" w:color="auto"/>
              </w:divBdr>
              <w:divsChild>
                <w:div w:id="1368022031">
                  <w:marLeft w:val="0"/>
                  <w:marRight w:val="0"/>
                  <w:marTop w:val="0"/>
                  <w:marBottom w:val="0"/>
                  <w:divBdr>
                    <w:top w:val="none" w:sz="0" w:space="0" w:color="auto"/>
                    <w:left w:val="none" w:sz="0" w:space="0" w:color="auto"/>
                    <w:bottom w:val="none" w:sz="0" w:space="0" w:color="auto"/>
                    <w:right w:val="none" w:sz="0" w:space="0" w:color="auto"/>
                  </w:divBdr>
                </w:div>
                <w:div w:id="1394234132">
                  <w:marLeft w:val="0"/>
                  <w:marRight w:val="0"/>
                  <w:marTop w:val="0"/>
                  <w:marBottom w:val="0"/>
                  <w:divBdr>
                    <w:top w:val="none" w:sz="0" w:space="0" w:color="auto"/>
                    <w:left w:val="none" w:sz="0" w:space="0" w:color="auto"/>
                    <w:bottom w:val="none" w:sz="0" w:space="0" w:color="auto"/>
                    <w:right w:val="none" w:sz="0" w:space="0" w:color="auto"/>
                  </w:divBdr>
                  <w:divsChild>
                    <w:div w:id="1395005427">
                      <w:marLeft w:val="0"/>
                      <w:marRight w:val="0"/>
                      <w:marTop w:val="0"/>
                      <w:marBottom w:val="0"/>
                      <w:divBdr>
                        <w:top w:val="none" w:sz="0" w:space="0" w:color="auto"/>
                        <w:left w:val="none" w:sz="0" w:space="0" w:color="auto"/>
                        <w:bottom w:val="none" w:sz="0" w:space="0" w:color="auto"/>
                        <w:right w:val="none" w:sz="0" w:space="0" w:color="auto"/>
                      </w:divBdr>
                      <w:divsChild>
                        <w:div w:id="1206135898">
                          <w:marLeft w:val="0"/>
                          <w:marRight w:val="0"/>
                          <w:marTop w:val="195"/>
                          <w:marBottom w:val="30"/>
                          <w:divBdr>
                            <w:top w:val="none" w:sz="0" w:space="0" w:color="auto"/>
                            <w:left w:val="none" w:sz="0" w:space="0" w:color="auto"/>
                            <w:bottom w:val="none" w:sz="0" w:space="0" w:color="auto"/>
                            <w:right w:val="none" w:sz="0" w:space="0" w:color="auto"/>
                          </w:divBdr>
                          <w:divsChild>
                            <w:div w:id="1004091584">
                              <w:marLeft w:val="0"/>
                              <w:marRight w:val="0"/>
                              <w:marTop w:val="0"/>
                              <w:marBottom w:val="0"/>
                              <w:divBdr>
                                <w:top w:val="none" w:sz="0" w:space="0" w:color="auto"/>
                                <w:left w:val="none" w:sz="0" w:space="0" w:color="auto"/>
                                <w:bottom w:val="none" w:sz="0" w:space="0" w:color="auto"/>
                                <w:right w:val="none" w:sz="0" w:space="0" w:color="auto"/>
                              </w:divBdr>
                            </w:div>
                          </w:divsChild>
                        </w:div>
                        <w:div w:id="1953592745">
                          <w:marLeft w:val="0"/>
                          <w:marRight w:val="30"/>
                          <w:marTop w:val="195"/>
                          <w:marBottom w:val="30"/>
                          <w:divBdr>
                            <w:top w:val="none" w:sz="0" w:space="0" w:color="auto"/>
                            <w:left w:val="none" w:sz="0" w:space="0" w:color="auto"/>
                            <w:bottom w:val="none" w:sz="0" w:space="0" w:color="auto"/>
                            <w:right w:val="none" w:sz="0" w:space="0" w:color="auto"/>
                          </w:divBdr>
                          <w:divsChild>
                            <w:div w:id="2145344551">
                              <w:marLeft w:val="0"/>
                              <w:marRight w:val="0"/>
                              <w:marTop w:val="0"/>
                              <w:marBottom w:val="0"/>
                              <w:divBdr>
                                <w:top w:val="none" w:sz="0" w:space="0" w:color="auto"/>
                                <w:left w:val="none" w:sz="0" w:space="0" w:color="auto"/>
                                <w:bottom w:val="none" w:sz="0" w:space="0" w:color="auto"/>
                                <w:right w:val="none" w:sz="0" w:space="0" w:color="auto"/>
                              </w:divBdr>
                            </w:div>
                          </w:divsChild>
                        </w:div>
                        <w:div w:id="1908806229">
                          <w:marLeft w:val="0"/>
                          <w:marRight w:val="30"/>
                          <w:marTop w:val="19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1501040802">
      <w:bodyDiv w:val="1"/>
      <w:marLeft w:val="0"/>
      <w:marRight w:val="0"/>
      <w:marTop w:val="0"/>
      <w:marBottom w:val="0"/>
      <w:divBdr>
        <w:top w:val="none" w:sz="0" w:space="0" w:color="auto"/>
        <w:left w:val="none" w:sz="0" w:space="0" w:color="auto"/>
        <w:bottom w:val="none" w:sz="0" w:space="0" w:color="auto"/>
        <w:right w:val="none" w:sz="0" w:space="0" w:color="auto"/>
      </w:divBdr>
      <w:divsChild>
        <w:div w:id="1903561985">
          <w:marLeft w:val="0"/>
          <w:marRight w:val="0"/>
          <w:marTop w:val="0"/>
          <w:marBottom w:val="225"/>
          <w:divBdr>
            <w:top w:val="none" w:sz="0" w:space="0" w:color="auto"/>
            <w:left w:val="none" w:sz="0" w:space="0" w:color="auto"/>
            <w:bottom w:val="dashed" w:sz="6" w:space="0" w:color="CCCCCC"/>
            <w:right w:val="none" w:sz="0" w:space="0" w:color="auto"/>
          </w:divBdr>
          <w:divsChild>
            <w:div w:id="833686301">
              <w:marLeft w:val="0"/>
              <w:marRight w:val="0"/>
              <w:marTop w:val="0"/>
              <w:marBottom w:val="0"/>
              <w:divBdr>
                <w:top w:val="none" w:sz="0" w:space="0" w:color="auto"/>
                <w:left w:val="none" w:sz="0" w:space="0" w:color="auto"/>
                <w:bottom w:val="none" w:sz="0" w:space="0" w:color="auto"/>
                <w:right w:val="none" w:sz="0" w:space="0" w:color="auto"/>
              </w:divBdr>
              <w:divsChild>
                <w:div w:id="1741756518">
                  <w:marLeft w:val="0"/>
                  <w:marRight w:val="0"/>
                  <w:marTop w:val="0"/>
                  <w:marBottom w:val="0"/>
                  <w:divBdr>
                    <w:top w:val="none" w:sz="0" w:space="0" w:color="auto"/>
                    <w:left w:val="none" w:sz="0" w:space="0" w:color="auto"/>
                    <w:bottom w:val="none" w:sz="0" w:space="0" w:color="auto"/>
                    <w:right w:val="none" w:sz="0" w:space="0" w:color="auto"/>
                  </w:divBdr>
                </w:div>
                <w:div w:id="364987955">
                  <w:marLeft w:val="0"/>
                  <w:marRight w:val="0"/>
                  <w:marTop w:val="0"/>
                  <w:marBottom w:val="0"/>
                  <w:divBdr>
                    <w:top w:val="none" w:sz="0" w:space="0" w:color="auto"/>
                    <w:left w:val="none" w:sz="0" w:space="0" w:color="auto"/>
                    <w:bottom w:val="none" w:sz="0" w:space="0" w:color="auto"/>
                    <w:right w:val="none" w:sz="0" w:space="0" w:color="auto"/>
                  </w:divBdr>
                  <w:divsChild>
                    <w:div w:id="1454909076">
                      <w:marLeft w:val="0"/>
                      <w:marRight w:val="0"/>
                      <w:marTop w:val="0"/>
                      <w:marBottom w:val="0"/>
                      <w:divBdr>
                        <w:top w:val="none" w:sz="0" w:space="0" w:color="auto"/>
                        <w:left w:val="none" w:sz="0" w:space="0" w:color="auto"/>
                        <w:bottom w:val="none" w:sz="0" w:space="0" w:color="auto"/>
                        <w:right w:val="none" w:sz="0" w:space="0" w:color="auto"/>
                      </w:divBdr>
                      <w:divsChild>
                        <w:div w:id="1860048238">
                          <w:marLeft w:val="0"/>
                          <w:marRight w:val="0"/>
                          <w:marTop w:val="195"/>
                          <w:marBottom w:val="30"/>
                          <w:divBdr>
                            <w:top w:val="none" w:sz="0" w:space="0" w:color="auto"/>
                            <w:left w:val="none" w:sz="0" w:space="0" w:color="auto"/>
                            <w:bottom w:val="none" w:sz="0" w:space="0" w:color="auto"/>
                            <w:right w:val="none" w:sz="0" w:space="0" w:color="auto"/>
                          </w:divBdr>
                          <w:divsChild>
                            <w:div w:id="148595348">
                              <w:marLeft w:val="0"/>
                              <w:marRight w:val="0"/>
                              <w:marTop w:val="0"/>
                              <w:marBottom w:val="0"/>
                              <w:divBdr>
                                <w:top w:val="none" w:sz="0" w:space="0" w:color="auto"/>
                                <w:left w:val="none" w:sz="0" w:space="0" w:color="auto"/>
                                <w:bottom w:val="none" w:sz="0" w:space="0" w:color="auto"/>
                                <w:right w:val="none" w:sz="0" w:space="0" w:color="auto"/>
                              </w:divBdr>
                            </w:div>
                          </w:divsChild>
                        </w:div>
                        <w:div w:id="730888731">
                          <w:marLeft w:val="0"/>
                          <w:marRight w:val="30"/>
                          <w:marTop w:val="195"/>
                          <w:marBottom w:val="30"/>
                          <w:divBdr>
                            <w:top w:val="none" w:sz="0" w:space="0" w:color="auto"/>
                            <w:left w:val="none" w:sz="0" w:space="0" w:color="auto"/>
                            <w:bottom w:val="none" w:sz="0" w:space="0" w:color="auto"/>
                            <w:right w:val="none" w:sz="0" w:space="0" w:color="auto"/>
                          </w:divBdr>
                          <w:divsChild>
                            <w:div w:id="569729515">
                              <w:marLeft w:val="0"/>
                              <w:marRight w:val="0"/>
                              <w:marTop w:val="0"/>
                              <w:marBottom w:val="0"/>
                              <w:divBdr>
                                <w:top w:val="none" w:sz="0" w:space="0" w:color="auto"/>
                                <w:left w:val="none" w:sz="0" w:space="0" w:color="auto"/>
                                <w:bottom w:val="none" w:sz="0" w:space="0" w:color="auto"/>
                                <w:right w:val="none" w:sz="0" w:space="0" w:color="auto"/>
                              </w:divBdr>
                            </w:div>
                          </w:divsChild>
                        </w:div>
                        <w:div w:id="89087702">
                          <w:marLeft w:val="0"/>
                          <w:marRight w:val="30"/>
                          <w:marTop w:val="19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 w:id="2018383070">
      <w:bodyDiv w:val="1"/>
      <w:marLeft w:val="0"/>
      <w:marRight w:val="0"/>
      <w:marTop w:val="0"/>
      <w:marBottom w:val="0"/>
      <w:divBdr>
        <w:top w:val="none" w:sz="0" w:space="0" w:color="auto"/>
        <w:left w:val="none" w:sz="0" w:space="0" w:color="auto"/>
        <w:bottom w:val="none" w:sz="0" w:space="0" w:color="auto"/>
        <w:right w:val="none" w:sz="0" w:space="0" w:color="auto"/>
      </w:divBdr>
      <w:divsChild>
        <w:div w:id="185290520">
          <w:marLeft w:val="0"/>
          <w:marRight w:val="0"/>
          <w:marTop w:val="0"/>
          <w:marBottom w:val="225"/>
          <w:divBdr>
            <w:top w:val="none" w:sz="0" w:space="0" w:color="auto"/>
            <w:left w:val="none" w:sz="0" w:space="0" w:color="auto"/>
            <w:bottom w:val="dashed" w:sz="6" w:space="0" w:color="CCCCCC"/>
            <w:right w:val="none" w:sz="0" w:space="0" w:color="auto"/>
          </w:divBdr>
          <w:divsChild>
            <w:div w:id="781219195">
              <w:marLeft w:val="0"/>
              <w:marRight w:val="0"/>
              <w:marTop w:val="0"/>
              <w:marBottom w:val="0"/>
              <w:divBdr>
                <w:top w:val="none" w:sz="0" w:space="0" w:color="auto"/>
                <w:left w:val="none" w:sz="0" w:space="0" w:color="auto"/>
                <w:bottom w:val="none" w:sz="0" w:space="0" w:color="auto"/>
                <w:right w:val="none" w:sz="0" w:space="0" w:color="auto"/>
              </w:divBdr>
              <w:divsChild>
                <w:div w:id="414716019">
                  <w:marLeft w:val="0"/>
                  <w:marRight w:val="0"/>
                  <w:marTop w:val="0"/>
                  <w:marBottom w:val="0"/>
                  <w:divBdr>
                    <w:top w:val="none" w:sz="0" w:space="0" w:color="auto"/>
                    <w:left w:val="none" w:sz="0" w:space="0" w:color="auto"/>
                    <w:bottom w:val="none" w:sz="0" w:space="0" w:color="auto"/>
                    <w:right w:val="none" w:sz="0" w:space="0" w:color="auto"/>
                  </w:divBdr>
                </w:div>
                <w:div w:id="1586767619">
                  <w:marLeft w:val="0"/>
                  <w:marRight w:val="0"/>
                  <w:marTop w:val="0"/>
                  <w:marBottom w:val="0"/>
                  <w:divBdr>
                    <w:top w:val="none" w:sz="0" w:space="0" w:color="auto"/>
                    <w:left w:val="none" w:sz="0" w:space="0" w:color="auto"/>
                    <w:bottom w:val="none" w:sz="0" w:space="0" w:color="auto"/>
                    <w:right w:val="none" w:sz="0" w:space="0" w:color="auto"/>
                  </w:divBdr>
                  <w:divsChild>
                    <w:div w:id="740057711">
                      <w:marLeft w:val="0"/>
                      <w:marRight w:val="0"/>
                      <w:marTop w:val="0"/>
                      <w:marBottom w:val="0"/>
                      <w:divBdr>
                        <w:top w:val="none" w:sz="0" w:space="0" w:color="auto"/>
                        <w:left w:val="none" w:sz="0" w:space="0" w:color="auto"/>
                        <w:bottom w:val="none" w:sz="0" w:space="0" w:color="auto"/>
                        <w:right w:val="none" w:sz="0" w:space="0" w:color="auto"/>
                      </w:divBdr>
                      <w:divsChild>
                        <w:div w:id="1847552965">
                          <w:marLeft w:val="0"/>
                          <w:marRight w:val="0"/>
                          <w:marTop w:val="195"/>
                          <w:marBottom w:val="30"/>
                          <w:divBdr>
                            <w:top w:val="none" w:sz="0" w:space="0" w:color="auto"/>
                            <w:left w:val="none" w:sz="0" w:space="0" w:color="auto"/>
                            <w:bottom w:val="none" w:sz="0" w:space="0" w:color="auto"/>
                            <w:right w:val="none" w:sz="0" w:space="0" w:color="auto"/>
                          </w:divBdr>
                          <w:divsChild>
                            <w:div w:id="406611211">
                              <w:marLeft w:val="0"/>
                              <w:marRight w:val="0"/>
                              <w:marTop w:val="0"/>
                              <w:marBottom w:val="0"/>
                              <w:divBdr>
                                <w:top w:val="none" w:sz="0" w:space="0" w:color="auto"/>
                                <w:left w:val="none" w:sz="0" w:space="0" w:color="auto"/>
                                <w:bottom w:val="none" w:sz="0" w:space="0" w:color="auto"/>
                                <w:right w:val="none" w:sz="0" w:space="0" w:color="auto"/>
                              </w:divBdr>
                            </w:div>
                          </w:divsChild>
                        </w:div>
                        <w:div w:id="645821082">
                          <w:marLeft w:val="0"/>
                          <w:marRight w:val="30"/>
                          <w:marTop w:val="195"/>
                          <w:marBottom w:val="30"/>
                          <w:divBdr>
                            <w:top w:val="none" w:sz="0" w:space="0" w:color="auto"/>
                            <w:left w:val="none" w:sz="0" w:space="0" w:color="auto"/>
                            <w:bottom w:val="none" w:sz="0" w:space="0" w:color="auto"/>
                            <w:right w:val="none" w:sz="0" w:space="0" w:color="auto"/>
                          </w:divBdr>
                          <w:divsChild>
                            <w:div w:id="288359942">
                              <w:marLeft w:val="0"/>
                              <w:marRight w:val="0"/>
                              <w:marTop w:val="0"/>
                              <w:marBottom w:val="0"/>
                              <w:divBdr>
                                <w:top w:val="none" w:sz="0" w:space="0" w:color="auto"/>
                                <w:left w:val="none" w:sz="0" w:space="0" w:color="auto"/>
                                <w:bottom w:val="none" w:sz="0" w:space="0" w:color="auto"/>
                                <w:right w:val="none" w:sz="0" w:space="0" w:color="auto"/>
                              </w:divBdr>
                            </w:div>
                          </w:divsChild>
                        </w:div>
                        <w:div w:id="580066787">
                          <w:marLeft w:val="0"/>
                          <w:marRight w:val="30"/>
                          <w:marTop w:val="19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legalaffairs.gov.bh/Media/LegalPDF/K5014.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legalaffairs.gov.bh/Media/LegalPDF/L2815.pdf" TargetMode="External"/><Relationship Id="rId5" Type="http://schemas.openxmlformats.org/officeDocument/2006/relationships/image" Target="media/image1.png"/><Relationship Id="rId4" Type="http://schemas.openxmlformats.org/officeDocument/2006/relationships/hyperlink" Target="http://www.legalaffairs.gov.bh/Media/LegalPDF/K0118.pdf"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8248</Words>
  <Characters>47016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2019-01-23T10:55:00Z</dcterms:created>
  <dcterms:modified xsi:type="dcterms:W3CDTF">2019-01-23T10:57:00Z</dcterms:modified>
</cp:coreProperties>
</file>