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342C" w:rsidRPr="00C8342C" w:rsidRDefault="00C8342C" w:rsidP="00C8342C">
      <w:pPr>
        <w:spacing w:after="240" w:line="240" w:lineRule="auto"/>
        <w:jc w:val="center"/>
        <w:rPr>
          <w:rFonts w:ascii="Times New Roman" w:eastAsia="Times New Roman" w:hAnsi="Times New Roman" w:cs="Times New Roman"/>
          <w:sz w:val="24"/>
          <w:szCs w:val="24"/>
        </w:rPr>
      </w:pPr>
      <w:r w:rsidRPr="00C8342C">
        <w:rPr>
          <w:rFonts w:ascii="Tahoma" w:eastAsia="Times New Roman" w:hAnsi="Tahoma" w:cs="Tahoma"/>
          <w:b/>
          <w:bCs/>
          <w:color w:val="C63545"/>
          <w:sz w:val="18"/>
          <w:szCs w:val="18"/>
          <w:rtl/>
        </w:rPr>
        <w:t>قانون شركات وهيئات التـأمين وتعديلاتها</w:t>
      </w:r>
      <w:bookmarkStart w:id="0" w:name="_GoBack"/>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Pr>
      </w:pPr>
      <w:r w:rsidRPr="00C8342C">
        <w:rPr>
          <w:rFonts w:ascii="Times New Roman" w:eastAsia="Times New Roman" w:hAnsi="Times New Roman" w:cs="Times New Roman"/>
          <w:b/>
          <w:bCs/>
          <w:sz w:val="24"/>
          <w:szCs w:val="24"/>
          <w:rtl/>
        </w:rPr>
        <w:t>مرسوم بقانون رقم (17) لسنة 1987 في شأن شركات وهيئات التأمين و تعديلاتها</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t>نحن عيسى بن سلمان آل خليفة – أمير دولة البحرين،</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t>بعد الاطلاع على الدستور، </w:t>
      </w:r>
      <w:r w:rsidRPr="00C8342C">
        <w:rPr>
          <w:rFonts w:ascii="Times New Roman" w:eastAsia="Times New Roman" w:hAnsi="Times New Roman" w:cs="Times New Roman"/>
          <w:sz w:val="24"/>
          <w:szCs w:val="24"/>
          <w:rtl/>
        </w:rPr>
        <w:br/>
        <w:t>وعلى الأمر الأميري رقم (4) لسنة 1975،</w:t>
      </w:r>
      <w:r w:rsidRPr="00C8342C">
        <w:rPr>
          <w:rFonts w:ascii="Times New Roman" w:eastAsia="Times New Roman" w:hAnsi="Times New Roman" w:cs="Times New Roman"/>
          <w:sz w:val="24"/>
          <w:szCs w:val="24"/>
          <w:rtl/>
        </w:rPr>
        <w:br/>
        <w:t>وعلى المرسوم بقانون رقم (23) لسنة 1975 بشأن الوكالات التجارية وتنظيمها المعدل بالمرسوم بقانون رقم (10) لسنة 1985، </w:t>
      </w:r>
      <w:r w:rsidRPr="00C8342C">
        <w:rPr>
          <w:rFonts w:ascii="Times New Roman" w:eastAsia="Times New Roman" w:hAnsi="Times New Roman" w:cs="Times New Roman"/>
          <w:sz w:val="24"/>
          <w:szCs w:val="24"/>
          <w:rtl/>
        </w:rPr>
        <w:br/>
        <w:t>وعلى المرسوم بقانون رقم (28) لسنة 1975 بإصدار قانون الشركات التجارية والقوانين المعدلة له، </w:t>
      </w:r>
      <w:r w:rsidRPr="00C8342C">
        <w:rPr>
          <w:rFonts w:ascii="Times New Roman" w:eastAsia="Times New Roman" w:hAnsi="Times New Roman" w:cs="Times New Roman"/>
          <w:sz w:val="24"/>
          <w:szCs w:val="24"/>
          <w:rtl/>
        </w:rPr>
        <w:br/>
        <w:t>وعلى المرسوم بقانون رقم (11) لسنة 1982 بإنشاء صندوق التأمين على المركبات، </w:t>
      </w:r>
      <w:r w:rsidRPr="00C8342C">
        <w:rPr>
          <w:rFonts w:ascii="Times New Roman" w:eastAsia="Times New Roman" w:hAnsi="Times New Roman" w:cs="Times New Roman"/>
          <w:sz w:val="24"/>
          <w:szCs w:val="24"/>
          <w:rtl/>
        </w:rPr>
        <w:br/>
        <w:t>وبناء على عرض وزير التجارة والزراعة، </w:t>
      </w:r>
      <w:r w:rsidRPr="00C8342C">
        <w:rPr>
          <w:rFonts w:ascii="Times New Roman" w:eastAsia="Times New Roman" w:hAnsi="Times New Roman" w:cs="Times New Roman"/>
          <w:sz w:val="24"/>
          <w:szCs w:val="24"/>
          <w:rtl/>
        </w:rPr>
        <w:br/>
        <w:t>وبعد موافقة مجلس الوزراء،</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b/>
          <w:bCs/>
          <w:sz w:val="24"/>
          <w:szCs w:val="24"/>
          <w:rtl/>
        </w:rPr>
        <w:t>رسمنا بالقانون الآتي:</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ahoma" w:eastAsia="Times New Roman" w:hAnsi="Tahoma" w:cs="Tahoma"/>
          <w:b/>
          <w:bCs/>
          <w:color w:val="F18B0B"/>
          <w:sz w:val="17"/>
          <w:szCs w:val="17"/>
          <w:rtl/>
        </w:rPr>
        <w:t>الفصل الأول</w:t>
      </w:r>
      <w:r w:rsidRPr="00C8342C">
        <w:rPr>
          <w:rFonts w:ascii="Times New Roman" w:eastAsia="Times New Roman" w:hAnsi="Times New Roman" w:cs="Times New Roman"/>
          <w:sz w:val="24"/>
          <w:szCs w:val="24"/>
          <w:rtl/>
        </w:rPr>
        <w:br/>
      </w:r>
      <w:r w:rsidRPr="00C8342C">
        <w:rPr>
          <w:rFonts w:ascii="Times New Roman" w:eastAsia="Times New Roman" w:hAnsi="Times New Roman" w:cs="Times New Roman"/>
          <w:b/>
          <w:bCs/>
          <w:sz w:val="24"/>
          <w:szCs w:val="24"/>
          <w:rtl/>
        </w:rPr>
        <w:t>أحكام عامة</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ahoma" w:eastAsia="Times New Roman" w:hAnsi="Tahoma" w:cs="Tahoma"/>
          <w:b/>
          <w:bCs/>
          <w:color w:val="F18B0B"/>
          <w:sz w:val="17"/>
          <w:szCs w:val="17"/>
          <w:rtl/>
        </w:rPr>
        <w:t>مادة – 1 –</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t>يقصد بشركات وهيئات التأمين التي تسري عليها أحكام هذا القانون ما يلي:</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t>1- شركات التأمين البحرينية وشركات إعادة التأمين البحرينية العاملة في البحرين.</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t>2- صندوق التأمين على المركبات المنشأ بالمرسوم بقانون رقم (11) لسنة 1982.</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t>3- فروع شركات التأمين الأجنبية الموجودة بالبحرين والتي يكون مقر تسجيلها الرئيسي بالخارج.</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t>4- أية هيئات أخرى موجودة في البحرين سواء اتخذت شكل جماعات تأمين أو جمعيات تعاونية أو تبادلية أو غيرها.</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t>5- شركات التأمين المساهمة المعفاة وشركات إعادة التأمين المساهمة المعفاة ومع ذلك يجوز لوزير التجارة والزراعة بقرار منه إعفاء هذه الشركات من بعض أحكام هذا القانون.</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t>6- المكاتب التمثيلية لشركات وهيئات التأمين الأجنبية التي يكون مركزها الرئيسي بالخارج والمنصوص عليها في المادة (3) فقرة (3) من هذا القانون.</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ahoma" w:eastAsia="Times New Roman" w:hAnsi="Tahoma" w:cs="Tahoma"/>
          <w:b/>
          <w:bCs/>
          <w:color w:val="F18B0B"/>
          <w:sz w:val="17"/>
          <w:szCs w:val="17"/>
          <w:rtl/>
        </w:rPr>
        <w:t>مادة – 2 –</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t>تتولى مؤسسة نقد البحرين مسئولية الترخيص والإشراف والرقابة على شركات وهيئات التأمين المشار إليها في المادة السابقة والعاملة في ميدان التأمين وفقاً لأحكام هذا القانون.</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ahoma" w:eastAsia="Times New Roman" w:hAnsi="Tahoma" w:cs="Tahoma"/>
          <w:b/>
          <w:bCs/>
          <w:color w:val="F18B0B"/>
          <w:sz w:val="17"/>
          <w:szCs w:val="17"/>
          <w:rtl/>
        </w:rPr>
        <w:t>مادة – 3 –</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lastRenderedPageBreak/>
        <w:t>اعتبارا من تاريخ العمل بهذا القانون لا يجوز ممارسة عمليات التأمين المنصوص عليها في المادة (4) من هذا القانون إلا باتخاذ شكل شركة مساهمة بحرينية. ولا تسري أحكام هذه المادة على الشركات والهيئات العاملة في ميدان التأمين والموجودة في البحرين وقت العمل بهذا القانون. ومع ذلك يجوز لوزير التجارة بقرار يصدره، وبالشروط التي يحددها فيه، أن يرخص:</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t>- بفتح مكاتب تمثيلية لشركات وهيئات التأمين الأجنبية.</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t>- بفتح فروع لشركات وهيئات التأمين الأجنبية لمزاولة نشاطها في مجال التأمين على الحياة في دولة البحرين.</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ahoma" w:eastAsia="Times New Roman" w:hAnsi="Tahoma" w:cs="Tahoma"/>
          <w:b/>
          <w:bCs/>
          <w:color w:val="F18B0B"/>
          <w:sz w:val="17"/>
          <w:szCs w:val="17"/>
          <w:rtl/>
        </w:rPr>
        <w:t>مادة – 4 –</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t>تنقسم عمليات التأمين فيما يتعلق بتنفيذ أحكام هذا القانون إلى الفروع الآتية:</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t>1- التأمين على الحياة.</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t>2- تأمين الادخار وتكوين الأموال.</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t>3- التأمين على الحريق وأنواع التأمين التي تلحق به عادة.</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t>4- التأمين من أخطار النقل البري والنهري والبحري والجوي ويشمل التأمين على هياكل السفن والطائرات وعلى آلاتها ومهماتها.</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t>5- التأمين من الحوادث والمسئوليات ويشمل التأمين عن الأضرار الناجمة عن جميع الحوادث بما في ذلك حوادث المركبات وحوادث العمل والحوادث الشخصية وخيانة الأمانة وكافة الأضرار الناجمة عن المسئولية المدنية.</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t>6- التأمين على المركبات.</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t>7- عمليات إعادة التأمين.</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t>8- التأمينات الأخرى.</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ahoma" w:eastAsia="Times New Roman" w:hAnsi="Tahoma" w:cs="Tahoma"/>
          <w:b/>
          <w:bCs/>
          <w:color w:val="F18B0B"/>
          <w:sz w:val="17"/>
          <w:szCs w:val="17"/>
          <w:rtl/>
        </w:rPr>
        <w:t>مادة – 5 –</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t>يعد في مؤسسة نقد البحرين سجل لشركات وهيئات التأمين تقيد فيه البيانات التي يصدر بها قرار من محافظ مؤسسة نقد البحرين.</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t>. ويجب على شركات وهيئات التأمين الخاضعة لأحكام هذا القانون أن تخطر مؤسسة نقد البحرين بكل تعديل أو تغيير يطرأ على هذه البيانات، ولا يعمل بهذه التعديلات أو التغييرات إلا بعد إقرارها من مؤسسة نقد البحرين. كما يجب على الشركات وهيئات التأمين الخاضعة لأحكام هذا القانون أن تحرر وثائق التأمين باللغة العربية ويجوز أن يصحبها ترجمة بأية لغة أخرى ما لم يتفق الطرفان على خلاف ذلك.</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ahoma" w:eastAsia="Times New Roman" w:hAnsi="Tahoma" w:cs="Tahoma"/>
          <w:b/>
          <w:bCs/>
          <w:color w:val="F18B0B"/>
          <w:sz w:val="17"/>
          <w:szCs w:val="17"/>
          <w:rtl/>
        </w:rPr>
        <w:t>مادة – 6 –</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t>لا يجوز التعاقد على أية عمليات تأمين مباشر في البحرين إلا لدى الشركات والهيئات الخاضعة لأحكام هذا القانون. ومع ذلك يجوز لوزير التجارة والزراعة وفقا لقواعد يحددها بقرار منه وبموجب إذن خاص في كل حالة على حدة أن يرخص في إجراء هذا التأمين لدى غير هذه الشركات والهيئات.</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ahoma" w:eastAsia="Times New Roman" w:hAnsi="Tahoma" w:cs="Tahoma"/>
          <w:b/>
          <w:bCs/>
          <w:color w:val="F18B0B"/>
          <w:sz w:val="17"/>
          <w:szCs w:val="17"/>
          <w:rtl/>
        </w:rPr>
        <w:t>مادة – 7 –</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lastRenderedPageBreak/>
        <w:t>لا يجوز لأية شركة أو هيئة تأمين موجودة في البحرين أن تزاول وقت العمل بهذا القانون أي فرع من فروع التأمين المنصوص عليها في المادة (4) إلا بعد الحصول على ترخيص بذلك من وزير التجارة والزراعة. مع مراعاة الأحكام الواردة في هذا القانون يجوز لوزير التجارة والزراعة أن يضع قواعد عامة بموجب قرار يصدره في هذا الشأن يتضمن شروط الترخيص بمزاولة أي فرع من فروع التأمين أو أن يصدر الترخيص في كل حالة على حدة. ومع ذلك تستمر شركات وهيئات التأمين الموجودة في البحرين وقت العمل بهذا القانون في ممارسة أعمالها لمدة أقصاها سنتان تبدأ من تاريخ العمل به وعليها خلال هذا الميعاد توفيق أوضاعها وفقا لأحكام هذا القانون والتقدم وبطلب الترخيص من وزير التجارة والزراعة وإلا اعتبرت مصفاة بحكم القانون أو ألفى ترخيص فرع التأمين الذي رفضه الوزير.</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ahoma" w:eastAsia="Times New Roman" w:hAnsi="Tahoma" w:cs="Tahoma"/>
          <w:b/>
          <w:bCs/>
          <w:color w:val="F18B0B"/>
          <w:sz w:val="17"/>
          <w:szCs w:val="17"/>
          <w:rtl/>
        </w:rPr>
        <w:t>مادة – 8 –</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t>يجوز لأية شركة أو هيئة تأمين رفض وزير التجارة والزراعة الترخيص لها بمزاولة أي فرع من فروع التأمين المنصوص عليها في المادة (4) من هذا القانون التظلم إلى الوزير من هذا الرفض خلال ميعاد أقصاه ستون يوما من تاريخ إبلاغها بالرفض بكتاب مسجل، كما يجوز للشركة أو هيئة التأمين في حالة رفض تظلمها صراحة أو ضمنا بعدم الرد عليه خلال ستين يوما من تاريخ تقديمه أن تلجأ إلى المحكمة الكبرى المدنية لإلغاء قرار الرفض في ميعاد أقصاه ستون يوما يبدأ من تاريخ إبلاغها صراحة أو من تاريخ انقضاء الستين يوما دون رد على التظلم. ويرفع طلب الإلغاء إلى المحكمة بالطرق المعتادة المنصوص عليها في قانون المرافعات المدنية والتجارية. وفي حالة التظلم ورفع الدعوى إلى المحكمة تستمر الشركة أو الهيئة إذا كانت موجودة في البحرين وقت العمل بهذا القانون في أداء أعمالها لحين الفصل في التظلم أو الدعوى نهائيا.</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ahoma" w:eastAsia="Times New Roman" w:hAnsi="Tahoma" w:cs="Tahoma"/>
          <w:b/>
          <w:bCs/>
          <w:color w:val="F18B0B"/>
          <w:sz w:val="17"/>
          <w:szCs w:val="17"/>
          <w:rtl/>
        </w:rPr>
        <w:t>مادة – 9 –</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t>يكون تحويل وثائق شركات وهيئات التأمين مع الالتزامات المترتبة عليها بموافقة وزير التجارة والزراعة على أن يصطحب في حالة الأعمال ذات المدى الطويل وبالأخص في حالة التأمين على الحياة تقرير مفصل عن طريق خبير اكتواري مستقل. وفي هذه الحالة تنتقل الأموال المقابلة لالتزامات الشركات إلى الشركة التي حولت إليها الوثائق دون إخلال بالأحكام المتعلقة بالملكية والنزول عن الأموال.</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ahoma" w:eastAsia="Times New Roman" w:hAnsi="Tahoma" w:cs="Tahoma"/>
          <w:b/>
          <w:bCs/>
          <w:color w:val="F18B0B"/>
          <w:sz w:val="17"/>
          <w:szCs w:val="17"/>
          <w:rtl/>
        </w:rPr>
        <w:t>مادة – 10 –</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t>على شركات وهيئات التأمين الخاضعة لأحكام هذا القانون تزويد الجهة المختصة بوزارة التجارة والزراعة بالمعلومات الإحصائية والتقارير المالية والسنوية أو أية دراسات ترى هذه الجهة ضرورة إجرائها ويجوز للوزارة نشر هذه المعلومات. وتعد وزارة التجارة والزراعة تقريرا سنويا عن نشاط شركات وهيئات التأمين. ويجوز للوزارة نشر هذا التقرير.</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ahoma" w:eastAsia="Times New Roman" w:hAnsi="Tahoma" w:cs="Tahoma"/>
          <w:b/>
          <w:bCs/>
          <w:color w:val="F18B0B"/>
          <w:sz w:val="17"/>
          <w:szCs w:val="17"/>
          <w:rtl/>
        </w:rPr>
        <w:t>الفصل الثاني</w:t>
      </w:r>
      <w:r w:rsidRPr="00C8342C">
        <w:rPr>
          <w:rFonts w:ascii="Times New Roman" w:eastAsia="Times New Roman" w:hAnsi="Times New Roman" w:cs="Times New Roman"/>
          <w:sz w:val="24"/>
          <w:szCs w:val="24"/>
          <w:rtl/>
        </w:rPr>
        <w:br/>
      </w:r>
      <w:r w:rsidRPr="00C8342C">
        <w:rPr>
          <w:rFonts w:ascii="Times New Roman" w:eastAsia="Times New Roman" w:hAnsi="Times New Roman" w:cs="Times New Roman"/>
          <w:b/>
          <w:bCs/>
          <w:sz w:val="24"/>
          <w:szCs w:val="24"/>
          <w:rtl/>
        </w:rPr>
        <w:t>التزامات شركات وهيئات التأمين</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ahoma" w:eastAsia="Times New Roman" w:hAnsi="Tahoma" w:cs="Tahoma"/>
          <w:b/>
          <w:bCs/>
          <w:color w:val="F18B0B"/>
          <w:sz w:val="17"/>
          <w:szCs w:val="17"/>
          <w:rtl/>
        </w:rPr>
        <w:t>مادة – 11 –</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t>لوزير التجارة والزراعة أن يلزم الشركات وهيئات التأمين الخاضعة لأحكام هذا القانون، أن تعيد التأمين على جزء من عمليات التأمين المباشر التي تعقدها في البحرين لدى شركة أو شركات إعادة التأمين الوطنية التي يحددها ويبين هذا القرار نسب التأمين وتاريخ سريانها. كما يجوز للوزير بقرار منه تحديد عمولة إعادة التأمين وعمولة الأرباح التي تدفعها شركة إعادة التأمين إلى شركة التأمين عن عمليات إعادة التأمين إذا اقتضت المصلحة العامة ذلك. ولا تسري أحكام هذه المادة على عمليات إعادة التأمين التي تجريها شركة إعادة التأمين خارج نطاق الحالات المنصوص عليها فيها.</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ahoma" w:eastAsia="Times New Roman" w:hAnsi="Tahoma" w:cs="Tahoma"/>
          <w:b/>
          <w:bCs/>
          <w:color w:val="F18B0B"/>
          <w:sz w:val="17"/>
          <w:szCs w:val="17"/>
          <w:rtl/>
        </w:rPr>
        <w:t>مادة – 12 –</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t>على شركات وهيئات التأمين البحرينية أن تخصص حصة من أرباحها سنويا لا تقل عن 10 في المائة كاحتياطي إجباري وذلك إلى أن يصل إجمالي الاحتياطيات الإجبارية إلى مبلغ يعادل 100% من رأس المال المدفوع.</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ahoma" w:eastAsia="Times New Roman" w:hAnsi="Tahoma" w:cs="Tahoma"/>
          <w:b/>
          <w:bCs/>
          <w:color w:val="F18B0B"/>
          <w:sz w:val="17"/>
          <w:szCs w:val="17"/>
          <w:rtl/>
        </w:rPr>
        <w:t>مادة – 13 –</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lastRenderedPageBreak/>
        <w:t>على شركات وهيئات التأمين الخاضعة لأحكام هذا القانون أن تحتفظ بأموال احتياطية لمواجهة التعويضات تحت التسوية ويستثنى من ذلك الأموال التي تعادل العمليات المعاد تأمينها اختياريا.</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ahoma" w:eastAsia="Times New Roman" w:hAnsi="Tahoma" w:cs="Tahoma"/>
          <w:b/>
          <w:bCs/>
          <w:color w:val="F18B0B"/>
          <w:sz w:val="17"/>
          <w:szCs w:val="17"/>
          <w:rtl/>
        </w:rPr>
        <w:t>مادة – 14 –</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t>على شركات وهيئات التأمين الخاضعة لأحكام هذا القانون والتي تباشر عمليات التأمين على الحياة أن تخصص وتحتفظ بأموال تعادل الاحتياطي الحسابي لجميع عمليات التأمين على الحياة التي أبرمتها.</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ahoma" w:eastAsia="Times New Roman" w:hAnsi="Tahoma" w:cs="Tahoma"/>
          <w:b/>
          <w:bCs/>
          <w:color w:val="F18B0B"/>
          <w:sz w:val="17"/>
          <w:szCs w:val="17"/>
          <w:rtl/>
        </w:rPr>
        <w:t>مادة – 15 –</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t>فيما عدا عمليات التأمين على الحياة على جميع شركات وهيئات التأمين أن تخصص وتحتفظ بأموال تعادل قيمتها 40% من جملة الأقساط المكتتب بها خلال السنة وذلك لمواجهة الأخطار السارية. وتكون هذه النسبة هي 25% فيما يتعلق بتأمين نقل البضائع.</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ahoma" w:eastAsia="Times New Roman" w:hAnsi="Tahoma" w:cs="Tahoma"/>
          <w:b/>
          <w:bCs/>
          <w:color w:val="F18B0B"/>
          <w:sz w:val="17"/>
          <w:szCs w:val="17"/>
          <w:rtl/>
        </w:rPr>
        <w:t>مادة – 16 –</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t>على شركات وهيئات التأمين الخاضعة لأحكام هذا القانون أن تعين مراقبا أو أكثر للحسابات من المرخص لهم بمزاولة المهنة لمراقبة حسابات الشركة أو الهيئة. ويسري على مراقب الحسابات وعلى التقارير التي يقدمها أحكام المواد (166) فقرة ثانية، (184)، (185)، (186)، (187) من قانون الشركات التجارية الصادر بالمرسوم بقانون رقم (28) لسنة 1975.</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ahoma" w:eastAsia="Times New Roman" w:hAnsi="Tahoma" w:cs="Tahoma"/>
          <w:b/>
          <w:bCs/>
          <w:color w:val="F18B0B"/>
          <w:sz w:val="17"/>
          <w:szCs w:val="17"/>
          <w:rtl/>
        </w:rPr>
        <w:t>مادة – 17 –</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t>على شركات وهيئات التأمين الخاضعة لأحكام هذا القانون أن تمسك حسابا مستقلا لكل فرع من فروع التأمين المبينة بالمادة (4) من هذا القانون.</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ahoma" w:eastAsia="Times New Roman" w:hAnsi="Tahoma" w:cs="Tahoma"/>
          <w:b/>
          <w:bCs/>
          <w:color w:val="F18B0B"/>
          <w:sz w:val="17"/>
          <w:szCs w:val="17"/>
          <w:rtl/>
        </w:rPr>
        <w:t>مادة – 18 –</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t>يكون لوزير التجارة والزراعة سلطة الرقابة والإشراف على شركات وهيئات التأمين الخاضعة لأحكام هذا القانون ويتم ذلك عن طريق من يندبهم من موظفي وزارته لهذا الغرض. ويكون لهؤلاء الموظفين سلطة التحقق من التزام الشركات وهيئات التأمين بأحكام هذا القانون والقرارات الصادرة تنفيذا له ولهم في سبيل ذلك دخول مكاتب هذه الشركات والهيئات والاطلاع على الدفاتر ومخابرة البنوك وأية جهة تكون للشركات والهيئات أموال أو استثمارات فيها، ويقدم موظفو الوزارة تقريرهم في هذا الشأن إلى الوزير ليتخذ ما يراه وفقا لأحكام هذا القانون والقرارات الصادرة تنفيذا له.</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ahoma" w:eastAsia="Times New Roman" w:hAnsi="Tahoma" w:cs="Tahoma"/>
          <w:b/>
          <w:bCs/>
          <w:color w:val="F18B0B"/>
          <w:sz w:val="17"/>
          <w:szCs w:val="17"/>
          <w:rtl/>
        </w:rPr>
        <w:t>مادة – 19 –</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t>لوزير التجارة والزراعة توجيه شركات وهيئات التأمين إلى المجالات التي تستثمر فيها الاحتياطات المنصوص عليها في المواد (12، 13، 14، 15) من هذا القانون.</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ahoma" w:eastAsia="Times New Roman" w:hAnsi="Tahoma" w:cs="Tahoma"/>
          <w:b/>
          <w:bCs/>
          <w:color w:val="F18B0B"/>
          <w:sz w:val="17"/>
          <w:szCs w:val="17"/>
          <w:rtl/>
        </w:rPr>
        <w:t>مادة – 20 –</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t>يجب على شركات وهيئات التأمين الخاضعة لأحكام هذا القانون إمساك سجلات ودفاتر تقيد فيها وثائق التأمين التي تصدرها الشركة مع بيان بأسماء وعناوين حملة الوثائق وتاريخ إبرام كل وثيقة والأسعار والشروط المطبقة، كما يثبت في هذه السجلات والدفاتر كل تغيير أو تعديل يطرأ على الوثائق المشار إليها. ويجوز لوزير التجارة والزراعة أن يصدر قرارا بإلزام شركات وهيئات التأمين تقيد في الدفاتر والسجلات أية بيانات يفرض بقرار منه رسما يحدده عن:</w:t>
      </w:r>
    </w:p>
    <w:tbl>
      <w:tblPr>
        <w:bidiVisual/>
        <w:tblW w:w="0" w:type="auto"/>
        <w:tblCellSpacing w:w="0" w:type="dxa"/>
        <w:tblCellMar>
          <w:left w:w="0" w:type="dxa"/>
          <w:right w:w="0" w:type="dxa"/>
        </w:tblCellMar>
        <w:tblLook w:val="04A0" w:firstRow="1" w:lastRow="0" w:firstColumn="1" w:lastColumn="0" w:noHBand="0" w:noVBand="1"/>
      </w:tblPr>
      <w:tblGrid>
        <w:gridCol w:w="900"/>
        <w:gridCol w:w="315"/>
        <w:gridCol w:w="7305"/>
      </w:tblGrid>
      <w:tr w:rsidR="00C8342C" w:rsidRPr="00C8342C" w:rsidTr="00C8342C">
        <w:trPr>
          <w:tblCellSpacing w:w="0" w:type="dxa"/>
        </w:trPr>
        <w:tc>
          <w:tcPr>
            <w:tcW w:w="900" w:type="dxa"/>
            <w:hideMark/>
          </w:tcPr>
          <w:p w:rsidR="00C8342C" w:rsidRPr="00C8342C" w:rsidRDefault="00C8342C" w:rsidP="00C8342C">
            <w:pPr>
              <w:bidi/>
              <w:spacing w:before="100" w:beforeAutospacing="1" w:after="100" w:afterAutospacing="1" w:line="240" w:lineRule="auto"/>
              <w:jc w:val="center"/>
              <w:rPr>
                <w:rFonts w:ascii="Tahoma" w:eastAsia="Times New Roman" w:hAnsi="Tahoma" w:cs="Tahoma"/>
                <w:color w:val="6F6969"/>
                <w:sz w:val="17"/>
                <w:szCs w:val="17"/>
                <w:rtl/>
              </w:rPr>
            </w:pPr>
            <w:r w:rsidRPr="00C8342C">
              <w:rPr>
                <w:rFonts w:ascii="Tahoma" w:eastAsia="Times New Roman" w:hAnsi="Tahoma" w:cs="Tahoma"/>
                <w:color w:val="6F6969"/>
                <w:sz w:val="17"/>
                <w:szCs w:val="17"/>
                <w:rtl/>
              </w:rPr>
              <w:t>أولا</w:t>
            </w:r>
          </w:p>
        </w:tc>
        <w:tc>
          <w:tcPr>
            <w:tcW w:w="315" w:type="dxa"/>
            <w:hideMark/>
          </w:tcPr>
          <w:p w:rsidR="00C8342C" w:rsidRPr="00C8342C" w:rsidRDefault="00C8342C" w:rsidP="00C8342C">
            <w:pPr>
              <w:bidi/>
              <w:spacing w:before="100" w:beforeAutospacing="1" w:after="100" w:afterAutospacing="1" w:line="240" w:lineRule="auto"/>
              <w:jc w:val="center"/>
              <w:rPr>
                <w:rFonts w:ascii="Tahoma" w:eastAsia="Times New Roman" w:hAnsi="Tahoma" w:cs="Tahoma"/>
                <w:color w:val="6F6969"/>
                <w:sz w:val="17"/>
                <w:szCs w:val="17"/>
                <w:rtl/>
              </w:rPr>
            </w:pPr>
            <w:r w:rsidRPr="00C8342C">
              <w:rPr>
                <w:rFonts w:ascii="Tahoma" w:eastAsia="Times New Roman" w:hAnsi="Tahoma" w:cs="Tahoma"/>
                <w:color w:val="6F6969"/>
                <w:sz w:val="17"/>
                <w:szCs w:val="17"/>
                <w:rtl/>
              </w:rPr>
              <w:t>:</w:t>
            </w:r>
          </w:p>
        </w:tc>
        <w:tc>
          <w:tcPr>
            <w:tcW w:w="7305" w:type="dxa"/>
            <w:hideMark/>
          </w:tcPr>
          <w:p w:rsidR="00C8342C" w:rsidRPr="00C8342C" w:rsidRDefault="00C8342C" w:rsidP="00C8342C">
            <w:pPr>
              <w:bidi/>
              <w:spacing w:before="100" w:beforeAutospacing="1" w:after="100" w:afterAutospacing="1" w:line="240" w:lineRule="auto"/>
              <w:jc w:val="center"/>
              <w:rPr>
                <w:rFonts w:ascii="Tahoma" w:eastAsia="Times New Roman" w:hAnsi="Tahoma" w:cs="Tahoma"/>
                <w:color w:val="6F6969"/>
                <w:sz w:val="17"/>
                <w:szCs w:val="17"/>
                <w:rtl/>
              </w:rPr>
            </w:pPr>
            <w:r w:rsidRPr="00C8342C">
              <w:rPr>
                <w:rFonts w:ascii="Tahoma" w:eastAsia="Times New Roman" w:hAnsi="Tahoma" w:cs="Tahoma"/>
                <w:color w:val="6F6969"/>
                <w:sz w:val="17"/>
                <w:szCs w:val="17"/>
                <w:rtl/>
              </w:rPr>
              <w:t>كل ترخيص يصدره لأية شركة أو هيئة تأمين بمزاولة فرع واحد من فروع التأمين المنصوص عليها في المادة (4) من هذا القانون.</w:t>
            </w:r>
          </w:p>
        </w:tc>
      </w:tr>
      <w:tr w:rsidR="00C8342C" w:rsidRPr="00C8342C" w:rsidTr="00C8342C">
        <w:trPr>
          <w:tblCellSpacing w:w="0" w:type="dxa"/>
        </w:trPr>
        <w:tc>
          <w:tcPr>
            <w:tcW w:w="900" w:type="dxa"/>
            <w:hideMark/>
          </w:tcPr>
          <w:p w:rsidR="00C8342C" w:rsidRPr="00C8342C" w:rsidRDefault="00C8342C" w:rsidP="00C8342C">
            <w:pPr>
              <w:bidi/>
              <w:spacing w:before="100" w:beforeAutospacing="1" w:after="100" w:afterAutospacing="1" w:line="240" w:lineRule="auto"/>
              <w:jc w:val="center"/>
              <w:rPr>
                <w:rFonts w:ascii="Tahoma" w:eastAsia="Times New Roman" w:hAnsi="Tahoma" w:cs="Tahoma"/>
                <w:color w:val="6F6969"/>
                <w:sz w:val="17"/>
                <w:szCs w:val="17"/>
                <w:rtl/>
              </w:rPr>
            </w:pPr>
            <w:r w:rsidRPr="00C8342C">
              <w:rPr>
                <w:rFonts w:ascii="Tahoma" w:eastAsia="Times New Roman" w:hAnsi="Tahoma" w:cs="Tahoma"/>
                <w:color w:val="6F6969"/>
                <w:sz w:val="17"/>
                <w:szCs w:val="17"/>
                <w:rtl/>
              </w:rPr>
              <w:t>ثانيــــــــا</w:t>
            </w:r>
          </w:p>
        </w:tc>
        <w:tc>
          <w:tcPr>
            <w:tcW w:w="315" w:type="dxa"/>
            <w:hideMark/>
          </w:tcPr>
          <w:p w:rsidR="00C8342C" w:rsidRPr="00C8342C" w:rsidRDefault="00C8342C" w:rsidP="00C8342C">
            <w:pPr>
              <w:bidi/>
              <w:spacing w:before="100" w:beforeAutospacing="1" w:after="100" w:afterAutospacing="1" w:line="240" w:lineRule="auto"/>
              <w:jc w:val="center"/>
              <w:rPr>
                <w:rFonts w:ascii="Tahoma" w:eastAsia="Times New Roman" w:hAnsi="Tahoma" w:cs="Tahoma"/>
                <w:color w:val="6F6969"/>
                <w:sz w:val="17"/>
                <w:szCs w:val="17"/>
                <w:rtl/>
              </w:rPr>
            </w:pPr>
            <w:r w:rsidRPr="00C8342C">
              <w:rPr>
                <w:rFonts w:ascii="Tahoma" w:eastAsia="Times New Roman" w:hAnsi="Tahoma" w:cs="Tahoma"/>
                <w:color w:val="6F6969"/>
                <w:sz w:val="17"/>
                <w:szCs w:val="17"/>
                <w:rtl/>
              </w:rPr>
              <w:t>:</w:t>
            </w:r>
          </w:p>
        </w:tc>
        <w:tc>
          <w:tcPr>
            <w:tcW w:w="7305" w:type="dxa"/>
            <w:hideMark/>
          </w:tcPr>
          <w:p w:rsidR="00C8342C" w:rsidRPr="00C8342C" w:rsidRDefault="00C8342C" w:rsidP="00C8342C">
            <w:pPr>
              <w:bidi/>
              <w:spacing w:before="100" w:beforeAutospacing="1" w:after="100" w:afterAutospacing="1" w:line="240" w:lineRule="auto"/>
              <w:jc w:val="center"/>
              <w:rPr>
                <w:rFonts w:ascii="Tahoma" w:eastAsia="Times New Roman" w:hAnsi="Tahoma" w:cs="Tahoma"/>
                <w:color w:val="6F6969"/>
                <w:sz w:val="17"/>
                <w:szCs w:val="17"/>
                <w:rtl/>
              </w:rPr>
            </w:pPr>
            <w:r w:rsidRPr="00C8342C">
              <w:rPr>
                <w:rFonts w:ascii="Tahoma" w:eastAsia="Times New Roman" w:hAnsi="Tahoma" w:cs="Tahoma"/>
                <w:color w:val="6F6969"/>
                <w:sz w:val="17"/>
                <w:szCs w:val="17"/>
                <w:rtl/>
              </w:rPr>
              <w:t>كل وثيقة من وثائق التأمين التي تصدرها شركات أو هيئات التأمين الخاضعة لأحكام هذا القانون وكل تجديد للوثيقة.</w:t>
            </w:r>
          </w:p>
        </w:tc>
      </w:tr>
      <w:tr w:rsidR="00C8342C" w:rsidRPr="00C8342C" w:rsidTr="00C8342C">
        <w:trPr>
          <w:tblCellSpacing w:w="0" w:type="dxa"/>
        </w:trPr>
        <w:tc>
          <w:tcPr>
            <w:tcW w:w="900" w:type="dxa"/>
            <w:hideMark/>
          </w:tcPr>
          <w:p w:rsidR="00C8342C" w:rsidRPr="00C8342C" w:rsidRDefault="00C8342C" w:rsidP="00C8342C">
            <w:pPr>
              <w:bidi/>
              <w:spacing w:before="100" w:beforeAutospacing="1" w:after="100" w:afterAutospacing="1" w:line="240" w:lineRule="auto"/>
              <w:jc w:val="center"/>
              <w:rPr>
                <w:rFonts w:ascii="Tahoma" w:eastAsia="Times New Roman" w:hAnsi="Tahoma" w:cs="Tahoma"/>
                <w:color w:val="6F6969"/>
                <w:sz w:val="17"/>
                <w:szCs w:val="17"/>
                <w:rtl/>
              </w:rPr>
            </w:pPr>
            <w:r w:rsidRPr="00C8342C">
              <w:rPr>
                <w:rFonts w:ascii="Tahoma" w:eastAsia="Times New Roman" w:hAnsi="Tahoma" w:cs="Tahoma"/>
                <w:color w:val="6F6969"/>
                <w:sz w:val="17"/>
                <w:szCs w:val="17"/>
                <w:rtl/>
              </w:rPr>
              <w:lastRenderedPageBreak/>
              <w:t>ثالثــــــــا</w:t>
            </w:r>
          </w:p>
        </w:tc>
        <w:tc>
          <w:tcPr>
            <w:tcW w:w="315" w:type="dxa"/>
            <w:hideMark/>
          </w:tcPr>
          <w:p w:rsidR="00C8342C" w:rsidRPr="00C8342C" w:rsidRDefault="00C8342C" w:rsidP="00C8342C">
            <w:pPr>
              <w:bidi/>
              <w:spacing w:before="100" w:beforeAutospacing="1" w:after="100" w:afterAutospacing="1" w:line="240" w:lineRule="auto"/>
              <w:jc w:val="center"/>
              <w:rPr>
                <w:rFonts w:ascii="Tahoma" w:eastAsia="Times New Roman" w:hAnsi="Tahoma" w:cs="Tahoma"/>
                <w:color w:val="6F6969"/>
                <w:sz w:val="17"/>
                <w:szCs w:val="17"/>
                <w:rtl/>
              </w:rPr>
            </w:pPr>
            <w:r w:rsidRPr="00C8342C">
              <w:rPr>
                <w:rFonts w:ascii="Tahoma" w:eastAsia="Times New Roman" w:hAnsi="Tahoma" w:cs="Tahoma"/>
                <w:color w:val="6F6969"/>
                <w:sz w:val="17"/>
                <w:szCs w:val="17"/>
                <w:rtl/>
              </w:rPr>
              <w:t>:</w:t>
            </w:r>
          </w:p>
        </w:tc>
        <w:tc>
          <w:tcPr>
            <w:tcW w:w="7305" w:type="dxa"/>
            <w:hideMark/>
          </w:tcPr>
          <w:p w:rsidR="00C8342C" w:rsidRPr="00C8342C" w:rsidRDefault="00C8342C" w:rsidP="00C8342C">
            <w:pPr>
              <w:bidi/>
              <w:spacing w:before="100" w:beforeAutospacing="1" w:after="100" w:afterAutospacing="1" w:line="240" w:lineRule="auto"/>
              <w:jc w:val="center"/>
              <w:rPr>
                <w:rFonts w:ascii="Tahoma" w:eastAsia="Times New Roman" w:hAnsi="Tahoma" w:cs="Tahoma"/>
                <w:color w:val="6F6969"/>
                <w:sz w:val="17"/>
                <w:szCs w:val="17"/>
                <w:rtl/>
              </w:rPr>
            </w:pPr>
            <w:r w:rsidRPr="00C8342C">
              <w:rPr>
                <w:rFonts w:ascii="Tahoma" w:eastAsia="Times New Roman" w:hAnsi="Tahoma" w:cs="Tahoma"/>
                <w:color w:val="6F6969"/>
                <w:sz w:val="17"/>
                <w:szCs w:val="17"/>
                <w:rtl/>
              </w:rPr>
              <w:t>القيد في سجلات وسطاء التأمين والخبراء الاكتواريين وخبراء المعاينة وتقدير الأضرار واستشاريي التأمين وعن تجديد هذا القيد.</w:t>
            </w:r>
          </w:p>
        </w:tc>
      </w:tr>
    </w:tbl>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ahoma" w:eastAsia="Times New Roman" w:hAnsi="Tahoma" w:cs="Tahoma"/>
          <w:b/>
          <w:bCs/>
          <w:color w:val="F18B0B"/>
          <w:sz w:val="17"/>
          <w:szCs w:val="17"/>
          <w:rtl/>
        </w:rPr>
        <w:t>مادة – 35 –</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t>مـــع عـدم الإخلال بأية عقوبة أشد ينص عليها قانون العقوبات أو أي قانون آخر مع مراعاة ما ورد في المادتين (28، 33) من هذا القانون يعاقب بالحبس مدة لا تزيد على ثلاثة شهور وغرامة لا تقل عن مائة دينار ولا تتجاوز خمسمائة دينار أو بإحدى هاتين العقوبتين كل شخص زاول مهنة وسيط تأمين أو خبير اكتواري أو خبير معاينة وأضرار أو استشاريي تأمين دون أن يكون اسمه مقيدا في السجل المعد لذلك بوزارة التجارة والزراعة أو دون أن يجدد قيده في الميعاد القانوني. وتضاعف العقوبة في حالة العود.</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ahoma" w:eastAsia="Times New Roman" w:hAnsi="Tahoma" w:cs="Tahoma"/>
          <w:b/>
          <w:bCs/>
          <w:color w:val="F18B0B"/>
          <w:sz w:val="17"/>
          <w:szCs w:val="17"/>
          <w:rtl/>
        </w:rPr>
        <w:t>مادة – 36 –</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t>يصدر وزير التجارة والزراعة القرارات اللازمة لتنفيذ هذا القانون.</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ahoma" w:eastAsia="Times New Roman" w:hAnsi="Tahoma" w:cs="Tahoma"/>
          <w:b/>
          <w:bCs/>
          <w:color w:val="F18B0B"/>
          <w:sz w:val="17"/>
          <w:szCs w:val="17"/>
          <w:rtl/>
        </w:rPr>
        <w:t>مادة – 37 –</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t>على الوزراء – كل فيما يخصه – تنفيذ هذا القانون، ويعمل به بعد ستة شهور من تاريخ نشره في الجريدة الرسمية.</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t>أمير دولة البحرين</w:t>
      </w:r>
      <w:r w:rsidRPr="00C8342C">
        <w:rPr>
          <w:rFonts w:ascii="Times New Roman" w:eastAsia="Times New Roman" w:hAnsi="Times New Roman" w:cs="Times New Roman"/>
          <w:sz w:val="24"/>
          <w:szCs w:val="24"/>
          <w:rtl/>
        </w:rPr>
        <w:br/>
      </w:r>
      <w:r w:rsidRPr="00C8342C">
        <w:rPr>
          <w:rFonts w:ascii="Times New Roman" w:eastAsia="Times New Roman" w:hAnsi="Times New Roman" w:cs="Times New Roman"/>
          <w:b/>
          <w:bCs/>
          <w:sz w:val="24"/>
          <w:szCs w:val="24"/>
          <w:rtl/>
        </w:rPr>
        <w:t>عيسى بن سلمان آل خليفة</w:t>
      </w:r>
    </w:p>
    <w:p w:rsidR="00C8342C" w:rsidRPr="00C8342C" w:rsidRDefault="00C8342C" w:rsidP="00C8342C">
      <w:pPr>
        <w:bidi/>
        <w:spacing w:before="100" w:beforeAutospacing="1" w:after="100" w:afterAutospacing="1" w:line="240" w:lineRule="auto"/>
        <w:jc w:val="center"/>
        <w:rPr>
          <w:rFonts w:ascii="Times New Roman" w:eastAsia="Times New Roman" w:hAnsi="Times New Roman" w:cs="Times New Roman"/>
          <w:sz w:val="24"/>
          <w:szCs w:val="24"/>
          <w:rtl/>
        </w:rPr>
      </w:pPr>
      <w:r w:rsidRPr="00C8342C">
        <w:rPr>
          <w:rFonts w:ascii="Times New Roman" w:eastAsia="Times New Roman" w:hAnsi="Times New Roman" w:cs="Times New Roman"/>
          <w:sz w:val="24"/>
          <w:szCs w:val="24"/>
          <w:rtl/>
        </w:rPr>
        <w:t>صدر في قصر الرفاع:</w:t>
      </w:r>
      <w:r w:rsidRPr="00C8342C">
        <w:rPr>
          <w:rFonts w:ascii="Times New Roman" w:eastAsia="Times New Roman" w:hAnsi="Times New Roman" w:cs="Times New Roman"/>
          <w:sz w:val="24"/>
          <w:szCs w:val="24"/>
          <w:rtl/>
        </w:rPr>
        <w:br/>
        <w:t>بتاريخ 5 جمادي الأولى 1408هـ</w:t>
      </w:r>
      <w:r w:rsidRPr="00C8342C">
        <w:rPr>
          <w:rFonts w:ascii="Times New Roman" w:eastAsia="Times New Roman" w:hAnsi="Times New Roman" w:cs="Times New Roman"/>
          <w:sz w:val="24"/>
          <w:szCs w:val="24"/>
          <w:rtl/>
        </w:rPr>
        <w:br/>
        <w:t>الموافق 26 ديسمبر 1987م</w:t>
      </w:r>
    </w:p>
    <w:bookmarkEnd w:id="0"/>
    <w:p w:rsidR="00F76A2D" w:rsidRDefault="00F76A2D"/>
    <w:sectPr w:rsidR="00F76A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342C"/>
    <w:rsid w:val="00C8342C"/>
    <w:rsid w:val="00F76A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4731FA-C9DD-4CCA-8927-77795B2D8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C8342C"/>
  </w:style>
  <w:style w:type="paragraph" w:styleId="NormalWeb">
    <w:name w:val="Normal (Web)"/>
    <w:basedOn w:val="Normal"/>
    <w:uiPriority w:val="99"/>
    <w:semiHidden/>
    <w:unhideWhenUsed/>
    <w:rsid w:val="00C8342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834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846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1462</Words>
  <Characters>8336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2019-01-24T10:22:00Z</dcterms:created>
  <dcterms:modified xsi:type="dcterms:W3CDTF">2019-01-24T10:22:00Z</dcterms:modified>
</cp:coreProperties>
</file>