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79EAB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</w:t>
      </w:r>
    </w:p>
    <w:p w14:paraId="7A1EF8C2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 xml:space="preserve">قانون رقم </w:t>
      </w:r>
      <w:proofErr w:type="gramStart"/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( 32</w:t>
      </w:r>
      <w:proofErr w:type="gramEnd"/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 xml:space="preserve"> ) لسنه 2009</w:t>
      </w:r>
    </w:p>
    <w:p w14:paraId="113A2763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بإنشاء صندوق معاشات ومكافآت التقاعد</w:t>
      </w:r>
    </w:p>
    <w:p w14:paraId="7F05ACA5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لأعضاء مجلسي الشورى والنواب والمجالس البلدية</w:t>
      </w:r>
    </w:p>
    <w:p w14:paraId="17BD322D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وتنظيم معاشاتهم ومكافآتهم</w:t>
      </w:r>
    </w:p>
    <w:p w14:paraId="503AA21E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</w:t>
      </w:r>
    </w:p>
    <w:p w14:paraId="746A3475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نحن حمد بن عيسى آل خليفة                ملك مملكة البحرين</w:t>
      </w:r>
    </w:p>
    <w:p w14:paraId="296B6B5C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بعد الاطلاع على الدستور</w:t>
      </w:r>
    </w:p>
    <w:p w14:paraId="19026FD5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وعلى القانون رقم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( 13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) لسنه 1975 بشأن تنظيم معاشات ومكافآت التقاعد لموظفي الحكومة  وتعديلاته ،</w:t>
      </w:r>
    </w:p>
    <w:p w14:paraId="0D88F5D4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وعلى قانون تنظيم معاشات ومكافآت التقاعد لضباط وأفراد قوة دفاع البحرين والأمن العام الصادر بالمرسوم بقانون رقم (11) لسنة 1976، وتعديلاته</w:t>
      </w:r>
    </w:p>
    <w:p w14:paraId="5A4B8960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وعلى قانون التأمين الاجتماعي الصادر بالمرسوم بقانون رقم (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24 )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لسنة 1976 ، وتعديلاته</w:t>
      </w:r>
    </w:p>
    <w:p w14:paraId="1EE20D08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وعلى المرسوم بقانون رقم (6) لسنة 1991 بإنشاء صندوق التقاعد لضباط وأفراد قوة دفاع البحرين والأمن العام البحرينيين وغير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البحرينيين  ،</w:t>
      </w:r>
      <w:proofErr w:type="gramEnd"/>
    </w:p>
    <w:p w14:paraId="611AA79F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وعلى قانون البلديات الصادر بالمرسوم بقانون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( 35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) لسنه 2001 ، المعدل بالقانون رقم (38) لسنه 2006 ،</w:t>
      </w:r>
    </w:p>
    <w:p w14:paraId="569D760C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وعلى المرسوم بقانون (15) لسنه 2002 بشأن مجلسي الشورى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والنواب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المعدل بالمرسوم بقانون رقم (30) لسنه 2002 ،</w:t>
      </w:r>
    </w:p>
    <w:p w14:paraId="71C68ACA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وعلى القانون رقم (3) لسنه 2008 بشأن الهيئة العامة للتأمين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الاجتماعي ،</w:t>
      </w:r>
      <w:proofErr w:type="gramEnd"/>
    </w:p>
    <w:p w14:paraId="68C75ED1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أقر مجلس الشورى ومجلس النواب القانون الآتي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نصه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قد صدقناه عليه وأصدرناه:</w:t>
      </w:r>
    </w:p>
    <w:p w14:paraId="438D6672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229FFA2F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الأولى</w:t>
      </w:r>
    </w:p>
    <w:p w14:paraId="6E4D9D96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تسري أحكام هذا القانون على أعضاء مجلسي الشورى والنواب اعتباراً من الفصل التشريعي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الأول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وعلى أعضاء المجالس البلدية اعتباراً من أول اجتماع لكل مجلس بلدي بعد انتخاب المجالس البلدية سنه 2002 .</w:t>
      </w:r>
    </w:p>
    <w:p w14:paraId="32A36C65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42821D8E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الثانية</w:t>
      </w:r>
    </w:p>
    <w:p w14:paraId="14B4B9A3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ينشأ صندوق للتقاعد ينظم معاشات ومكافآت التقاعد في حالات الشيخوخة والعجز والوفاة وإصابات العمل لأعضاء مجلسي الشورى والنواب والمجالس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البلدية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وتتولى الهيئة العامة للتأمين الاجتماعي إدارته .</w:t>
      </w:r>
    </w:p>
    <w:p w14:paraId="74426F03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33A9CD43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الثالثة</w:t>
      </w:r>
    </w:p>
    <w:p w14:paraId="143450E5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يلتزم عضو مجلس الشورى ومجلس النواب والمجلس البلدي الخاضع لأحكام هذا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القانون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اعتباراً من تاريخ العمل به ، بسداد اشتراك تقاعدي شهري بنسبة (10%) من المكافأة الشهرية المستحقة له ،</w:t>
      </w:r>
    </w:p>
    <w:p w14:paraId="36101498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وتلتزم الحكومة بسداد اشتراك تقاعدي شهري بنسبة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( 20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%) واشتراك تأمين اصابات عمل شهرياً بنسبة (3%) ، وذلك من المكافأة الشهرية لأعضاء مجلسي الشورى والنواب والمجالس البلدية .</w:t>
      </w:r>
    </w:p>
    <w:p w14:paraId="21F2D5ED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7C059C3E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الرابعة</w:t>
      </w:r>
    </w:p>
    <w:p w14:paraId="7E47EABC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تتكون موارد الصندوق مما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يأتي :</w:t>
      </w:r>
      <w:proofErr w:type="gramEnd"/>
    </w:p>
    <w:p w14:paraId="28052403" w14:textId="77777777" w:rsidR="00FB2339" w:rsidRPr="00FB2339" w:rsidRDefault="00FB2339" w:rsidP="00FB2339">
      <w:pPr>
        <w:bidi/>
        <w:spacing w:before="240" w:after="60" w:line="240" w:lineRule="auto"/>
        <w:ind w:left="360" w:hanging="360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rtl/>
        </w:rPr>
      </w:pPr>
      <w:r w:rsidRPr="00FB2339">
        <w:rPr>
          <w:rFonts w:ascii="Arial" w:eastAsia="Times New Roman" w:hAnsi="Arial" w:cs="Arial"/>
          <w:color w:val="000000"/>
          <w:kern w:val="36"/>
          <w:sz w:val="28"/>
          <w:szCs w:val="28"/>
          <w:rtl/>
        </w:rPr>
        <w:t>1.</w:t>
      </w:r>
      <w:r w:rsidRPr="00FB2339">
        <w:rPr>
          <w:rFonts w:ascii="Times New Roman" w:eastAsia="Times New Roman" w:hAnsi="Times New Roman" w:cs="Times New Roman"/>
          <w:color w:val="000000"/>
          <w:kern w:val="36"/>
          <w:sz w:val="14"/>
          <w:szCs w:val="14"/>
          <w:rtl/>
        </w:rPr>
        <w:t>     </w:t>
      </w:r>
      <w:r w:rsidRPr="00FB2339">
        <w:rPr>
          <w:rFonts w:ascii="Arial" w:eastAsia="Times New Roman" w:hAnsi="Arial" w:cs="Arial" w:hint="cs"/>
          <w:color w:val="000000"/>
          <w:kern w:val="36"/>
          <w:sz w:val="28"/>
          <w:szCs w:val="28"/>
          <w:rtl/>
          <w:lang w:bidi="ar-BH"/>
        </w:rPr>
        <w:t xml:space="preserve">الاشتراكات المنصوص عليها بالمادة الثالثة من هذا </w:t>
      </w:r>
      <w:proofErr w:type="gramStart"/>
      <w:r w:rsidRPr="00FB2339">
        <w:rPr>
          <w:rFonts w:ascii="Arial" w:eastAsia="Times New Roman" w:hAnsi="Arial" w:cs="Arial" w:hint="cs"/>
          <w:color w:val="000000"/>
          <w:kern w:val="36"/>
          <w:sz w:val="28"/>
          <w:szCs w:val="28"/>
          <w:rtl/>
          <w:lang w:bidi="ar-BH"/>
        </w:rPr>
        <w:t>القانون .</w:t>
      </w:r>
      <w:proofErr w:type="gramEnd"/>
    </w:p>
    <w:p w14:paraId="6843485A" w14:textId="77777777" w:rsidR="00FB2339" w:rsidRPr="00FB2339" w:rsidRDefault="00FB2339" w:rsidP="00FB2339">
      <w:pPr>
        <w:bidi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lastRenderedPageBreak/>
        <w:t>2.</w:t>
      </w:r>
      <w:r w:rsidRPr="00FB2339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ما تتحمله الحكومة</w:t>
      </w:r>
      <w:r w:rsidRPr="00FB2339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 </w:t>
      </w: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من تكلفة القيمة الرأسمالية </w:t>
      </w:r>
      <w:proofErr w:type="spell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الإكتوارية</w:t>
      </w:r>
      <w:proofErr w:type="spell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الحالية لفروق الاشتراكات بين مدة الخدمة الفعلية ومدة الخدمة الاعتبارية المحسوبة في التقاعد ومجموع الاشتراكات غير المسددة قبل سريان أحكام هذا القانون بالنسبة لأعضاء مجلسي الشورى والنواب والمجالس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البلدية .</w:t>
      </w:r>
      <w:proofErr w:type="gramEnd"/>
    </w:p>
    <w:p w14:paraId="783B868C" w14:textId="77777777" w:rsidR="00FB2339" w:rsidRPr="00FB2339" w:rsidRDefault="00FB2339" w:rsidP="00FB2339">
      <w:pPr>
        <w:bidi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3.</w:t>
      </w:r>
      <w:r w:rsidRPr="00FB2339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حصيلة استثمار أموال الصندوق</w:t>
      </w:r>
    </w:p>
    <w:p w14:paraId="1EA5B19B" w14:textId="77777777" w:rsidR="00FB2339" w:rsidRPr="00FB2339" w:rsidRDefault="00FB2339" w:rsidP="00FB2339">
      <w:pPr>
        <w:bidi/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4.</w:t>
      </w:r>
      <w:r w:rsidRPr="00FB2339">
        <w:rPr>
          <w:rFonts w:ascii="Times New Roman" w:eastAsia="Times New Roman" w:hAnsi="Times New Roman" w:cs="Times New Roman"/>
          <w:color w:val="000000"/>
          <w:sz w:val="14"/>
          <w:szCs w:val="14"/>
          <w:rtl/>
        </w:rPr>
        <w:t>     </w:t>
      </w: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أية موارد مالية أخرى تخصصها الحكومة للصندوق</w:t>
      </w:r>
    </w:p>
    <w:p w14:paraId="559B4DD1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420521D8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الخامسة</w:t>
      </w:r>
    </w:p>
    <w:p w14:paraId="59F029EB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يجوز تعديل نسبة الاشتراكات المنصوص عليها في المادة الثالثة من هذا القانون بقرار من مجلس الوزراء بناء على تقرير يعده خبير </w:t>
      </w:r>
      <w:proofErr w:type="spellStart"/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إكتواري</w:t>
      </w:r>
      <w:proofErr w:type="spell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وتوصية مجلس إدارة الهيئة العامة للتأمين الاجتماعي .</w:t>
      </w:r>
    </w:p>
    <w:p w14:paraId="6D84FD07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21EBDB86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السادسة</w:t>
      </w:r>
    </w:p>
    <w:p w14:paraId="70515F65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يستحق رئيس مجلس الشورى ورئيس مجلس النواب معاشاً تقاعدياً يعادل المعاش التقاعدي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للوزير .</w:t>
      </w:r>
      <w:proofErr w:type="gramEnd"/>
    </w:p>
    <w:p w14:paraId="7CC59CF9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44240341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السابعة</w:t>
      </w:r>
    </w:p>
    <w:p w14:paraId="349DA5C3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يستحق عضو مجلس الشورى أو مجلس النواب أو المجلس البلدي الذي يقضي في العضوية أربع سنوات كاملة معاشاً تقاعدياً بواقع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( 50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%) من مكافأته الشهرية يحتسب على أساس افتراص</w:t>
      </w:r>
    </w:p>
    <w:p w14:paraId="1EECF8D1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04122EA4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مدة خدمة اعتبارية قدرها (25)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سنة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ويضاف إلى معاشه نسبة (7.5% ) من مكافأته الشهرية عن كل سنة من السنوات التي يقضيها العضو بعد ذلك في عضوية المجلس وبحد أقصى 4 سنوات ، وذلك بالإضافة إلى المعاش المستحق له عن مدة خدمته في غير عضوية المجلس بشرط ألا يتجاوز مجموع المعاشين أربعة آلاف (4000) دينار بحريني .</w:t>
      </w:r>
    </w:p>
    <w:p w14:paraId="4893EC58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6DDED098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 xml:space="preserve">المادة </w:t>
      </w:r>
      <w:proofErr w:type="spellStart"/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الثامنه</w:t>
      </w:r>
      <w:proofErr w:type="spellEnd"/>
    </w:p>
    <w:p w14:paraId="17F55540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في حالة عدم استحقاق عضو مجلس الشورى أو مجلس النواب أو المجلس البلدي معاشاً تقاعدياً طبقاً لنص المادة السابعة من هذا القانون يمنح مكافأة تقاعد بواقع (15%) من آخر مكافأة شهرية كان يحصل عليها خلال مدة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عضويته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وذلك عن كل سنة من سنوات العضوية .</w:t>
      </w:r>
    </w:p>
    <w:p w14:paraId="39D43FCF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1EA0AD96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التاسعة</w:t>
      </w:r>
    </w:p>
    <w:p w14:paraId="15300E9D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لعضو مجلس الشورى أو مجلس النواب أو المجلس البلدي الذي يقتضي في عضوية المجلس أقل من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سنة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ان يسترد الاشتراكات التي دفعها خلال هذه المدة ، ويشطب من نظام التقاعد.</w:t>
      </w:r>
    </w:p>
    <w:p w14:paraId="6FAD5C92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68C54E70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العاشرة</w:t>
      </w:r>
    </w:p>
    <w:p w14:paraId="745F1333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في حالة العجز الكلي أو الوفاة أثناء مدة العضوية في مجلس الشورى أو مجلس النواب أو المجلس البلدي يصرف للعضو أو للمستحقين عنه معاش بواقع (40%) من المكافأة الشهرية أو المعاش المستحق له أيهما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أكبر .</w:t>
      </w:r>
      <w:proofErr w:type="gramEnd"/>
    </w:p>
    <w:p w14:paraId="7E7076AC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3B859B19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الحادية عشرة</w:t>
      </w:r>
    </w:p>
    <w:p w14:paraId="0F9BD63E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تزاد معاشات عضو مجلس الشورى أو مجلس النواب أو المجلس البلدي أو المستحقين عنهم بنسبة (3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% )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سنوياً مع مراعاة الحد الأعلى للمعاش المنصوص عليه في المادة السابعة من هذا القانون</w:t>
      </w:r>
    </w:p>
    <w:p w14:paraId="6876B8ED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2DA142FA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lastRenderedPageBreak/>
        <w:t>المادة الثانية عشرة</w:t>
      </w:r>
    </w:p>
    <w:p w14:paraId="1E93335C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مع عدم الإخلال بالأحكام الواردة في هذا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القانون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تسري بشأن عضو مجلس الشورى أو مجلس النواب أو المجلس البلدي المواد (22) و(24 ) و (25) و( 26 ) و (27) و (28 ) و (29) و(30 ) و(31) و(32) و (33) و (34) و( 35) و(36) و (37) والفصل التاسع من القانون رقم (13 ) لسنه 1975 بشأن تنظيم معاشات ومكافآت التقاعد لموظفي الحكومة .</w:t>
      </w:r>
    </w:p>
    <w:p w14:paraId="10260F4A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1F254C92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الثالثة عشرة</w:t>
      </w:r>
    </w:p>
    <w:p w14:paraId="74F749D6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تتكفل الميزانية العامة للدولة بتغطية أي عجز مالي يطرأ على الصندوق المشار إليه بالمادة الثانية من هذا القانون نتيجة تطبيق أحكام هذا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القانون .</w:t>
      </w:r>
      <w:proofErr w:type="gramEnd"/>
    </w:p>
    <w:p w14:paraId="4DD89DEA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0A2EE790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الرابعة عشرة</w:t>
      </w:r>
    </w:p>
    <w:p w14:paraId="447632B7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يصدر وزير المالية القرارات اللازمة لتنفيذ أحكام هذا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القانون .</w:t>
      </w:r>
      <w:proofErr w:type="gramEnd"/>
    </w:p>
    <w:p w14:paraId="05846130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42912596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الخامسة عشرة</w:t>
      </w:r>
    </w:p>
    <w:p w14:paraId="555BB957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يلغى كل نص يتعارض مع أحكام هذا القانون</w:t>
      </w:r>
    </w:p>
    <w:p w14:paraId="3AE2343E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12FB0F1C" w14:textId="77777777" w:rsidR="00FB2339" w:rsidRPr="00FB2339" w:rsidRDefault="00FB2339" w:rsidP="00FB2339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السادسة عشرة</w:t>
      </w:r>
    </w:p>
    <w:p w14:paraId="447F5DD1" w14:textId="77777777" w:rsidR="00FB2339" w:rsidRPr="00FB2339" w:rsidRDefault="00FB2339" w:rsidP="00FB233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على رئيس مجلس الوزراء والوزراء – كل فيما يخصه – تنفيذ هذا </w:t>
      </w: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القانون ،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ويعمل به </w:t>
      </w:r>
      <w:proofErr w:type="spell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إعتباراً</w:t>
      </w:r>
      <w:proofErr w:type="spell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من أول الشهر التالي لتاريخ نشره في الجريدة الرسمية .</w:t>
      </w:r>
    </w:p>
    <w:p w14:paraId="653F010D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3D183FAB" w14:textId="77777777" w:rsidR="00FB2339" w:rsidRPr="00FB2339" w:rsidRDefault="00FB2339" w:rsidP="00FB2339">
      <w:pPr>
        <w:bidi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ملك مملكة البحرين</w:t>
      </w:r>
    </w:p>
    <w:p w14:paraId="664F44D5" w14:textId="77777777" w:rsidR="00FB2339" w:rsidRPr="00FB2339" w:rsidRDefault="00FB2339" w:rsidP="00FB2339">
      <w:pPr>
        <w:bidi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حمد بن عيسى آل خليفة</w:t>
      </w:r>
    </w:p>
    <w:p w14:paraId="0A1084B0" w14:textId="77777777" w:rsidR="00FB2339" w:rsidRPr="00FB2339" w:rsidRDefault="00FB2339" w:rsidP="00FB2339">
      <w:pPr>
        <w:bidi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36BEF73B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صدر في قصر الرفاع</w:t>
      </w:r>
    </w:p>
    <w:p w14:paraId="571F5B1D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بتاريخ :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7 رجب 1430هــ</w:t>
      </w:r>
    </w:p>
    <w:p w14:paraId="68F748B7" w14:textId="77777777" w:rsidR="00FB2339" w:rsidRPr="00FB2339" w:rsidRDefault="00FB2339" w:rsidP="00FB2339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proofErr w:type="gramStart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الموافق :</w:t>
      </w:r>
      <w:proofErr w:type="gramEnd"/>
      <w:r w:rsidRPr="00FB2339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 xml:space="preserve"> 30يونيو2009م</w:t>
      </w:r>
    </w:p>
    <w:p w14:paraId="716E6D25" w14:textId="77777777" w:rsidR="005048D1" w:rsidRDefault="005048D1"/>
    <w:sectPr w:rsidR="00504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39"/>
    <w:rsid w:val="003A6181"/>
    <w:rsid w:val="005048D1"/>
    <w:rsid w:val="00BF64FF"/>
    <w:rsid w:val="00FB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0F8B"/>
  <w15:chartTrackingRefBased/>
  <w15:docId w15:val="{FD9183E8-D59B-4A02-A2FB-73FDD3F7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2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3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Jenan Khalil Ebrahim Shamlooh</dc:creator>
  <cp:keywords/>
  <dc:description/>
  <cp:lastModifiedBy>Jenan Khalil Ebrahim Shamlooh</cp:lastModifiedBy>
  <cp:revision>1</cp:revision>
  <dcterms:created xsi:type="dcterms:W3CDTF">2026-08-29T14:45:00Z</dcterms:created>
  <dcterms:modified xsi:type="dcterms:W3CDTF">2026-08-29T14:45:00Z</dcterms:modified>
</cp:coreProperties>
</file>