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药物疫苗采购合同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合同编号：【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</w:rPr>
        <w:t>系统变量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】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甲方：【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</w:rPr>
        <w:t>系统变量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】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乙方：【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</w:rPr>
        <w:t>系统变量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】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签订时间：【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</w:rPr>
        <w:t>系统变量-插入合同开始日期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】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温氏食品集团股份有限公司（以下简称：温氏股份）对使用的药物疫苗进行了集中招标，由</w:t>
      </w: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>温氏股份采购中心负责招标统筹工作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，甲方为温氏股份属下单位即采购主体，乙方作为投标单位参与温氏股份的招标。经招标筛选，确定乙方中标产品，并双方达成如下协议：</w:t>
      </w:r>
    </w:p>
    <w:p>
      <w:pPr>
        <w:spacing w:line="360" w:lineRule="auto"/>
        <w:ind w:firstLine="495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1、乙方每批药物都必须提供质检报告，报告请发至温氏股份研究院（技术中心）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韦田邮箱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wtt1978@126.com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，及采购中心朱洁敏邮箱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348893136@qq.com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2、采购产品目录如下表，中标价包含配送费。</w:t>
      </w:r>
    </w:p>
    <w:tbl>
      <w:tblPr>
        <w:tblStyle w:val="6"/>
        <w:tblW w:w="931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"/>
        <w:gridCol w:w="735"/>
        <w:gridCol w:w="795"/>
        <w:gridCol w:w="915"/>
        <w:gridCol w:w="525"/>
        <w:gridCol w:w="855"/>
        <w:gridCol w:w="705"/>
        <w:gridCol w:w="660"/>
        <w:gridCol w:w="600"/>
        <w:gridCol w:w="990"/>
        <w:gridCol w:w="990"/>
        <w:gridCol w:w="10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  <w:jc w:val="center"/>
        </w:trPr>
        <w:tc>
          <w:tcPr>
            <w:tcW w:w="5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商品名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通用名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主要成分及含量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剂型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批准文号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规格</w:t>
            </w:r>
          </w:p>
        </w:tc>
        <w:tc>
          <w:tcPr>
            <w:tcW w:w="6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最小</w:t>
            </w:r>
            <w:bookmarkStart w:id="3" w:name="_GoBack"/>
            <w:bookmarkEnd w:id="3"/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中标价格（元）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bidi="ar"/>
              </w:rPr>
              <w:t>赠送比例（%）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供应商全称</w:t>
            </w:r>
          </w:p>
        </w:tc>
        <w:tc>
          <w:tcPr>
            <w:tcW w:w="101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生产厂家全称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" w:hRule="atLeast"/>
          <w:jc w:val="center"/>
        </w:trPr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24"/>
                <w:szCs w:val="24"/>
              </w:rPr>
            </w:pP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9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01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乙方必须按目录所列商品名、规格、生产厂家、有效含量等要求提供合格的产品，并且产品的有效成分和含量应符合国家标准要求。若产品为甲方或国家有关部门抽检的不合格品或为假冒品牌、未取得生产许可证的产品，甲方将直接从货款中扣除该批不合格品的货款作为赔偿金，退回该批余下产品，停止该产品采购及取消下次参投标资格，并视不合格发生频率决定供应商的参标资格。</w:t>
      </w:r>
    </w:p>
    <w:p>
      <w:pPr>
        <w:spacing w:line="360" w:lineRule="auto"/>
        <w:ind w:firstLine="480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4、</w:t>
      </w:r>
      <w:r>
        <w:rPr>
          <w:rFonts w:hint="eastAsia" w:ascii="宋体" w:hAnsi="宋体"/>
          <w:bCs/>
          <w:sz w:val="24"/>
          <w:szCs w:val="24"/>
        </w:rPr>
        <w:t>乙方所供应产品包装必须符合包括但不限于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《兽药管理条例》、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《兽用处方药和非处方药管理办法》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《兽药标签和说明书管理办法》</w:t>
      </w:r>
      <w:r>
        <w:rPr>
          <w:rFonts w:hint="eastAsia"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及《中华人民共和国农业部公告第2210号》</w:t>
      </w:r>
      <w:r>
        <w:rPr>
          <w:rFonts w:hint="eastAsia" w:ascii="宋体" w:hAnsi="宋体"/>
          <w:bCs/>
          <w:sz w:val="24"/>
          <w:szCs w:val="24"/>
        </w:rPr>
        <w:t>法规要求</w:t>
      </w:r>
      <w:r>
        <w:rPr>
          <w:rFonts w:hint="eastAsia"/>
          <w:sz w:val="24"/>
          <w:szCs w:val="24"/>
        </w:rPr>
        <w:t>，</w:t>
      </w:r>
      <w:r>
        <w:rPr>
          <w:rFonts w:hint="eastAsia" w:ascii="宋体" w:hAnsi="宋体"/>
          <w:bCs/>
          <w:sz w:val="24"/>
        </w:rPr>
        <w:t>未经甲方书面同意，包装盒上不得出现“温氏专用”、“温氏定制”等类似字样，不得在宣传文件或者其他任何文件中使用“温氏中标”、“温氏合作”等类似字样。如乙方不遵守规定，甲方有权追究乙方的违约责任及其他法律责任，给甲方造成的一切经济损失或商誉损失由乙方承担，且甲方有权单方面解除合同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5、乙方若缺货不能及时供应，即当月计划的产品在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宋体" w:hAnsi="宋体"/>
          <w:sz w:val="24"/>
        </w:rPr>
        <w:t>日后仍未能送货到位，或临时通知供货超过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sz w:val="24"/>
        </w:rPr>
        <w:t>天仍未到甲方仓库，取消该产品下次参投标资格，并视不合格发生频率决定供应商的参标资格。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6、如果乙方中标产品的商品名、规格、批准文号或供应商等信息发生变更，或者因促销活动等因素导致中标价格发生变化的，乙方须提前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一个月</w:t>
      </w:r>
      <w:r>
        <w:rPr>
          <w:rFonts w:hint="eastAsia" w:ascii="宋体" w:hAnsi="宋体"/>
          <w:sz w:val="24"/>
        </w:rPr>
        <w:t>向温氏股份采购中心提供中标产品信息变更说明，经采购中心确认后方可供应，否则甲方有权拒收。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7、交货地点为甲方指定地点。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8、采购数量以甲方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每月订单为准，乙方供货后，提供合法有效发票，甲方在货到并收到有效发票后30</w:t>
      </w:r>
      <w:r>
        <w:rPr>
          <w:rFonts w:hint="eastAsia" w:ascii="宋体" w:hAnsi="宋体"/>
          <w:sz w:val="24"/>
        </w:rPr>
        <w:t>天内付清货款。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9、乙方开票单位和收款单位必须与本合同名称一致，若三者不一致，甲方拒绝付款。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10、合同有效期：【</w:t>
      </w:r>
      <w:r>
        <w:rPr>
          <w:rFonts w:hint="eastAsia" w:ascii="宋体" w:hAnsi="宋体"/>
          <w:color w:val="FF0000"/>
          <w:sz w:val="24"/>
        </w:rPr>
        <w:t>系统变量</w:t>
      </w:r>
      <w:r>
        <w:rPr>
          <w:rFonts w:hint="eastAsia" w:ascii="宋体" w:hAnsi="宋体"/>
          <w:sz w:val="24"/>
        </w:rPr>
        <w:t>】至【</w:t>
      </w:r>
      <w:r>
        <w:rPr>
          <w:rFonts w:hint="eastAsia" w:ascii="宋体" w:hAnsi="宋体"/>
          <w:color w:val="FF0000"/>
          <w:sz w:val="24"/>
        </w:rPr>
        <w:t>系统变量</w:t>
      </w:r>
      <w:r>
        <w:rPr>
          <w:rFonts w:hint="eastAsia" w:ascii="宋体" w:hAnsi="宋体"/>
          <w:sz w:val="24"/>
        </w:rPr>
        <w:t>】。本合同一式【</w:t>
      </w:r>
      <w:r>
        <w:rPr>
          <w:rFonts w:hint="eastAsia" w:ascii="宋体" w:hAnsi="宋体"/>
          <w:color w:val="FF0000"/>
          <w:sz w:val="24"/>
        </w:rPr>
        <w:t>系统变量</w:t>
      </w:r>
      <w:r>
        <w:rPr>
          <w:rFonts w:hint="eastAsia" w:ascii="宋体" w:hAnsi="宋体"/>
          <w:sz w:val="24"/>
        </w:rPr>
        <w:t>】份，经双方签字或盖章后生效，每份合同均具有法律效力。</w:t>
      </w:r>
    </w:p>
    <w:p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3"/>
        <w:gridCol w:w="4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exact"/>
          <w:jc w:val="center"/>
        </w:trPr>
        <w:tc>
          <w:tcPr>
            <w:tcW w:w="4823" w:type="dxa"/>
            <w:vAlign w:val="center"/>
          </w:tcPr>
          <w:p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甲方名称：</w:t>
            </w:r>
            <w:bookmarkStart w:id="0" w:name="OLE_LINK5"/>
            <w:bookmarkStart w:id="1" w:name="OLE_LINK4"/>
            <w:bookmarkStart w:id="2" w:name="OLE_LINK6"/>
            <w:r>
              <w:rPr>
                <w:rFonts w:hint="eastAsia" w:ascii="宋体" w:hAnsi="宋体"/>
                <w:color w:val="FF0000"/>
                <w:sz w:val="24"/>
              </w:rPr>
              <w:t>【系统变量】</w:t>
            </w:r>
            <w:r>
              <w:rPr>
                <w:rFonts w:ascii="宋体" w:hAnsi="宋体"/>
                <w:sz w:val="24"/>
              </w:rPr>
              <w:t xml:space="preserve"> </w:t>
            </w:r>
            <w:bookmarkEnd w:id="0"/>
            <w:bookmarkEnd w:id="1"/>
            <w:bookmarkEnd w:id="2"/>
          </w:p>
        </w:tc>
        <w:tc>
          <w:tcPr>
            <w:tcW w:w="4296" w:type="dxa"/>
            <w:vAlign w:val="center"/>
          </w:tcPr>
          <w:p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乙方名称：</w:t>
            </w:r>
            <w:r>
              <w:rPr>
                <w:rFonts w:hint="eastAsia" w:ascii="宋体" w:hAnsi="宋体"/>
                <w:color w:val="FF0000"/>
                <w:sz w:val="24"/>
              </w:rPr>
              <w:t>【系统变量】</w:t>
            </w:r>
            <w:r>
              <w:rPr>
                <w:rFonts w:ascii="宋体" w:hAnsi="宋体"/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  <w:jc w:val="center"/>
        </w:trPr>
        <w:tc>
          <w:tcPr>
            <w:tcW w:w="4823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    址：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    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exact"/>
          <w:jc w:val="center"/>
        </w:trPr>
        <w:tc>
          <w:tcPr>
            <w:tcW w:w="4823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    话：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    话：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exact"/>
          <w:jc w:val="center"/>
        </w:trPr>
        <w:tc>
          <w:tcPr>
            <w:tcW w:w="4823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>
              <w:rPr>
                <w:rFonts w:hint="eastAsia" w:ascii="宋体" w:hAnsi="宋体"/>
                <w:sz w:val="24"/>
                <w:szCs w:val="22"/>
              </w:rPr>
              <w:t>甲方签章：</w:t>
            </w:r>
            <w:r>
              <w:rPr>
                <w:rFonts w:hint="eastAsia" w:ascii="宋体" w:hAnsi="宋体"/>
                <w:sz w:val="24"/>
                <w:szCs w:val="22"/>
              </w:rPr>
              <w:tab/>
            </w:r>
          </w:p>
        </w:tc>
        <w:tc>
          <w:tcPr>
            <w:tcW w:w="4296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>
              <w:rPr>
                <w:rFonts w:hint="eastAsia" w:ascii="宋体" w:hAnsi="宋体"/>
                <w:sz w:val="24"/>
                <w:szCs w:val="22"/>
              </w:rPr>
              <w:t>乙方签章:</w:t>
            </w:r>
          </w:p>
        </w:tc>
      </w:tr>
    </w:tbl>
    <w:p/>
    <w:p/>
    <w:sectPr>
      <w:footerReference r:id="rId3" w:type="default"/>
      <w:footerReference r:id="rId4" w:type="even"/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1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F0"/>
    <w:rsid w:val="0008263D"/>
    <w:rsid w:val="000E4DEF"/>
    <w:rsid w:val="00107C3B"/>
    <w:rsid w:val="00110AEC"/>
    <w:rsid w:val="00123ED1"/>
    <w:rsid w:val="001D3E8D"/>
    <w:rsid w:val="002221EF"/>
    <w:rsid w:val="0029449A"/>
    <w:rsid w:val="00341CAF"/>
    <w:rsid w:val="003745F0"/>
    <w:rsid w:val="00397535"/>
    <w:rsid w:val="004D7365"/>
    <w:rsid w:val="004E4391"/>
    <w:rsid w:val="005A153B"/>
    <w:rsid w:val="005E33C7"/>
    <w:rsid w:val="006674C1"/>
    <w:rsid w:val="006B2F6F"/>
    <w:rsid w:val="00702EA3"/>
    <w:rsid w:val="007A3083"/>
    <w:rsid w:val="008066EF"/>
    <w:rsid w:val="00843BE2"/>
    <w:rsid w:val="008B1A33"/>
    <w:rsid w:val="00A35B38"/>
    <w:rsid w:val="00A56BDE"/>
    <w:rsid w:val="00B13166"/>
    <w:rsid w:val="00B521B0"/>
    <w:rsid w:val="00B53CEA"/>
    <w:rsid w:val="00B936A3"/>
    <w:rsid w:val="00CA2FB6"/>
    <w:rsid w:val="00D92C67"/>
    <w:rsid w:val="00EF07F6"/>
    <w:rsid w:val="00EF6FE8"/>
    <w:rsid w:val="00F24823"/>
    <w:rsid w:val="00F50AB8"/>
    <w:rsid w:val="00F77FC0"/>
    <w:rsid w:val="00F976E4"/>
    <w:rsid w:val="00FD57CB"/>
    <w:rsid w:val="00FE1EB8"/>
    <w:rsid w:val="00FF58A4"/>
    <w:rsid w:val="06972D3B"/>
    <w:rsid w:val="0BBB2956"/>
    <w:rsid w:val="5C052351"/>
    <w:rsid w:val="72D4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8">
    <w:name w:val="page number"/>
    <w:basedOn w:val="7"/>
    <w:qFormat/>
    <w:uiPriority w:val="0"/>
  </w:style>
  <w:style w:type="character" w:styleId="9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10">
    <w:name w:val="页脚 Char"/>
    <w:basedOn w:val="7"/>
    <w:link w:val="4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Char"/>
    <w:basedOn w:val="7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3">
    <w:name w:val="批注主题 Char"/>
    <w:basedOn w:val="12"/>
    <w:link w:val="5"/>
    <w:semiHidden/>
    <w:qFormat/>
    <w:uiPriority w:val="99"/>
    <w:rPr>
      <w:rFonts w:ascii="Times New Roman" w:hAnsi="Times New Roman" w:eastAsia="宋体" w:cs="Times New Roman"/>
      <w:b/>
      <w:bCs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1038</Characters>
  <Lines>8</Lines>
  <Paragraphs>2</Paragraphs>
  <TotalTime>267</TotalTime>
  <ScaleCrop>false</ScaleCrop>
  <LinksUpToDate>false</LinksUpToDate>
  <CharactersWithSpaces>1217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2020-06-19T00:20:00Z</dcterms:created>
  <dc:creator>zhangsan</dc:creator>
  <cp:lastModifiedBy>zhangsan</cp:lastModifiedBy>
  <dcterms:modified xsi:type="dcterms:W3CDTF">2020-12-02T02:03:35Z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