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A5539">
      <w:pPr>
        <w:keepNext w:val="0"/>
        <w:widowControl/>
      </w:pPr>
      <w:r>
        <w:rPr>
          <w:b w:val="0"/>
        </w:rPr>
        <w:t>现阶段已经形成材料读取、多波段目标配置和实验复核能力；同时也确认，得到一个高分膜系、证明HPPO有效，以及满足实际光学应用，是三个需要分别验证的问题。</w:t>
      </w:r>
    </w:p>
    <w:p w14:paraId="31DE0378">
      <w:pPr>
        <w:spacing w:after="0"/>
      </w:pPr>
      <w:r>
        <w:drawing>
          <wp:inline distT="0" distB="0" distL="114300" distR="114300">
            <wp:extent cx="5271135" cy="1830070"/>
            <wp:effectExtent l="0" t="0" r="12065" b="1143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CAA0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本周的任务从baseline出发</w:t>
      </w:r>
      <w:r>
        <w:rPr>
          <w:rFonts w:hint="eastAsia"/>
          <w:lang w:val="en-US" w:eastAsia="zh-CN"/>
        </w:rPr>
        <w:t>，发现网上没有一个统一的评价膜系好坏的方法，针对每一个不同的设计都有不同的评价方法；</w:t>
      </w:r>
    </w:p>
    <w:p w14:paraId="2C1E5A42">
      <w:pPr>
        <w:numPr>
          <w:ilvl w:val="0"/>
          <w:numId w:val="0"/>
        </w:numPr>
        <w:spacing w:after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把duv设计当作第一个baseline继续进行下一步的模型优化</w:t>
      </w:r>
    </w:p>
    <w:p w14:paraId="5DAB9359">
      <w:pPr>
        <w:keepNext w:val="0"/>
        <w:widowControl/>
        <w:rPr>
          <w:rFonts w:hint="eastAsia"/>
          <w:b w:val="0"/>
          <w:lang w:val="en-US" w:eastAsia="zh-CN"/>
        </w:rPr>
      </w:pPr>
      <w:r>
        <w:rPr>
          <w:b w:val="0"/>
        </w:rPr>
        <w:t>共同条件为193 nm、空气入射、CaF₂基底、0–45°共10个角度；AlF₃与GdF₃采用该阶段配置值。对应设计为D1、D2。不能把两个版本的差异直接归因于随机种子或算法。</w:t>
      </w:r>
      <w:r>
        <w:rPr>
          <w:rFonts w:hint="eastAsia"/>
          <w:b w:val="0"/>
          <w:lang w:val="en-US" w:eastAsia="zh-CN"/>
        </w:rPr>
        <w:t>原文在相同条件下达到的最好的设计是99.75%。</w:t>
      </w:r>
    </w:p>
    <w:p w14:paraId="5099CB7E">
      <w:pPr>
        <w:keepNext w:val="0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奖励调整等优化之前的效果：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531"/>
        <w:gridCol w:w="1531"/>
        <w:gridCol w:w="2268"/>
        <w:gridCol w:w="1701"/>
      </w:tblGrid>
      <w:tr w14:paraId="39326E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91C7D5">
            <w:pPr>
              <w:spacing w:after="20" w:line="274" w:lineRule="auto"/>
              <w:jc w:val="lef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53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A7E1CE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MgF₂的n</w:t>
            </w:r>
          </w:p>
        </w:tc>
        <w:tc>
          <w:tcPr>
            <w:tcW w:w="153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03138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LaF₃的n</w:t>
            </w:r>
          </w:p>
        </w:tc>
        <w:tc>
          <w:tcPr>
            <w:tcW w:w="2268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0AB20B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最好平均T</w:t>
            </w:r>
          </w:p>
        </w:tc>
        <w:tc>
          <w:tcPr>
            <w:tcW w:w="170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71B7B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对应层数</w:t>
            </w:r>
          </w:p>
        </w:tc>
      </w:tr>
      <w:tr w14:paraId="1DD740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DB63AD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固定常数v1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6DAA91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1.420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A622D5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1.696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1B4713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99.8246%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D5ECAB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 w14:paraId="6E556D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56D66C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固定常数v2</w:t>
            </w:r>
          </w:p>
        </w:tc>
        <w:tc>
          <w:tcPr>
            <w:tcW w:w="153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4310CB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1.440</w:t>
            </w:r>
          </w:p>
        </w:tc>
        <w:tc>
          <w:tcPr>
            <w:tcW w:w="153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287687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1.640</w:t>
            </w:r>
          </w:p>
        </w:tc>
        <w:tc>
          <w:tcPr>
            <w:tcW w:w="2268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44BBA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99.8231%</w:t>
            </w:r>
          </w:p>
        </w:tc>
        <w:tc>
          <w:tcPr>
            <w:tcW w:w="170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820CB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</w:tbl>
    <w:p w14:paraId="178DF4EB">
      <w:pPr>
        <w:spacing w:after="0"/>
      </w:pPr>
    </w:p>
    <w:p w14:paraId="4FE6191B">
      <w:pPr>
        <w:keepNext/>
        <w:spacing w:before="80" w:after="60"/>
        <w:jc w:val="center"/>
      </w:pPr>
      <w:r>
        <w:drawing>
          <wp:inline distT="0" distB="0" distL="114300" distR="114300">
            <wp:extent cx="6119495" cy="2294890"/>
            <wp:effectExtent l="0" t="0" r="1905" b="3810"/>
            <wp:docPr id="1" name="Picture 1" descr="两套固定光学常数的多seed结果。蓝线是最好已遇设计，橙线是最终评估均值，两者不能混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两套固定光学常数的多seed结果。蓝线是最好已遇设计，橙线是最终评估均值，两者不能混用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947">
      <w:pPr>
        <w:pStyle w:val="15"/>
        <w:keepNext w:val="0"/>
        <w:widowControl/>
      </w:pPr>
      <w:r>
        <w:rPr>
          <w:b w:val="0"/>
        </w:rPr>
        <w:t>图1  两套固定光学常数的多seed结果。蓝线是最好已遇设计，橙线是最终评估均值，两者不能混用。  原图地址见附录B。</w:t>
      </w:r>
    </w:p>
    <w:p w14:paraId="65E98FBA">
      <w:pPr>
        <w:numPr>
          <w:ilvl w:val="0"/>
          <w:numId w:val="0"/>
        </w:numPr>
        <w:spacing w:after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优化模型的尝试：</w:t>
      </w:r>
    </w:p>
    <w:p w14:paraId="1246FE4E">
      <w:pPr>
        <w:keepNext w:val="0"/>
        <w:widowControl/>
      </w:pPr>
      <w:r>
        <w:rPr>
          <w:rFonts w:hint="eastAsia"/>
          <w:lang w:val="en-US" w:eastAsia="zh-CN"/>
        </w:rPr>
        <w:t>1.尝试了掩码扩散模型看效果，</w:t>
      </w:r>
      <w:r>
        <w:rPr>
          <w:b w:val="0"/>
        </w:rPr>
        <w:t>预设20个膜层槽位，每步随机抽取若干空位，由HPPO一次输出这些位置的材料与厚度。TMM跳过MASK；出现EOS时，仅评价最左EOS之前的有效膜系。独立分支已实现并完成测试与训练。</w:t>
      </w:r>
    </w:p>
    <w:p w14:paraId="26A4006A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实际施行的效果其实一般，理由是动作空间太大了，难以在短时间内寻找到一个最优的设计；</w:t>
      </w:r>
    </w:p>
    <w:p w14:paraId="07211299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3121A531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6119495" cy="3263900"/>
            <wp:effectExtent l="0" t="0" r="1905" b="0"/>
            <wp:docPr id="2" name="Picture 2" descr="随机掩码填充版本的原始训练曲线。横轴为优化器更新次数；平均episode步数不等于最终物理膜层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随机掩码填充版本的原始训练曲线。横轴为优化器更新次数；平均episode步数不等于最终物理膜层数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0D6B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  <w:r>
        <w:rPr>
          <w:b w:val="0"/>
        </w:rPr>
        <w:t>该分支最好已遇设计D3的平均透射率约99.2787%，为6层。它使用该分支自己的五材料数据和约束；</w:t>
      </w:r>
    </w:p>
    <w:p w14:paraId="5349D274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2.重新设计了奖励形式，使用log的形式，放大了奖励在逼近最优的时候的差别，实际上训练效果差别不大。奖励还使用逐步的奖励，计算时间超级长，而且效果没有优化多少。</w:t>
      </w:r>
    </w:p>
    <w:p w14:paraId="7D58A5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FF0192">
      <w:pPr>
        <w:spacing w:after="0"/>
        <w:rPr>
          <w:rFonts w:hint="default"/>
          <w:lang w:val="en-US" w:eastAsia="zh-CN"/>
        </w:rPr>
      </w:pPr>
    </w:p>
    <w:p w14:paraId="4E4EBF5F">
      <w:pPr>
        <w:keepNext w:val="0"/>
        <w:widowControl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随后找寻找第二个baseline验证模型的普适性</w:t>
      </w:r>
    </w:p>
    <w:p w14:paraId="11BB75FB">
      <w:pPr>
        <w:keepNext w:val="0"/>
        <w:widowControl/>
        <w:rPr>
          <w:rFonts w:hint="default"/>
          <w:lang w:val="en-US" w:eastAsia="zh-CN"/>
        </w:rPr>
      </w:pPr>
      <w:r>
        <w:rPr>
          <w:rFonts w:hint="eastAsia"/>
          <w:b w:val="0"/>
          <w:lang w:val="en-US" w:eastAsia="zh-CN"/>
        </w:rPr>
        <w:t>第二个baseline使用OML-PPO论文中的</w:t>
      </w:r>
      <w:r>
        <w:rPr>
          <w:rFonts w:hint="eastAsia"/>
          <w:lang w:val="en-US" w:eastAsia="zh-CN"/>
        </w:rPr>
        <w:t xml:space="preserve">Compact Multilayer Film Structures for Ultrabroadband, </w:t>
      </w:r>
      <w:r>
        <w:rPr>
          <w:rFonts w:hint="default"/>
          <w:lang w:val="en-US" w:eastAsia="zh-CN"/>
        </w:rPr>
        <w:t>Omnidirectional, and E</w:t>
      </w:r>
      <w:r>
        <w:rPr>
          <w:rFonts w:hint="eastAsia"/>
          <w:lang w:val="en-US" w:eastAsia="zh-CN"/>
        </w:rPr>
        <w:t>ffi</w:t>
      </w:r>
      <w:r>
        <w:rPr>
          <w:rFonts w:hint="default"/>
          <w:lang w:val="en-US" w:eastAsia="zh-CN"/>
        </w:rPr>
        <w:t>cient Absorption</w:t>
      </w:r>
      <w:r>
        <w:rPr>
          <w:rFonts w:hint="eastAsia"/>
          <w:lang w:val="en-US" w:eastAsia="zh-CN"/>
        </w:rPr>
        <w:t>，他要求实现400-2000nm波段尽可能高的吸收率。</w:t>
      </w:r>
    </w:p>
    <w:p w14:paraId="4E0C75CB">
      <w:pPr>
        <w:keepNext w:val="0"/>
        <w:widowControl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个应用中作者使用多种材料进行实验，而我的材料库中已经有很多数据没有了，所以重新找了一个数据库refractiveindex_info，每一种材料都有对应的光学常数，并且同一种材料有很多版本，提供了丰富的选择。从而重写了程序中读取材料的模块，现在只需要把想用的材料写进config中即可选取对应的材料折射率。</w:t>
      </w:r>
    </w:p>
    <w:p w14:paraId="1D849D25">
      <w:pPr>
        <w:keepNext w:val="0"/>
        <w:widowControl/>
        <w:rPr>
          <w:b w:val="0"/>
        </w:rPr>
      </w:pPr>
      <w:r>
        <w:rPr>
          <w:b w:val="0"/>
        </w:rPr>
        <w:t>材料接口逐步加入了数据版本选择、波段覆盖检查、来源与工艺说明、缺失k的显式处理以及文件哈希。没有AlF₃条目时保留材料需求并明确报错，而不是自动使用其他材料或猜测折射率。主项目随后移除了不再需要的lm读取路线。</w:t>
      </w:r>
    </w:p>
    <w:p w14:paraId="3A33789D">
      <w:pPr>
        <w:keepNext w:val="0"/>
        <w:widowControl/>
      </w:pPr>
      <w:r>
        <w:t>换到宽带吸收任务后暴露了搜索能力问题</w:t>
      </w:r>
      <w:r>
        <w:rPr>
          <w:rFonts w:hint="eastAsia"/>
          <w:lang w:eastAsia="zh-CN"/>
        </w:rPr>
        <w:t>：</w:t>
      </w:r>
      <w:r>
        <w:rPr>
          <w:b w:val="0"/>
        </w:rPr>
        <w:t>纯HPPO的结果长期停在约92%至93%。</w:t>
      </w:r>
      <w:r>
        <w:rPr>
          <w:rFonts w:hint="eastAsia"/>
          <w:b w:val="0"/>
          <w:lang w:val="en-US" w:eastAsia="zh-CN"/>
        </w:rPr>
        <w:t>原文得到的结果达到了95%，</w:t>
      </w:r>
      <w:r>
        <w:rPr>
          <w:b w:val="0"/>
        </w:rPr>
        <w:t>我依次怀疑厚度限制、总厚度预算、基底、材料nk以及模型初始策略。连续厚度分支虽可输出很多小数位，但这只表示参数分辨率高，不能说明联合搜索已经找到了更好的厚度组合。</w:t>
      </w:r>
    </w:p>
    <w:p w14:paraId="586AFFF9">
      <w:pPr>
        <w:keepNext w:val="0"/>
        <w:widowControl/>
        <w:rPr>
          <w:b w:val="0"/>
        </w:rPr>
      </w:pPr>
      <w:r>
        <w:rPr>
          <w:b w:val="0"/>
        </w:rPr>
        <w:t>模型侧检查发现，材料选择可能过早集中，例如第一层选择TiO₂的概率显著升高。随后把连续PPO概率项改为只使用所选材料的厚度参数，并对EOS忽略厚度项。这修正了物理动作与损失的对应关系，但实验效果没有因此稳定改善。</w:t>
      </w:r>
    </w:p>
    <w:p w14:paraId="3269C634">
      <w:pPr>
        <w:keepNext w:val="0"/>
        <w:widowControl/>
        <w:rPr>
          <w:b/>
          <w:bCs/>
        </w:rPr>
      </w:pPr>
      <w:r>
        <w:rPr>
          <w:b/>
          <w:bCs/>
        </w:rPr>
        <w:t>用联合搜索检验当前空间是否存在更好解</w:t>
      </w:r>
    </w:p>
    <w:p w14:paraId="2B970BE1">
      <w:pPr>
        <w:keepNext w:val="0"/>
        <w:widowControl/>
      </w:pPr>
      <w:r>
        <w:rPr>
          <w:b w:val="0"/>
        </w:rPr>
        <w:t>为回答这个问题，引入improve：从历史HPPO候选出发，尝试材料插入、删除、替换；每次结构变化后，用TMM自动微分和SLSQP联合调整所有层厚度。厚度优化变量归一化，并处理单层边界与总厚度约束。</w:t>
      </w:r>
    </w:p>
    <w:p w14:paraId="4CD6914C">
      <w:pPr>
        <w:keepNext/>
        <w:spacing w:before="80" w:after="60"/>
        <w:jc w:val="center"/>
      </w:pPr>
      <w:r>
        <w:drawing>
          <wp:inline distT="0" distB="0" distL="114300" distR="114300">
            <wp:extent cx="6119495" cy="2294890"/>
            <wp:effectExtent l="0" t="0" r="1905" b="3810"/>
            <wp:docPr id="3" name="Picture 3" descr="宽带吸收联合搜索的进展及最后14层厚度。提升来自结构邻域搜索和厚度优化，不是纯HPPO训练曲线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宽带吸收联合搜索的进展及最后14层厚度。提升来自结构邻域搜索和厚度优化，不是纯HPPO训练曲线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076B">
      <w:pPr>
        <w:pStyle w:val="15"/>
        <w:keepNext w:val="0"/>
        <w:widowControl/>
      </w:pPr>
      <w:r>
        <w:rPr>
          <w:b w:val="0"/>
        </w:rPr>
        <w:t>图3  宽带吸收联合搜索的进展及最后14层厚度。提升来自结构邻域搜索和厚度优化，不是纯HPPO训练曲线。  原图地址见附录B。</w:t>
      </w:r>
    </w:p>
    <w:p w14:paraId="60D533E7">
      <w:pPr>
        <w:keepNext w:val="0"/>
        <w:widowControl/>
      </w:pPr>
      <w:r>
        <w:rPr>
          <w:b w:val="0"/>
        </w:rPr>
        <w:t>在统一的当前基底下，原HPPO候选D4的平均吸收率为93.1043%；联合搜索D5达到98.9035%，14层，总厚度600 nm。它说明当前材料和约束下存在更好的解，但没有单独证明HPPO的初始材料顺序优于随机顺序。</w:t>
      </w:r>
    </w:p>
    <w:p w14:paraId="17958B22">
      <w:r>
        <w:rPr>
          <w:b w:val="0"/>
        </w:rPr>
        <w:t>我进一步问：</w:t>
      </w:r>
      <w:r>
        <w:rPr>
          <w:b/>
          <w:bCs/>
        </w:rPr>
        <w:t>随便给出一个材料顺序，是否也可能通过厚度优化达到相同结果</w:t>
      </w:r>
      <w:r>
        <w:rPr>
          <w:b w:val="0"/>
        </w:rPr>
        <w:t>；既然已经得到优良结构，为什么还需要训练VAC。由此区分了“找到一个好膜系”和“证明HPPO提供了有价值的搜索起点”。</w:t>
      </w:r>
    </w:p>
    <w:p w14:paraId="6D0B16FE">
      <w:pPr>
        <w:keepNext w:val="0"/>
        <w:widowControl/>
      </w:pPr>
      <w:r>
        <w:rPr>
          <w:b w:val="0"/>
        </w:rPr>
        <w:t>已有程序让VAC监督学习优良轨迹，并支持从该权重继续原生PPO训练。这是一条可用的工程路线，能够验证网络能否生成和保持高分设计，但不能把外部结构搜索、梯度优化与模仿预训练的收益全部归给纯HPPO。严格比较HPPO起点与随机起点，在同一后处理预算下谁更有效，仍需要专门实验。</w:t>
      </w:r>
    </w:p>
    <w:p w14:paraId="7309AA3E">
      <w:pPr>
        <w:keepNext w:val="0"/>
        <w:widowControl/>
        <w:rPr>
          <w:b w:val="0"/>
        </w:rPr>
      </w:pPr>
      <w:r>
        <w:rPr>
          <w:b w:val="0"/>
        </w:rPr>
        <w:t>每个新任务可以重新训练，但希望主体框架能够沿用；任务变化主要通过材料、边界和目标光谱配置表达，而不是每来一个任务就增加新的优化模块。</w:t>
      </w:r>
    </w:p>
    <w:p w14:paraId="45E64567">
      <w:pPr>
        <w:keepNext w:val="0"/>
        <w:widowControl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r>
        <w:drawing>
          <wp:inline distT="0" distB="0" distL="114300" distR="114300">
            <wp:extent cx="3321685" cy="5900420"/>
            <wp:effectExtent l="0" t="0" r="5715" b="508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DBAB6F3">
      <w:pPr>
        <w:keepNext w:val="0"/>
        <w:widowControl/>
        <w:rPr>
          <w:rFonts w:hint="eastAsia" w:eastAsia="宋体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最后找第三个baseline进行进一步模型检验</w:t>
      </w:r>
      <w:r>
        <w:rPr>
          <w:rFonts w:hint="eastAsia" w:eastAsia="宋体"/>
          <w:lang w:eastAsia="zh-CN"/>
        </w:rPr>
        <w:tab/>
      </w:r>
    </w:p>
    <w:p w14:paraId="6D47121A">
      <w:pPr>
        <w:keepNext w:val="0"/>
        <w:widowControl/>
        <w:rPr>
          <w:b w:val="0"/>
        </w:rPr>
      </w:pPr>
      <w:r>
        <w:rPr>
          <w:b w:val="0"/>
        </w:rPr>
        <w:t>为了检查框架在更复杂目标上的表现，我选择OML-PPO中的incandescent light bulb filter。它要求在可见波段低反射，同时在其余波段高反射。配置使用300–3000 nm、0–89°共90角度和s/p功率平均；10 nm波长采样是本项目的实现选择，不把它冒称为论文已公开的原始步长。</w:t>
      </w:r>
    </w:p>
    <w:p w14:paraId="4AB52712">
      <w:pPr>
        <w:keepNext w:val="0"/>
        <w:widowControl/>
        <w:rPr>
          <w:b w:val="0"/>
        </w:rPr>
      </w:pPr>
      <w:r>
        <w:rPr>
          <w:b w:val="0"/>
        </w:rPr>
        <w:t>我把环境评价扩展为R、T、A三种量，以及分波段目标和权重。单波段高吸收设置A=1；若只有某个波段有要求，其余波段不计分。</w:t>
      </w:r>
    </w:p>
    <w:p w14:paraId="2AE2078E">
      <w:pPr>
        <w:keepNext w:val="0"/>
        <w:widowControl/>
        <w:rPr>
          <w:b w:val="0"/>
        </w:rPr>
      </w:pPr>
      <w:r>
        <w:rPr>
          <w:b w:val="0"/>
        </w:rPr>
        <w:t>材料采用作者仓库中对应版本数据，保留SiN与仓库Si₃N₄数据映射的说明。论文表3给出了42层、总厚度8.54 μm的结构，我将它作为固定参考，在当前光学常数和TMM下重新计算</w:t>
      </w:r>
      <w:r>
        <w:rPr>
          <w:rFonts w:hint="eastAsia"/>
          <w:b w:val="0"/>
          <w:lang w:val="en-US" w:eastAsia="zh-CN"/>
        </w:rPr>
        <w:t>其光谱</w:t>
      </w:r>
      <w:r>
        <w:rPr>
          <w:b w:val="0"/>
        </w:rPr>
        <w:t>，而不是直接把论文图上的分数当作本程序的baseline。</w:t>
      </w:r>
    </w:p>
    <w:p w14:paraId="51A33265">
      <w:pPr>
        <w:keepNext w:val="0"/>
        <w:widowControl/>
        <w:rPr>
          <w:b w:val="0"/>
        </w:rPr>
      </w:pPr>
      <w:r>
        <w:drawing>
          <wp:inline distT="0" distB="0" distL="114300" distR="114300">
            <wp:extent cx="5273040" cy="1212215"/>
            <wp:effectExtent l="0" t="0" r="3810" b="698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B977">
      <w:pPr>
        <w:keepNext/>
        <w:spacing w:before="80" w:after="60"/>
        <w:jc w:val="center"/>
      </w:pPr>
      <w:r>
        <w:drawing>
          <wp:inline distT="0" distB="0" distL="114300" distR="114300">
            <wp:extent cx="6119495" cy="3765550"/>
            <wp:effectExtent l="0" t="0" r="1905" b="6350"/>
            <wp:docPr id="5" name="Picture 5" descr="论文42层参考结构的当前数据重算。包含R/T/A、角度依赖及诊断对照；改变k或偏振的曲线仅用于分析，不是最终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论文42层参考结构的当前数据重算。包含R/T/A、角度依赖及诊断对照；改变k或偏振的曲线仅用于分析，不是最终配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6EE5">
      <w:pPr>
        <w:pStyle w:val="15"/>
        <w:keepNext w:val="0"/>
        <w:widowControl/>
        <w:rPr>
          <w:rFonts w:hint="eastAsia" w:eastAsia="宋体"/>
          <w:lang w:eastAsia="zh-CN"/>
        </w:rPr>
      </w:pPr>
      <w:r>
        <w:rPr>
          <w:b w:val="0"/>
        </w:rPr>
        <w:t>图5  论文42层参考结构的当前数据重算。包含R/T/A、角度依赖及诊断对照；改变k或偏振的曲线仅用于分析，不是最终配置。  原图地址见附录B。</w:t>
      </w:r>
    </w:p>
    <w:p w14:paraId="2DDED7FA">
      <w:pPr>
        <w:keepNext w:val="0"/>
        <w:widowControl/>
        <w:rPr>
          <w:b w:val="0"/>
        </w:rPr>
      </w:pPr>
      <w:r>
        <w:rPr>
          <w:b w:val="0"/>
        </w:rPr>
        <w:t>观察初始设计后，我发现红外反射较高时，可见光也可能被大量反射。</w:t>
      </w:r>
    </w:p>
    <w:p w14:paraId="23DB0BBD">
      <w:pPr>
        <w:keepNext w:val="0"/>
        <w:widowControl/>
        <w:rPr>
          <w:b w:val="0"/>
        </w:rPr>
      </w:pP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1757"/>
        <w:gridCol w:w="1757"/>
        <w:gridCol w:w="1531"/>
      </w:tblGrid>
      <w:tr w14:paraId="31625E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0CBF5D">
            <w:pPr>
              <w:spacing w:after="20" w:line="274" w:lineRule="auto"/>
              <w:jc w:val="left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w="1757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003A38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可见平均T</w:t>
            </w:r>
          </w:p>
        </w:tc>
        <w:tc>
          <w:tcPr>
            <w:tcW w:w="1757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62CBEE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红外平均R</w:t>
            </w:r>
          </w:p>
        </w:tc>
        <w:tc>
          <w:tcPr>
            <w:tcW w:w="153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B65771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层数</w:t>
            </w:r>
          </w:p>
        </w:tc>
      </w:tr>
      <w:tr w14:paraId="7891A9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0CDED7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纯HPPO的T目标最好设计 D6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FA0317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77.98%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241922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47.17%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EDC6D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 w14:paraId="2D2386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A533A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提高红外训练权重的候选</w:t>
            </w:r>
          </w:p>
        </w:tc>
        <w:tc>
          <w:tcPr>
            <w:tcW w:w="1757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42563C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43.22%</w:t>
            </w:r>
          </w:p>
        </w:tc>
        <w:tc>
          <w:tcPr>
            <w:tcW w:w="1757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48872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74.66%</w:t>
            </w:r>
          </w:p>
        </w:tc>
        <w:tc>
          <w:tcPr>
            <w:tcW w:w="153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411BE3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 w14:paraId="200AB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1609ED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T目标联合搜索设计 D7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7C670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74.06%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38B85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72.47%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EAC558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</w:tr>
    </w:tbl>
    <w:p w14:paraId="5F999410">
      <w:pPr>
        <w:spacing w:after="0"/>
      </w:pPr>
    </w:p>
    <w:p w14:paraId="080DBF8A">
      <w:pPr>
        <w:keepNext w:val="0"/>
        <w:widowControl/>
      </w:pPr>
      <w:r>
        <w:rPr>
          <w:rFonts w:hint="eastAsia"/>
          <w:b w:val="0"/>
          <w:lang w:val="en-US" w:eastAsia="zh-CN"/>
        </w:rPr>
        <w:t>随后通过调整超参数来看看有没有效果，</w:t>
      </w:r>
      <w:r>
        <w:rPr>
          <w:b w:val="0"/>
        </w:rPr>
        <w:t>T目标诊断共12次训练，比较epoch=5或10、不同seed、熵系数、红外权重、最小层数和学习率。在统一1:4:3复核评分下，纯HPPO最好仍约0.62676，说明这些小规模参数调整没有解决任务。提高红外权重能改善IR R，却牺牲可见T；只看一个总分会掩盖这种取舍。在经历联合优化后，我再次要求尽量保持HPPO框架，通过训练本身减小光谱误差。这里沿用可见R=0的目标和1:4:3波段权重，使用已有7材料、15–400 nm单层</w:t>
      </w:r>
      <w:r>
        <w:rPr>
          <w:rFonts w:hint="eastAsia"/>
          <w:b w:val="0"/>
          <w:lang w:val="en-US" w:eastAsia="zh-CN"/>
        </w:rPr>
        <w:t>膜厚</w:t>
      </w:r>
      <w:r>
        <w:rPr>
          <w:b w:val="0"/>
        </w:rPr>
        <w:t>范围及80层上限；</w:t>
      </w:r>
      <w:r>
        <w:rPr>
          <w:rFonts w:hint="eastAsia"/>
          <w:b w:val="0"/>
          <w:lang w:val="en-US" w:eastAsia="zh-CN"/>
        </w:rPr>
        <w:t>角度分布从1°一个转换到了5°一个，此外，</w:t>
      </w:r>
      <w:r>
        <w:rPr>
          <w:b w:val="0"/>
        </w:rPr>
        <w:t>运行代码仅将写死的GAE λ=0.95开放为配置并增加合法性检查。先比较λ=0.95与1.0，各运行seed0和seed1。随后从较好的λ=1检查点继续训练，降低学习率和熵系数、增大每批采样量，并减少对同一批数据的重复训练。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417"/>
        <w:gridCol w:w="1304"/>
        <w:gridCol w:w="1361"/>
        <w:gridCol w:w="1020"/>
        <w:gridCol w:w="964"/>
        <w:gridCol w:w="1984"/>
      </w:tblGrid>
      <w:tr w14:paraId="62B029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BCAF3B">
            <w:pPr>
              <w:spacing w:after="20" w:line="274" w:lineRule="auto"/>
              <w:jc w:val="lef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1417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4C18F0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学习率</w:t>
            </w:r>
          </w:p>
        </w:tc>
        <w:tc>
          <w:tcPr>
            <w:tcW w:w="1304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715215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熵系数</w:t>
            </w:r>
          </w:p>
        </w:tc>
        <w:tc>
          <w:tcPr>
            <w:tcW w:w="1361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7F9A4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n_sample</w:t>
            </w:r>
          </w:p>
        </w:tc>
        <w:tc>
          <w:tcPr>
            <w:tcW w:w="1020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8F3B70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batch</w:t>
            </w:r>
          </w:p>
        </w:tc>
        <w:tc>
          <w:tcPr>
            <w:tcW w:w="964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31203A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epoch</w:t>
            </w:r>
          </w:p>
        </w:tc>
        <w:tc>
          <w:tcPr>
            <w:tcW w:w="1984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BFD08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环境步预算</w:t>
            </w:r>
          </w:p>
        </w:tc>
      </w:tr>
      <w:tr w14:paraId="49C0C8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D28C6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第一阶段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FB728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5×10⁻⁵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4432F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0.001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447FB7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3000</w:t>
            </w:r>
          </w:p>
        </w:tc>
        <w:tc>
          <w:tcPr>
            <w:tcW w:w="10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CC9C91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128</w:t>
            </w:r>
          </w:p>
        </w:tc>
        <w:tc>
          <w:tcPr>
            <w:tcW w:w="9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DD746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40818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180000</w:t>
            </w:r>
          </w:p>
        </w:tc>
      </w:tr>
      <w:tr w14:paraId="13BC92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393D7E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继续训练</w:t>
            </w:r>
          </w:p>
        </w:tc>
        <w:tc>
          <w:tcPr>
            <w:tcW w:w="1417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28C0BE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3×10⁻⁵</w:t>
            </w:r>
          </w:p>
        </w:tc>
        <w:tc>
          <w:tcPr>
            <w:tcW w:w="1304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9E632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0.0001</w:t>
            </w:r>
          </w:p>
        </w:tc>
        <w:tc>
          <w:tcPr>
            <w:tcW w:w="1361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F21EF5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6000</w:t>
            </w:r>
          </w:p>
        </w:tc>
        <w:tc>
          <w:tcPr>
            <w:tcW w:w="1020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5C0D2D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256</w:t>
            </w:r>
          </w:p>
        </w:tc>
        <w:tc>
          <w:tcPr>
            <w:tcW w:w="964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48D48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984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C1FFA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240000</w:t>
            </w:r>
          </w:p>
        </w:tc>
      </w:tr>
    </w:tbl>
    <w:p w14:paraId="00751105">
      <w:pPr>
        <w:spacing w:after="0"/>
      </w:pPr>
    </w:p>
    <w:p w14:paraId="33A0E9CD">
      <w:pPr>
        <w:keepNext w:val="0"/>
        <w:widowControl/>
      </w:pPr>
      <w:r>
        <w:rPr>
          <w:b w:val="0"/>
        </w:rPr>
        <w:t>λ=1的动机是增强终局奖励对早期动作的直接影响。它仍有方差代价，也没有添加层数奖励。训练用了18个分箱中心角度降低计算量，所有保存候选按原90角度复核，并另做2 nm波长网格检查。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2806"/>
        <w:gridCol w:w="2806"/>
      </w:tblGrid>
      <w:tr w14:paraId="7D4D73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25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BFF375">
            <w:pPr>
              <w:spacing w:after="20" w:line="274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2806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F4B21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原纯HPPO最好</w:t>
            </w:r>
          </w:p>
        </w:tc>
        <w:tc>
          <w:tcPr>
            <w:tcW w:w="2806" w:type="dxa"/>
            <w:shd w:val="clear" w:color="auto" w:fill="DFEA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381AA">
            <w:pPr>
              <w:spacing w:after="20" w:line="274" w:lineRule="auto"/>
              <w:jc w:val="center"/>
            </w:pPr>
            <w:r>
              <w:rPr>
                <w:b/>
                <w:sz w:val="18"/>
              </w:rPr>
              <w:t>本次纯HPPO最好</w:t>
            </w:r>
          </w:p>
        </w:tc>
      </w:tr>
      <w:tr w14:paraId="6B55A5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6FDE67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90角度 10 nm网格 加权MAE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FC257B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0.31365958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EEA90C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0.26755333</w:t>
            </w:r>
          </w:p>
        </w:tc>
      </w:tr>
      <w:tr w14:paraId="567BED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9FD8C1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90角度 2 nm网格 加权MAE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9343E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0.31293772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D1B05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0.26522247</w:t>
            </w:r>
          </w:p>
        </w:tc>
      </w:tr>
      <w:tr w14:paraId="0DE920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61A04B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原网格score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B5D2FE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0.68634042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224F1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0.73244667</w:t>
            </w:r>
          </w:p>
        </w:tc>
      </w:tr>
      <w:tr w14:paraId="222D9C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D911C7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物理层数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5F3C6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2E03E4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80</w:t>
            </w:r>
          </w:p>
        </w:tc>
      </w:tr>
      <w:tr w14:paraId="1628B7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D57AE7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480–700 nm 平均R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C31F4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45.97%</w:t>
            </w:r>
          </w:p>
        </w:tc>
        <w:tc>
          <w:tcPr>
            <w:tcW w:w="280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3102F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39.74%</w:t>
            </w:r>
          </w:p>
        </w:tc>
      </w:tr>
      <w:tr w14:paraId="6C9AC5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42BEC5">
            <w:pPr>
              <w:spacing w:after="20" w:line="274" w:lineRule="auto"/>
              <w:jc w:val="left"/>
            </w:pPr>
            <w:r>
              <w:rPr>
                <w:b w:val="0"/>
                <w:sz w:val="18"/>
              </w:rPr>
              <w:t>710–3000 nm 平均R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F32B61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86.56%</w:t>
            </w:r>
          </w:p>
        </w:tc>
        <w:tc>
          <w:tcPr>
            <w:tcW w:w="2806" w:type="dxa"/>
            <w:shd w:val="clear" w:color="auto" w:fill="F6F7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243CD">
            <w:pPr>
              <w:spacing w:after="20" w:line="274" w:lineRule="auto"/>
              <w:jc w:val="center"/>
            </w:pPr>
            <w:r>
              <w:rPr>
                <w:b w:val="0"/>
                <w:sz w:val="18"/>
              </w:rPr>
              <w:t>91.54%</w:t>
            </w:r>
          </w:p>
        </w:tc>
      </w:tr>
    </w:tbl>
    <w:p w14:paraId="03A2F136">
      <w:pPr>
        <w:spacing w:after="0"/>
      </w:pPr>
    </w:p>
    <w:p w14:paraId="58BF95C1">
      <w:pPr>
        <w:keepNext/>
        <w:spacing w:before="80" w:after="60"/>
        <w:jc w:val="center"/>
      </w:pPr>
      <w:r>
        <w:drawing>
          <wp:inline distT="0" distB="0" distL="114300" distR="114300">
            <wp:extent cx="6119495" cy="2098040"/>
            <wp:effectExtent l="0" t="0" r="1905" b="10160"/>
            <wp:docPr id="8" name="Picture 8" descr="纯HPPO最好候选与原设计及论文图线对比。2 nm网格；论文线来自图中提取，非同条件训练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纯HPPO最好候选与原设计及论文图线对比。2 nm网格；论文线来自图中提取，非同条件训练结果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6F94">
      <w:pPr>
        <w:pStyle w:val="15"/>
        <w:keepNext w:val="0"/>
        <w:widowControl/>
      </w:pPr>
      <w:r>
        <w:rPr>
          <w:b w:val="0"/>
        </w:rPr>
        <w:t>图8  纯HPPO最好候选与原设计及论文图线对比。2 nm网格；论文线来自图中提取，非同条件训练结果。  原图地址见附录B。</w:t>
      </w:r>
    </w:p>
    <w:p w14:paraId="0767E1B5">
      <w:pPr>
        <w:keepNext w:val="0"/>
        <w:widowControl/>
      </w:pPr>
      <w:r>
        <w:rPr>
          <w:b w:val="0"/>
        </w:rPr>
        <w:t>原网格MAE下降14.70%，2 nm网格下降15.25%。最好结构D8有80层、总厚度24.9969 μm，来自HPPO直接保存的候选，没有后续厚度优化。最好模型链路为180596步初始训练加245928步继续训练，其余预算用于对照；五阶段总计971512环境步。</w:t>
      </w:r>
    </w:p>
    <w:p w14:paraId="5C1CCB3E">
      <w:pPr>
        <w:keepNext w:val="0"/>
        <w:widowControl/>
      </w:pPr>
      <w:r>
        <w:rPr>
          <w:b w:val="0"/>
        </w:rPr>
        <w:t>但可见T仅4.81%，A为55.45%。这个结果说明纯HPPO通过已有参数调整可以改善当前R目标，却仍没有满足高透射灯泡滤光片的真实需求。它也提示我：80层或更高score都不能直接作为成功判据。</w:t>
      </w:r>
    </w:p>
    <w:p w14:paraId="3995FD2B">
      <w:pPr>
        <w:keepNext w:val="0"/>
        <w:widowControl/>
      </w:pPr>
      <w:r>
        <w:rPr>
          <w:b w:val="0"/>
        </w:rPr>
        <w:t>本次结构为80层、约25 μm，论文参考为42层、8.54 μm，计算与制造成本并不相同，不能据此宣称算法公平超越原文。</w:t>
      </w:r>
    </w:p>
    <w:p w14:paraId="3F485452">
      <w:r>
        <w:br w:type="page"/>
      </w:r>
    </w:p>
    <w:p w14:paraId="6FEFDD46">
      <w:pPr>
        <w:spacing w:after="0"/>
      </w:pPr>
    </w:p>
    <w:p w14:paraId="41D27AFF">
      <w:pPr>
        <w:pStyle w:val="4"/>
      </w:pPr>
      <w:r>
        <w:t>已经收敛下来的研究问题</w:t>
      </w:r>
    </w:p>
    <w:p w14:paraId="6F45616A">
      <w:pPr>
        <w:keepNext w:val="0"/>
        <w:widowControl/>
      </w:pPr>
      <w:r>
        <w:rPr>
          <w:b w:val="0"/>
        </w:rPr>
        <w:t>我现在更关心的是：固定材料数据与约束后，纯HPPO在不同目标光谱上能否稳定找到高质量设计，以及主要瓶颈究竟来自搜索、长期信用分配，还是目标函数和应用需求不一致。每个任务重新训练是可以接受的，但希望同一个主体框架能够通过配置表达任务差异。</w:t>
      </w:r>
    </w:p>
    <w:p w14:paraId="24A386A8"/>
    <w:sectPr>
      <w:footerReference r:id="rId5" w:type="default"/>
      <w:pgSz w:w="11906" w:h="16838"/>
      <w:pgMar w:top="1077" w:right="1134" w:bottom="1020" w:left="1134" w:header="397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6708A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5" w:lineRule="auto"/>
      </w:pPr>
      <w:r>
        <w:separator/>
      </w:r>
    </w:p>
  </w:footnote>
  <w:footnote w:type="continuationSeparator" w:id="1">
    <w:p>
      <w:pPr>
        <w:spacing w:before="0" w:after="0" w:line="29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406122"/>
    <w:rsid w:val="670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5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微软雅黑"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590</Words>
  <Characters>699</Characters>
  <Lines>0</Lines>
  <Paragraphs>0</Paragraphs>
  <TotalTime>0</TotalTime>
  <ScaleCrop>false</ScaleCrop>
  <LinksUpToDate>false</LinksUpToDate>
  <CharactersWithSpaces>704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研究记录</dc:creator>
  <dc:description>generated by python-docx</dc:description>
  <cp:lastModifiedBy>相召晗</cp:lastModifiedBy>
  <dcterms:modified xsi:type="dcterms:W3CDTF">2026-10-21T12:47:20Z</dcterms:modified>
  <dc:subject>2026年10月16日晚至10月21日 组会问题的追问与实验验证</dc:subject>
  <dc:title>薄膜强化学习研究思考与实验记录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eyJoZGlkIjoiNzMxNDI1NmRlODhlY2UzZjdhYWFlZTk2MDZmYzgxMWMiLCJ1c2VySWQiOiIxOTE0NTgwODI1In0=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73A8A4C9F2DF4442907ACA06284D283C_12</vt:lpwstr>
  </property>
</Properties>
</file>