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D42D" w14:textId="77777777" w:rsidR="00855D3A" w:rsidRPr="00AC0ABD" w:rsidRDefault="00000000">
      <w:pPr>
        <w:pStyle w:val="aa"/>
        <w:jc w:val="center"/>
        <w:rPr>
          <w:rFonts w:ascii="宋体" w:eastAsia="宋体" w:hAnsi="宋体" w:hint="eastAsia"/>
          <w:lang w:eastAsia="zh-CN"/>
        </w:rPr>
      </w:pPr>
      <w:r w:rsidRPr="00AC0ABD">
        <w:rPr>
          <w:rFonts w:ascii="宋体" w:eastAsia="宋体" w:hAnsi="宋体"/>
          <w:lang w:eastAsia="zh-CN"/>
        </w:rPr>
        <w:t>EUV光刻投影光学系统设计流程与关键难点</w:t>
      </w:r>
    </w:p>
    <w:p w14:paraId="43191F04" w14:textId="77777777" w:rsidR="00855D3A" w:rsidRPr="005E67E7" w:rsidRDefault="00000000">
      <w:pPr>
        <w:pStyle w:val="1"/>
        <w:rPr>
          <w:rFonts w:ascii="宋体" w:eastAsia="宋体" w:hAnsi="宋体" w:hint="eastAsia"/>
          <w:lang w:eastAsia="zh-CN"/>
        </w:rPr>
      </w:pPr>
      <w:r w:rsidRPr="005E67E7">
        <w:rPr>
          <w:rFonts w:ascii="宋体" w:eastAsia="宋体" w:hAnsi="宋体"/>
          <w:lang w:eastAsia="zh-CN"/>
        </w:rPr>
        <w:t>摘要</w:t>
      </w:r>
    </w:p>
    <w:p w14:paraId="35C7BE16" w14:textId="6265A037" w:rsidR="00855D3A" w:rsidRPr="007B0178" w:rsidRDefault="00000000">
      <w:pPr>
        <w:spacing w:after="100" w:line="317" w:lineRule="auto"/>
        <w:ind w:firstLine="420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EUV投影光学系统的设计目标，不是单独获得一个低像差镜头处方，而是在分辨率、视场、数值孔径、系统通量、波前误差、畸变、远心度、遮拦、多层膜角度响应、制造和装调稳定性之间建立可闭环验证的工程解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begin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REF _Ref241314583 \r \h  \* MERGEFORMAT 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separate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[1</w:t>
      </w:r>
      <w:r w:rsidR="005D15B4" w:rsidRPr="007B0178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-3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]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end"/>
      </w:r>
      <w:r w:rsidRPr="007B0178">
        <w:rPr>
          <w:rFonts w:ascii="宋体" w:eastAsia="宋体" w:hAnsi="宋体"/>
          <w:sz w:val="24"/>
          <w:szCs w:val="24"/>
          <w:lang w:eastAsia="zh-CN"/>
        </w:rPr>
        <w:t>。当前公开路线从0.33 NA、等倍率缩小的六镜系统，发展到0.55 NA、中央遮拦和变倍率半场成像的High NA系统。设计流程因此必须将光学处方、照明瞳面、反射式掩模、多层膜、热结构、计量和装调放在同一优化框架内。</w:t>
      </w:r>
    </w:p>
    <w:p w14:paraId="4AD41F78" w14:textId="77777777" w:rsidR="00855D3A" w:rsidRPr="005E67E7" w:rsidRDefault="00DB11A8">
      <w:pPr>
        <w:pStyle w:val="1"/>
        <w:rPr>
          <w:rFonts w:eastAsia="宋体"/>
          <w:lang w:eastAsia="zh-CN"/>
        </w:rPr>
      </w:pPr>
      <w:r w:rsidRPr="00DB11A8">
        <w:rPr>
          <w:rFonts w:ascii="宋体" w:eastAsia="宋体" w:hAnsi="宋体" w:hint="eastAsia"/>
          <w:lang w:eastAsia="zh-CN"/>
        </w:rPr>
        <w:t>1</w:t>
      </w:r>
      <w:r w:rsidR="005E67E7">
        <w:rPr>
          <w:rFonts w:ascii="宋体" w:eastAsia="宋体" w:hAnsi="宋体" w:hint="eastAsia"/>
          <w:lang w:eastAsia="zh-CN"/>
        </w:rPr>
        <w:t>光学</w:t>
      </w:r>
      <w:r w:rsidR="00880E74">
        <w:rPr>
          <w:rFonts w:ascii="宋体" w:eastAsia="宋体" w:hAnsi="宋体" w:hint="eastAsia"/>
          <w:lang w:eastAsia="zh-CN"/>
        </w:rPr>
        <w:t>系统原理</w:t>
      </w:r>
      <w:r w:rsidR="005E67E7">
        <w:rPr>
          <w:rFonts w:ascii="宋体" w:eastAsia="宋体" w:hAnsi="宋体" w:hint="eastAsia"/>
          <w:lang w:eastAsia="zh-CN"/>
        </w:rPr>
        <w:t>流程</w:t>
      </w:r>
    </w:p>
    <w:p w14:paraId="46C81164" w14:textId="77777777" w:rsidR="00880E74" w:rsidRDefault="00880E74" w:rsidP="00880E74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7BDE35C4" wp14:editId="3697D5B2">
            <wp:extent cx="6005830" cy="2340610"/>
            <wp:effectExtent l="0" t="0" r="0" b="2540"/>
            <wp:docPr id="1138327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2945D" w14:textId="77777777" w:rsidR="00A9795E" w:rsidRPr="00880E74" w:rsidRDefault="00A9795E" w:rsidP="00880E74">
      <w:pPr>
        <w:rPr>
          <w:lang w:eastAsia="zh-CN"/>
        </w:rPr>
      </w:pPr>
    </w:p>
    <w:p w14:paraId="044FF828" w14:textId="77777777" w:rsidR="00880E74" w:rsidRDefault="00880E74" w:rsidP="00880E74">
      <w:pPr>
        <w:rPr>
          <w:lang w:eastAsia="zh-CN"/>
        </w:rPr>
      </w:pPr>
      <w:r w:rsidRPr="00880E74">
        <w:rPr>
          <w:noProof/>
          <w:lang w:eastAsia="zh-CN"/>
        </w:rPr>
        <w:drawing>
          <wp:inline distT="0" distB="0" distL="0" distR="0" wp14:anchorId="0C66E4CC" wp14:editId="29E5F21C">
            <wp:extent cx="6012180" cy="2278380"/>
            <wp:effectExtent l="0" t="0" r="7620" b="7620"/>
            <wp:docPr id="1463577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77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07D8" w14:textId="77777777" w:rsidR="00A9795E" w:rsidRDefault="00A9795E" w:rsidP="00880E74">
      <w:pPr>
        <w:rPr>
          <w:lang w:eastAsia="zh-CN"/>
        </w:rPr>
      </w:pPr>
    </w:p>
    <w:p w14:paraId="0AEFCD4F" w14:textId="71C9B65A" w:rsidR="009458FD" w:rsidRPr="007B0178" w:rsidRDefault="009458FD" w:rsidP="009458FD">
      <w:pPr>
        <w:spacing w:after="100" w:line="317" w:lineRule="auto"/>
        <w:ind w:firstLine="420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极紫外光刻采用波长为13.5 nm的极紫外辐射，通过反射式掩膜和多反射镜投影物镜，将掩膜图形缩小成像到涂覆光刻胶的晶圆表面。由于13.5 nm辐射会被空气和常规光学材</w:t>
      </w:r>
      <w:r w:rsidRPr="007B0178">
        <w:rPr>
          <w:rFonts w:ascii="宋体" w:eastAsia="宋体" w:hAnsi="宋体"/>
          <w:sz w:val="24"/>
          <w:szCs w:val="24"/>
          <w:lang w:eastAsia="zh-CN"/>
        </w:rPr>
        <w:lastRenderedPageBreak/>
        <w:t>料强烈吸收，EUV投影物镜不能采用传统透射镜片，而必须使用工作于真空环境中的多层膜反射镜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begin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REF _Ref241314604 \r \h  \* MERGEFORMAT 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separate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[3]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end"/>
      </w:r>
      <w:r w:rsidRPr="007B0178">
        <w:rPr>
          <w:rFonts w:ascii="宋体" w:eastAsia="宋体" w:hAnsi="宋体"/>
          <w:sz w:val="24"/>
          <w:szCs w:val="24"/>
          <w:lang w:eastAsia="zh-CN"/>
        </w:rPr>
        <w:t>。图示系统由六面非球面反射镜组成，按照功能划分为物方组G1、中间组G2和像方组G3。掩膜图形首先将入射EUV光调制为包含不同空间频率的衍射光，随后各级反射镜依次完成衍射光收集、光瞳传递、像差平衡、倍率缩小和最终聚焦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begin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REF _Ref241314627 \r \h  \* MERGEFORMAT 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separate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[4]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end"/>
      </w:r>
      <w:r w:rsidRPr="007B0178">
        <w:rPr>
          <w:rFonts w:ascii="宋体" w:eastAsia="宋体" w:hAnsi="宋体"/>
          <w:sz w:val="24"/>
          <w:szCs w:val="24"/>
          <w:lang w:eastAsia="zh-CN"/>
        </w:rPr>
        <w:t>。在这一过程中，系统必须同时满足高数值孔径、大视场、低波前误差、低畸变、晶圆侧远心、无机械遮拦和高反射率等要求。这些条件之间存在显著冲突，由此形成EUV投影物镜在初始结构、像差校正、多层膜设计、制造计量和装调稳定性方面的主要技术难点。</w:t>
      </w:r>
    </w:p>
    <w:p w14:paraId="2CA3FAB6" w14:textId="1B972022" w:rsidR="005E67E7" w:rsidRPr="007B0178" w:rsidRDefault="005E67E7" w:rsidP="009458FD">
      <w:pPr>
        <w:spacing w:after="100" w:line="317" w:lineRule="auto"/>
        <w:ind w:firstLine="420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EUV投影物镜的任务不是将掩膜上的几何图形“直接复制”到晶圆，而是收集掩膜产生的衍射光，并使不同衍射级次在晶圆表面重新发生相干叠加，从而形成具有明暗分布的空间像，即航空像（aerial image）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begin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REF _Ref241314709 \r \h  \* MERGEFORMAT 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separate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[7]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end"/>
      </w:r>
      <w:r w:rsidRPr="007B0178">
        <w:rPr>
          <w:rFonts w:ascii="宋体" w:eastAsia="宋体" w:hAnsi="宋体"/>
          <w:sz w:val="24"/>
          <w:szCs w:val="24"/>
          <w:lang w:eastAsia="zh-CN"/>
        </w:rPr>
        <w:t>。</w:t>
      </w:r>
    </w:p>
    <w:p w14:paraId="29D5D5A3" w14:textId="4D4C2848" w:rsidR="00DB11A8" w:rsidRPr="007B0178" w:rsidRDefault="007B0178" w:rsidP="009458FD">
      <w:pPr>
        <w:spacing w:after="100" w:line="317" w:lineRule="auto"/>
        <w:ind w:firstLine="420"/>
        <w:rPr>
          <w:rFonts w:ascii="宋体" w:eastAsia="宋体" w:hAnsi="宋体" w:hint="eastAsia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对于已有的光刻机投影物镜的</w:t>
      </w:r>
      <w:r w:rsidR="00DB11A8" w:rsidRPr="007B0178">
        <w:rPr>
          <w:rFonts w:ascii="宋体" w:eastAsia="宋体" w:hAnsi="宋体" w:hint="eastAsia"/>
          <w:sz w:val="24"/>
          <w:szCs w:val="24"/>
          <w:lang w:eastAsia="zh-CN"/>
        </w:rPr>
        <w:t>光线经过流程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begin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</w:instrText>
      </w:r>
      <w:r w:rsidR="005D15B4" w:rsidRPr="007B0178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>REF _Ref241314627 \r \h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instrText xml:space="preserve">  \* MERGEFORMAT </w:instrTex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separate"/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t>[4]</w:t>
      </w:r>
      <w:r w:rsidR="005D15B4" w:rsidRPr="007B0178">
        <w:rPr>
          <w:rFonts w:ascii="宋体" w:eastAsia="宋体" w:hAnsi="宋体"/>
          <w:sz w:val="24"/>
          <w:szCs w:val="24"/>
          <w:vertAlign w:val="superscript"/>
          <w:lang w:eastAsia="zh-CN"/>
        </w:rPr>
        <w:fldChar w:fldCharType="end"/>
      </w:r>
      <w:r w:rsidR="00DB11A8" w:rsidRPr="007B0178">
        <w:rPr>
          <w:rFonts w:ascii="宋体" w:eastAsia="宋体" w:hAnsi="宋体" w:hint="eastAsia"/>
          <w:sz w:val="24"/>
          <w:szCs w:val="24"/>
          <w:lang w:eastAsia="zh-CN"/>
        </w:rPr>
        <w:t>：</w:t>
      </w:r>
    </w:p>
    <w:p w14:paraId="0B718691" w14:textId="77777777" w:rsidR="00DB11A8" w:rsidRPr="007B0178" w:rsidRDefault="00DB11A8" w:rsidP="002B043A">
      <w:pPr>
        <w:pStyle w:val="ae"/>
        <w:numPr>
          <w:ilvl w:val="0"/>
          <w:numId w:val="10"/>
        </w:numPr>
        <w:spacing w:after="100" w:line="317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 w:hint="eastAsia"/>
          <w:sz w:val="24"/>
          <w:szCs w:val="24"/>
          <w:lang w:eastAsia="zh-CN"/>
        </w:rPr>
        <w:t>掩膜：</w:t>
      </w:r>
      <w:r w:rsidR="002B043A" w:rsidRPr="007B0178">
        <w:rPr>
          <w:rFonts w:ascii="宋体" w:eastAsia="宋体" w:hAnsi="宋体" w:hint="eastAsia"/>
          <w:sz w:val="24"/>
          <w:szCs w:val="24"/>
          <w:lang w:eastAsia="zh-CN"/>
        </w:rPr>
        <w:t>掩膜设计也是采用反射镜设计，</w:t>
      </w:r>
      <w:r w:rsidRPr="007B0178">
        <w:rPr>
          <w:rFonts w:ascii="宋体" w:eastAsia="宋体" w:hAnsi="宋体"/>
          <w:sz w:val="24"/>
          <w:szCs w:val="24"/>
          <w:lang w:eastAsia="zh-CN"/>
        </w:rPr>
        <w:t>掩膜上的开放区域能够较强地反射EUV光，吸收体区域则削弱反射。由于吸收体具有有限厚度，而且EUV光以倾斜角入射，因此掩膜对光场的作用不仅是简单的明暗调制，还包括相位变化、阴影效应和方向相关的衍射。</w:t>
      </w:r>
    </w:p>
    <w:p w14:paraId="56A2F0BD" w14:textId="51B622BE" w:rsidR="002B043A" w:rsidRPr="007B0178" w:rsidRDefault="002B043A" w:rsidP="007B0178">
      <w:pPr>
        <w:pStyle w:val="ae"/>
        <w:numPr>
          <w:ilvl w:val="0"/>
          <w:numId w:val="10"/>
        </w:numPr>
        <w:spacing w:line="317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M1和M2组成物方组G1。该组位于掩膜附近，其功能不是单纯“聚焦”，而是共同确定：掩膜侧物方NA；入瞳位置和尺寸；</w:t>
      </w:r>
      <w:r w:rsidRPr="007B0178">
        <w:rPr>
          <w:rFonts w:ascii="宋体" w:eastAsia="宋体" w:hAnsi="宋体"/>
          <w:b/>
          <w:bCs/>
          <w:sz w:val="24"/>
          <w:szCs w:val="24"/>
          <w:lang w:eastAsia="zh-CN"/>
        </w:rPr>
        <w:t>初始倍率分配</w:t>
      </w:r>
      <w:r w:rsidR="00566C40" w:rsidRPr="007B0178">
        <w:rPr>
          <w:rFonts w:ascii="宋体" w:eastAsia="宋体" w:hAnsi="宋体" w:hint="eastAsia"/>
          <w:sz w:val="24"/>
          <w:szCs w:val="24"/>
          <w:lang w:eastAsia="zh-CN"/>
        </w:rPr>
        <w:t>（通过反射镜的光焦度控制）；</w:t>
      </w:r>
      <w:r w:rsidRPr="007B0178">
        <w:rPr>
          <w:rFonts w:ascii="宋体" w:eastAsia="宋体" w:hAnsi="宋体"/>
          <w:sz w:val="24"/>
          <w:szCs w:val="24"/>
          <w:lang w:eastAsia="zh-CN"/>
        </w:rPr>
        <w:t>物方组必须首先解决“光能不能顺利进入系统”的问题。如果光束与镜片背面、支撑结构或相邻光路相交，即使理论像差很小，结构也没有实际意义。</w:t>
      </w:r>
    </w:p>
    <w:p w14:paraId="43FA693D" w14:textId="77777777" w:rsidR="002B043A" w:rsidRPr="007B0178" w:rsidRDefault="002B043A" w:rsidP="002B043A">
      <w:pPr>
        <w:pStyle w:val="ae"/>
        <w:numPr>
          <w:ilvl w:val="0"/>
          <w:numId w:val="10"/>
        </w:numPr>
        <w:spacing w:line="317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M3和M4构成中间组G2。中间组的主要作用是连接物方组和像方组，并承担大量像差平衡任务。它需要同时满足：</w:t>
      </w:r>
    </w:p>
    <w:p w14:paraId="78A4162F" w14:textId="77777777" w:rsidR="002B043A" w:rsidRPr="007B0178" w:rsidRDefault="002B043A" w:rsidP="002B043A">
      <w:pPr>
        <w:pStyle w:val="ae"/>
        <w:spacing w:line="317" w:lineRule="auto"/>
        <w:ind w:left="780"/>
        <w:jc w:val="center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noProof/>
          <w:sz w:val="24"/>
          <w:szCs w:val="24"/>
          <w:lang w:eastAsia="zh-CN"/>
        </w:rPr>
        <w:drawing>
          <wp:inline distT="0" distB="0" distL="0" distR="0" wp14:anchorId="5353994F" wp14:editId="492D484F">
            <wp:extent cx="1695687" cy="628738"/>
            <wp:effectExtent l="0" t="0" r="0" b="0"/>
            <wp:docPr id="206195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0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CA6" w14:textId="4B728D63" w:rsidR="002B043A" w:rsidRPr="007B0178" w:rsidRDefault="002B043A" w:rsidP="007B0178">
      <w:pPr>
        <w:pStyle w:val="ae"/>
        <w:spacing w:line="317" w:lineRule="auto"/>
        <w:ind w:left="780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中间组通常负责：重新分配系统光焦度；控制中间像或中间共轭位置；调节光束在各镜面上的高度；平衡Petzval和，从而控制场曲；抵消物方组产生的部分球差、彗差和像散；为M5、M6提供合适的入射光束；控制整个折叠系统的机械长度。对反射系统而言，Petzval场曲无法像常规折射镜头那样依靠正、负透镜材料组合来校正，只能通过凹、凸镜面光焦度的合理分配来平衡。因此，中间组是六镜系统能否获得大视场平坦像面的关键。</w:t>
      </w:r>
    </w:p>
    <w:p w14:paraId="09406F7E" w14:textId="3A548DC5" w:rsidR="002B043A" w:rsidRPr="007B0178" w:rsidRDefault="002B043A" w:rsidP="007B0178">
      <w:pPr>
        <w:pStyle w:val="ae"/>
        <w:numPr>
          <w:ilvl w:val="0"/>
          <w:numId w:val="10"/>
        </w:numPr>
        <w:spacing w:line="317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t>M5和M6组成像方组G3。该组直接决定晶圆侧的关键成像参数：晶圆侧NA；最终缩小倍率；晶圆侧远心度；后工作距离；最终球差和高阶孔径像差；像面位置；出瞳结构。M6是晶圆前的最后一面反射镜。它将来自M5的光束汇聚到晶圆上。虽然M6承担最终聚焦，但图形缩小并不是M6单独完成的，而是六面镜的整体物像共轭关系共同形成的</w:t>
      </w:r>
    </w:p>
    <w:p w14:paraId="0801FB36" w14:textId="335BC081" w:rsidR="00566C40" w:rsidRPr="007B0178" w:rsidRDefault="00566C40" w:rsidP="00566C40">
      <w:pPr>
        <w:spacing w:line="317" w:lineRule="auto"/>
        <w:rPr>
          <w:rFonts w:ascii="宋体" w:eastAsia="宋体" w:hAnsi="宋体" w:hint="eastAsia"/>
          <w:sz w:val="24"/>
          <w:szCs w:val="24"/>
          <w:lang w:eastAsia="zh-CN"/>
        </w:rPr>
      </w:pPr>
      <w:r w:rsidRPr="007B0178">
        <w:rPr>
          <w:rFonts w:ascii="宋体" w:eastAsia="宋体" w:hAnsi="宋体"/>
          <w:sz w:val="24"/>
          <w:szCs w:val="24"/>
          <w:lang w:eastAsia="zh-CN"/>
        </w:rPr>
        <w:lastRenderedPageBreak/>
        <w:t>到达晶圆时，不同衍射级次重新叠加</w:t>
      </w:r>
      <w:r w:rsidR="007B0178">
        <w:rPr>
          <w:rFonts w:ascii="宋体" w:eastAsia="宋体" w:hAnsi="宋体" w:hint="eastAsia"/>
          <w:sz w:val="24"/>
          <w:szCs w:val="24"/>
          <w:lang w:eastAsia="zh-CN"/>
        </w:rPr>
        <w:t>，因此投影</w:t>
      </w:r>
      <w:r w:rsidRPr="007B0178">
        <w:rPr>
          <w:rFonts w:ascii="宋体" w:eastAsia="宋体" w:hAnsi="宋体"/>
          <w:sz w:val="24"/>
          <w:szCs w:val="24"/>
          <w:lang w:eastAsia="zh-CN"/>
        </w:rPr>
        <w:t>物镜的作用可以表示为一个带有振幅和相位的光瞳函数</w:t>
      </w:r>
    </w:p>
    <w:p w14:paraId="4F0EF034" w14:textId="77777777" w:rsidR="00855D3A" w:rsidRPr="005E67E7" w:rsidRDefault="00DB11A8">
      <w:pPr>
        <w:pStyle w:val="1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2</w:t>
      </w:r>
      <w:r>
        <w:rPr>
          <w:lang w:eastAsia="zh-CN"/>
        </w:rPr>
        <w:t xml:space="preserve"> </w:t>
      </w:r>
      <w:r w:rsidRPr="005E67E7">
        <w:rPr>
          <w:rFonts w:ascii="宋体" w:eastAsia="宋体" w:hAnsi="宋体"/>
          <w:lang w:eastAsia="zh-CN"/>
        </w:rPr>
        <w:t>关键设计难点</w:t>
      </w:r>
    </w:p>
    <w:p w14:paraId="49189A0A" w14:textId="2D6E56BA" w:rsidR="001C0DC8" w:rsidRDefault="001C0DC8" w:rsidP="001C0DC8">
      <w:pPr>
        <w:spacing w:after="0"/>
        <w:ind w:firstLineChars="200" w:firstLine="480"/>
        <w:rPr>
          <w:rFonts w:ascii="宋体" w:eastAsia="宋体" w:hAnsi="宋体"/>
          <w:b/>
          <w:bCs/>
          <w:sz w:val="24"/>
          <w:szCs w:val="24"/>
          <w:lang w:eastAsia="zh-CN"/>
        </w:rPr>
      </w:pPr>
      <w:r w:rsidRPr="001C0DC8">
        <w:rPr>
          <w:rFonts w:ascii="宋体" w:eastAsia="宋体" w:hAnsi="宋体"/>
          <w:sz w:val="24"/>
          <w:szCs w:val="24"/>
          <w:lang w:eastAsia="zh-CN"/>
        </w:rPr>
        <w:t>EUV光刻投影物镜的设计并不是若干独立技术问题的简单叠加，而是一个由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系统指标、光学架构、成像性能、EUV特有物理效应以及制造装调条件共同约束</w:t>
      </w:r>
      <w:r w:rsidRPr="001C0DC8">
        <w:rPr>
          <w:rFonts w:ascii="宋体" w:eastAsia="宋体" w:hAnsi="宋体"/>
          <w:sz w:val="24"/>
          <w:szCs w:val="24"/>
          <w:lang w:eastAsia="zh-CN"/>
        </w:rPr>
        <w:t>的多层次优化问题。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数值孔径、视场、缩小倍率、镜面数量、入射角范围、波前误差、畸变、系统通量和装调稳定性之间存在显著耦合</w:t>
      </w:r>
      <w:r w:rsidRPr="001C0DC8">
        <w:rPr>
          <w:rFonts w:ascii="宋体" w:eastAsia="宋体" w:hAnsi="宋体"/>
          <w:sz w:val="24"/>
          <w:szCs w:val="24"/>
          <w:lang w:eastAsia="zh-CN"/>
        </w:rPr>
        <w:t>，任一参数的调整均可能对其他性能指标产生连锁影响。因此，从投影物镜的实际设计流程出发，可将现有难点归纳为四个相互衔接的层级：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系统架构与总体性能权衡、全视场像差与扫描成像控制、EUV特有的掩膜—膜层—物镜耦合，以及制造装调与长期稳定性控制。</w:t>
      </w:r>
    </w:p>
    <w:p w14:paraId="49D2772F" w14:textId="2F78F53D" w:rsidR="003C656C" w:rsidRDefault="003C656C" w:rsidP="001C0DC8">
      <w:pPr>
        <w:spacing w:after="0"/>
        <w:ind w:firstLineChars="200" w:firstLine="482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bCs/>
          <w:sz w:val="24"/>
          <w:szCs w:val="24"/>
          <w:lang w:eastAsia="zh-CN"/>
        </w:rPr>
        <w:t>1.</w:t>
      </w:r>
      <w:r w:rsidRPr="003C656C">
        <w:rPr>
          <w:rFonts w:ascii="宋体" w:eastAsia="宋体" w:hAnsi="宋体"/>
          <w:b/>
          <w:bCs/>
          <w:sz w:val="24"/>
          <w:szCs w:val="24"/>
          <w:lang w:eastAsia="zh-CN"/>
        </w:rPr>
        <w:t xml:space="preserve"> 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系统架构与总体性能权衡</w:t>
      </w:r>
    </w:p>
    <w:p w14:paraId="53F37770" w14:textId="6690E635" w:rsidR="001C0DC8" w:rsidRDefault="003C656C" w:rsidP="001C0DC8">
      <w:pPr>
        <w:spacing w:after="0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>
        <w:rPr>
          <w:rFonts w:ascii="宋体" w:eastAsia="宋体" w:hAnsi="宋体" w:hint="eastAsia"/>
          <w:sz w:val="24"/>
          <w:szCs w:val="24"/>
          <w:lang w:eastAsia="zh-CN"/>
        </w:rPr>
        <w:t>在设计系统的过程中，首先需要确定系统的</w:t>
      </w:r>
      <w:r w:rsidR="001C0DC8" w:rsidRPr="001C0DC8">
        <w:rPr>
          <w:rFonts w:ascii="宋体" w:eastAsia="宋体" w:hAnsi="宋体"/>
          <w:sz w:val="24"/>
          <w:szCs w:val="24"/>
          <w:lang w:eastAsia="zh-CN"/>
        </w:rPr>
        <w:t>NA、倍率和视场，</w:t>
      </w:r>
      <w:r>
        <w:rPr>
          <w:rFonts w:ascii="宋体" w:eastAsia="宋体" w:hAnsi="宋体" w:hint="eastAsia"/>
          <w:sz w:val="24"/>
          <w:szCs w:val="24"/>
          <w:lang w:eastAsia="zh-CN"/>
        </w:rPr>
        <w:t>而</w:t>
      </w:r>
      <w:r w:rsidRPr="008A4A4F">
        <w:rPr>
          <w:rFonts w:ascii="宋体" w:eastAsia="宋体" w:hAnsi="宋体" w:hint="eastAsia"/>
          <w:b/>
          <w:bCs/>
          <w:sz w:val="24"/>
          <w:szCs w:val="24"/>
          <w:lang w:eastAsia="zh-CN"/>
        </w:rPr>
        <w:t>NA决定了光束规模和角度范围，</w:t>
      </w:r>
      <w:r w:rsidRPr="008A4A4F">
        <w:rPr>
          <w:rFonts w:ascii="宋体" w:eastAsia="宋体" w:hAnsi="宋体"/>
          <w:b/>
          <w:bCs/>
          <w:sz w:val="24"/>
          <w:szCs w:val="24"/>
          <w:lang w:eastAsia="zh-CN"/>
        </w:rPr>
        <w:t>光束约束决定可行的反射镜拓扑</w:t>
      </w:r>
      <w:r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="001C0DC8" w:rsidRPr="001C0DC8">
        <w:rPr>
          <w:rFonts w:ascii="宋体" w:eastAsia="宋体" w:hAnsi="宋体"/>
          <w:sz w:val="24"/>
          <w:szCs w:val="24"/>
          <w:lang w:eastAsia="zh-CN"/>
        </w:rPr>
        <w:t>由于EUV投影物镜采用离轴折叠光路，可行结构仅分布于有限的参数区域，理论上像差较小的结构也可能因机械遮拦、镜面碰撞或工作距离不足而失去工程意义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_Ref241314583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[1]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="008A4A4F"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="001C0DC8" w:rsidRPr="001C0DC8">
        <w:rPr>
          <w:rFonts w:ascii="宋体" w:eastAsia="宋体" w:hAnsi="宋体"/>
          <w:sz w:val="24"/>
          <w:szCs w:val="24"/>
          <w:lang w:eastAsia="zh-CN"/>
        </w:rPr>
        <w:t>与此同时，增加镜面数量虽然能够提高像差校正自由度，却会造成</w:t>
      </w:r>
      <w:r w:rsidR="001C0DC8" w:rsidRPr="003C656C">
        <w:rPr>
          <w:rFonts w:ascii="宋体" w:eastAsia="宋体" w:hAnsi="宋体"/>
          <w:b/>
          <w:bCs/>
          <w:sz w:val="24"/>
          <w:szCs w:val="24"/>
          <w:lang w:eastAsia="zh-CN"/>
        </w:rPr>
        <w:t>通量的指数衰减</w:t>
      </w:r>
      <w:r w:rsidR="008A4A4F"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="001C0DC8" w:rsidRPr="001C0DC8">
        <w:rPr>
          <w:rFonts w:ascii="宋体" w:eastAsia="宋体" w:hAnsi="宋体"/>
          <w:sz w:val="24"/>
          <w:szCs w:val="24"/>
          <w:lang w:eastAsia="zh-CN"/>
        </w:rPr>
        <w:t>单镜约65%～70%的反射率经过多次反射后将显著降低系统曝光效率，因此，初始结构设计必须同步权衡镜面数量、像差校正能力和系统通量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_Ref241314866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[5]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="001C0DC8" w:rsidRPr="001C0DC8">
        <w:rPr>
          <w:rFonts w:ascii="宋体" w:eastAsia="宋体" w:hAnsi="宋体"/>
          <w:sz w:val="24"/>
          <w:szCs w:val="24"/>
          <w:lang w:eastAsia="zh-CN"/>
        </w:rPr>
        <w:t>。</w:t>
      </w:r>
    </w:p>
    <w:p w14:paraId="0F5EA54D" w14:textId="33E41D52" w:rsidR="003C656C" w:rsidRPr="001C0DC8" w:rsidRDefault="003C656C" w:rsidP="001C0DC8">
      <w:pPr>
        <w:spacing w:after="0"/>
        <w:ind w:firstLineChars="200" w:firstLine="482"/>
        <w:rPr>
          <w:rFonts w:ascii="宋体" w:eastAsia="宋体" w:hAnsi="宋体" w:hint="eastAsia"/>
          <w:sz w:val="24"/>
          <w:szCs w:val="24"/>
          <w:lang w:eastAsia="zh-CN"/>
        </w:rPr>
      </w:pPr>
      <w:r w:rsidRPr="003C656C">
        <w:rPr>
          <w:rFonts w:ascii="宋体" w:eastAsia="宋体" w:hAnsi="宋体" w:hint="eastAsia"/>
          <w:b/>
          <w:bCs/>
          <w:sz w:val="24"/>
          <w:szCs w:val="24"/>
          <w:lang w:eastAsia="zh-CN"/>
        </w:rPr>
        <w:t>2.</w:t>
      </w:r>
      <w:r w:rsidRPr="003C656C">
        <w:rPr>
          <w:rFonts w:ascii="宋体" w:eastAsia="宋体" w:hAnsi="宋体"/>
          <w:b/>
          <w:bCs/>
          <w:sz w:val="24"/>
          <w:szCs w:val="24"/>
          <w:lang w:eastAsia="zh-CN"/>
        </w:rPr>
        <w:t xml:space="preserve"> 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全视场像差与扫描成像控制</w:t>
      </w:r>
    </w:p>
    <w:p w14:paraId="3E39E685" w14:textId="39A83B06" w:rsidR="001C0DC8" w:rsidRDefault="001C0DC8" w:rsidP="001C0DC8">
      <w:pPr>
        <w:spacing w:after="0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1C0DC8">
        <w:rPr>
          <w:rFonts w:ascii="宋体" w:eastAsia="宋体" w:hAnsi="宋体"/>
          <w:sz w:val="24"/>
          <w:szCs w:val="24"/>
          <w:lang w:eastAsia="zh-CN"/>
        </w:rPr>
        <w:t>获得可行拓扑后，设计重点转向全视场成像性能。EUV物镜通常采用</w:t>
      </w:r>
      <w:r w:rsidRPr="008A4A4F">
        <w:rPr>
          <w:rFonts w:ascii="宋体" w:eastAsia="宋体" w:hAnsi="宋体"/>
          <w:b/>
          <w:bCs/>
          <w:sz w:val="24"/>
          <w:szCs w:val="24"/>
          <w:lang w:eastAsia="zh-CN"/>
        </w:rPr>
        <w:t>离轴环形视场</w:t>
      </w:r>
      <w:r w:rsidRPr="001C0DC8">
        <w:rPr>
          <w:rFonts w:ascii="宋体" w:eastAsia="宋体" w:hAnsi="宋体"/>
          <w:sz w:val="24"/>
          <w:szCs w:val="24"/>
          <w:lang w:eastAsia="zh-CN"/>
        </w:rPr>
        <w:t>，随着场点移动，各镜面上的光线高度和入射角不断变化，使</w:t>
      </w:r>
      <w:r w:rsidRPr="008A4A4F">
        <w:rPr>
          <w:rFonts w:ascii="宋体" w:eastAsia="宋体" w:hAnsi="宋体"/>
          <w:b/>
          <w:bCs/>
          <w:sz w:val="24"/>
          <w:szCs w:val="24"/>
          <w:lang w:eastAsia="zh-CN"/>
        </w:rPr>
        <w:t>彗差和像散表现出明显的场依赖性</w:t>
      </w:r>
      <w:r w:rsidRPr="001C0DC8">
        <w:rPr>
          <w:rFonts w:ascii="宋体" w:eastAsia="宋体" w:hAnsi="宋体"/>
          <w:sz w:val="24"/>
          <w:szCs w:val="24"/>
          <w:lang w:eastAsia="zh-CN"/>
        </w:rPr>
        <w:t>，因而不能仅以中心场点的波前误差评价系统性能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_Ref241314583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[1]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Pr="001C0DC8">
        <w:rPr>
          <w:rFonts w:ascii="宋体" w:eastAsia="宋体" w:hAnsi="宋体"/>
          <w:sz w:val="24"/>
          <w:szCs w:val="24"/>
          <w:lang w:eastAsia="zh-CN"/>
        </w:rPr>
        <w:t>。同时，反射系统的自然像面通常具有较大场曲，必须通过凹、凸镜面光焦度的合理分配平衡Petzval和，使不同视场的最佳焦面与平面晶圆重合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_Ref241314784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[2]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="008A4A4F">
        <w:rPr>
          <w:rFonts w:ascii="宋体" w:eastAsia="宋体" w:hAnsi="宋体" w:hint="eastAsia"/>
          <w:sz w:val="24"/>
          <w:szCs w:val="24"/>
          <w:lang w:eastAsia="zh-CN"/>
        </w:rPr>
        <w:t>。</w:t>
      </w:r>
      <w:r w:rsidRPr="001C0DC8">
        <w:rPr>
          <w:rFonts w:ascii="宋体" w:eastAsia="宋体" w:hAnsi="宋体"/>
          <w:sz w:val="24"/>
          <w:szCs w:val="24"/>
          <w:lang w:eastAsia="zh-CN"/>
        </w:rPr>
        <w:t>在此基础上，还需严格控制畸变和晶圆侧远心度，因为静态畸变会在扫描曝光过程中转化为动态图形位置误差，直接影响套刻精度。由此，全视场优化应同时考虑波前误差、焦面一致性、畸变和远心度，而不能仅追求最低的名义RMS波前误差。</w:t>
      </w:r>
    </w:p>
    <w:p w14:paraId="770284EB" w14:textId="0A49DA64" w:rsidR="003C656C" w:rsidRPr="001C0DC8" w:rsidRDefault="003C656C" w:rsidP="001C0DC8">
      <w:pPr>
        <w:spacing w:after="0"/>
        <w:ind w:firstLineChars="200" w:firstLine="482"/>
        <w:rPr>
          <w:rFonts w:ascii="宋体" w:eastAsia="宋体" w:hAnsi="宋体" w:hint="eastAsia"/>
          <w:sz w:val="24"/>
          <w:szCs w:val="24"/>
          <w:lang w:eastAsia="zh-CN"/>
        </w:rPr>
      </w:pPr>
      <w:r w:rsidRPr="003C656C">
        <w:rPr>
          <w:rFonts w:ascii="宋体" w:eastAsia="宋体" w:hAnsi="宋体" w:hint="eastAsia"/>
          <w:b/>
          <w:bCs/>
          <w:sz w:val="24"/>
          <w:szCs w:val="24"/>
          <w:lang w:eastAsia="zh-CN"/>
        </w:rPr>
        <w:t>3.</w:t>
      </w:r>
      <w:r w:rsidRPr="003C656C">
        <w:rPr>
          <w:rFonts w:ascii="宋体" w:eastAsia="宋体" w:hAnsi="宋体"/>
          <w:b/>
          <w:bCs/>
          <w:sz w:val="24"/>
          <w:szCs w:val="24"/>
          <w:lang w:eastAsia="zh-CN"/>
        </w:rPr>
        <w:t xml:space="preserve"> </w:t>
      </w:r>
      <w:r w:rsidRPr="001C0DC8">
        <w:rPr>
          <w:rFonts w:ascii="宋体" w:eastAsia="宋体" w:hAnsi="宋体"/>
          <w:b/>
          <w:bCs/>
          <w:sz w:val="24"/>
          <w:szCs w:val="24"/>
          <w:lang w:eastAsia="zh-CN"/>
        </w:rPr>
        <w:t>EUV特有的掩膜—膜层—物镜耦合</w:t>
      </w:r>
    </w:p>
    <w:p w14:paraId="4E4D4632" w14:textId="3CF6F779" w:rsidR="001C0DC8" w:rsidRDefault="001C0DC8" w:rsidP="001C0DC8">
      <w:pPr>
        <w:spacing w:after="0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1C0DC8">
        <w:rPr>
          <w:rFonts w:ascii="宋体" w:eastAsia="宋体" w:hAnsi="宋体"/>
          <w:sz w:val="24"/>
          <w:szCs w:val="24"/>
          <w:lang w:eastAsia="zh-CN"/>
        </w:rPr>
        <w:t>即使几何光学处方已经满足要求，真实EUV系统仍会</w:t>
      </w:r>
      <w:r w:rsidRPr="008A4A4F">
        <w:rPr>
          <w:rFonts w:ascii="宋体" w:eastAsia="宋体" w:hAnsi="宋体"/>
          <w:b/>
          <w:bCs/>
          <w:sz w:val="24"/>
          <w:szCs w:val="24"/>
          <w:lang w:eastAsia="zh-CN"/>
        </w:rPr>
        <w:t>受到多层膜和反射式掩膜的影响</w:t>
      </w:r>
      <w:r w:rsidRPr="001C0DC8">
        <w:rPr>
          <w:rFonts w:ascii="宋体" w:eastAsia="宋体" w:hAnsi="宋体"/>
          <w:sz w:val="24"/>
          <w:szCs w:val="24"/>
          <w:lang w:eastAsia="zh-CN"/>
        </w:rPr>
        <w:t>。多层膜的反射振幅和相位随波长、入射角、偏振状态及镜面位置变化，因此可能</w:t>
      </w:r>
      <w:r w:rsidRPr="008A4A4F">
        <w:rPr>
          <w:rFonts w:ascii="宋体" w:eastAsia="宋体" w:hAnsi="宋体"/>
          <w:b/>
          <w:bCs/>
          <w:sz w:val="24"/>
          <w:szCs w:val="24"/>
          <w:lang w:eastAsia="zh-CN"/>
        </w:rPr>
        <w:t>引入离焦、像散、倾斜、倍率变化和瞳面振幅不均匀等附加像差</w:t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b/>
          <w:bCs/>
          <w:sz w:val="24"/>
          <w:szCs w:val="24"/>
          <w:vertAlign w:val="superscript"/>
          <w:lang w:eastAsia="zh-CN"/>
        </w:rPr>
        <w:instrText>REF _Ref241314894 \r \h</w:instrText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t>[6]</w:t>
      </w:r>
      <w:r w:rsidR="008A4A4F" w:rsidRPr="008A4A4F">
        <w:rPr>
          <w:rFonts w:ascii="宋体" w:eastAsia="宋体" w:hAnsi="宋体" w:hint="eastAsia"/>
          <w:b/>
          <w:bCs/>
          <w:sz w:val="24"/>
          <w:szCs w:val="24"/>
          <w:vertAlign w:val="superscript"/>
          <w:lang w:eastAsia="zh-CN"/>
        </w:rPr>
        <w:fldChar w:fldCharType="end"/>
      </w:r>
      <w:r w:rsidRPr="001C0DC8">
        <w:rPr>
          <w:rFonts w:ascii="宋体" w:eastAsia="宋体" w:hAnsi="宋体"/>
          <w:sz w:val="24"/>
          <w:szCs w:val="24"/>
          <w:lang w:eastAsia="zh-CN"/>
        </w:rPr>
        <w:t>。</w:t>
      </w:r>
      <w:r w:rsidR="008A4A4F">
        <w:rPr>
          <w:rFonts w:ascii="宋体" w:eastAsia="宋体" w:hAnsi="宋体" w:hint="eastAsia"/>
          <w:sz w:val="24"/>
          <w:szCs w:val="24"/>
          <w:lang w:eastAsia="zh-CN"/>
        </w:rPr>
        <w:t>同时，</w:t>
      </w:r>
      <w:r w:rsidRPr="001C0DC8">
        <w:rPr>
          <w:rFonts w:ascii="宋体" w:eastAsia="宋体" w:hAnsi="宋体"/>
          <w:sz w:val="24"/>
          <w:szCs w:val="24"/>
          <w:lang w:eastAsia="zh-CN"/>
        </w:rPr>
        <w:t>反射式掩膜的吸收体具有有限厚度，且照明光以倾斜角入射，由此产生阴影效应、正负衍射级次不对称、最佳焦面偏移和远心误差等三维掩膜效应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_Ref241314709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[7]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="008A4A4F">
        <w:rPr>
          <w:rFonts w:ascii="宋体" w:eastAsia="宋体" w:hAnsi="宋体" w:hint="eastAsia"/>
          <w:sz w:val="24"/>
          <w:szCs w:val="24"/>
          <w:lang w:eastAsia="zh-CN"/>
        </w:rPr>
        <w:t>，</w:t>
      </w:r>
      <w:r w:rsidRPr="001C0DC8">
        <w:rPr>
          <w:rFonts w:ascii="宋体" w:eastAsia="宋体" w:hAnsi="宋体"/>
          <w:sz w:val="24"/>
          <w:szCs w:val="24"/>
          <w:lang w:eastAsia="zh-CN"/>
        </w:rPr>
        <w:t xml:space="preserve"> 这意味着EUV投影物镜不能采用“几何设计完成后再独立进行膜层和掩膜分析”的串行方法，而应在统一的波动光学模型中联合优化掩膜衍射、物镜光瞳传递和多层膜复反射特性。</w:t>
      </w:r>
    </w:p>
    <w:p w14:paraId="45F3EA7C" w14:textId="0F6F5F79" w:rsidR="003C656C" w:rsidRPr="003C656C" w:rsidRDefault="003C656C" w:rsidP="003C656C">
      <w:pPr>
        <w:spacing w:after="0"/>
        <w:ind w:left="42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hint="eastAsia"/>
          <w:b/>
          <w:bCs/>
          <w:sz w:val="24"/>
          <w:szCs w:val="24"/>
          <w:lang w:eastAsia="zh-CN"/>
        </w:rPr>
        <w:t>4.</w:t>
      </w:r>
      <w:r w:rsidRPr="003C656C">
        <w:rPr>
          <w:rFonts w:ascii="宋体" w:eastAsia="宋体" w:hAnsi="宋体" w:hint="eastAsia"/>
          <w:b/>
          <w:bCs/>
          <w:sz w:val="24"/>
          <w:szCs w:val="24"/>
          <w:lang w:eastAsia="zh-CN"/>
        </w:rPr>
        <w:t xml:space="preserve"> </w:t>
      </w:r>
      <w:r w:rsidRPr="003C656C">
        <w:rPr>
          <w:rFonts w:ascii="宋体" w:eastAsia="宋体" w:hAnsi="宋体"/>
          <w:b/>
          <w:bCs/>
          <w:sz w:val="24"/>
          <w:szCs w:val="24"/>
          <w:lang w:eastAsia="zh-CN"/>
        </w:rPr>
        <w:t>制造装调与长期稳定性控制</w:t>
      </w:r>
    </w:p>
    <w:p w14:paraId="058AC9C1" w14:textId="06BB66C6" w:rsidR="001C0DC8" w:rsidRPr="001C0DC8" w:rsidRDefault="001C0DC8" w:rsidP="001C0DC8">
      <w:pPr>
        <w:spacing w:after="0"/>
        <w:ind w:firstLineChars="200" w:firstLine="480"/>
        <w:rPr>
          <w:rFonts w:ascii="宋体" w:eastAsia="宋体" w:hAnsi="宋体"/>
          <w:sz w:val="24"/>
          <w:szCs w:val="24"/>
          <w:lang w:eastAsia="zh-CN"/>
        </w:rPr>
      </w:pPr>
      <w:r w:rsidRPr="001C0DC8">
        <w:rPr>
          <w:rFonts w:ascii="宋体" w:eastAsia="宋体" w:hAnsi="宋体"/>
          <w:sz w:val="24"/>
          <w:szCs w:val="24"/>
          <w:lang w:eastAsia="zh-CN"/>
        </w:rPr>
        <w:t>上述设计最终还必须通过制造和装调实现。镀膜应力会改变镜面面形，界面扩散、氧化、污染和热漂移会导致反射率及反射相位随时间变化；镜面的偏心、倾斜、间隔和面形误差则可能破坏多镜系统已经建立的像差平衡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/>
          <w:sz w:val="24"/>
          <w:szCs w:val="24"/>
          <w:vertAlign w:val="superscript"/>
          <w:lang w:eastAsia="zh-CN"/>
        </w:rPr>
        <w:instrText>REF _Ref241314939 \r \h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[8]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begin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REF _Ref241433151 \r \h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</w:r>
      <w:r w:rsid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instrText xml:space="preserve"> \* MERGEFORMAT </w:instrTex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separate"/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t>[9]</w:t>
      </w:r>
      <w:r w:rsidR="008A4A4F" w:rsidRPr="008A4A4F">
        <w:rPr>
          <w:rFonts w:ascii="宋体" w:eastAsia="宋体" w:hAnsi="宋体" w:hint="eastAsia"/>
          <w:sz w:val="24"/>
          <w:szCs w:val="24"/>
          <w:vertAlign w:val="superscript"/>
          <w:lang w:eastAsia="zh-CN"/>
        </w:rPr>
        <w:fldChar w:fldCharType="end"/>
      </w:r>
      <w:r w:rsidRPr="001C0DC8">
        <w:rPr>
          <w:rFonts w:ascii="宋体" w:eastAsia="宋体" w:hAnsi="宋体"/>
          <w:sz w:val="24"/>
          <w:szCs w:val="24"/>
          <w:lang w:eastAsia="zh-CN"/>
        </w:rPr>
        <w:t>。 因此，公差分析不能被视为名义设计完成后的附加步骤，而应在处方优化阶段同步引入。通过敏感度分析、蒙特卡洛公差分配、</w:t>
      </w:r>
      <w:r w:rsidRPr="001C0DC8">
        <w:rPr>
          <w:rFonts w:ascii="宋体" w:eastAsia="宋体" w:hAnsi="宋体"/>
          <w:sz w:val="24"/>
          <w:szCs w:val="24"/>
          <w:lang w:eastAsia="zh-CN"/>
        </w:rPr>
        <w:lastRenderedPageBreak/>
        <w:t>补偿器设计以及工作波长计量，可以将实测镜面和装调数据回灌至as-built模型，形成设计、制造、装调和验收之间的闭环。</w:t>
      </w:r>
    </w:p>
    <w:p w14:paraId="197142FE" w14:textId="1757CAD2" w:rsidR="001C0DC8" w:rsidRPr="008A4A4F" w:rsidRDefault="001C0DC8" w:rsidP="008A4A4F">
      <w:pPr>
        <w:spacing w:after="0"/>
        <w:ind w:firstLineChars="200" w:firstLine="480"/>
        <w:rPr>
          <w:rFonts w:ascii="宋体" w:eastAsia="宋体" w:hAnsi="宋体" w:hint="eastAsia"/>
          <w:sz w:val="24"/>
          <w:szCs w:val="24"/>
          <w:lang w:eastAsia="zh-CN"/>
        </w:rPr>
      </w:pPr>
      <w:r w:rsidRPr="001C0DC8">
        <w:rPr>
          <w:rFonts w:ascii="宋体" w:eastAsia="宋体" w:hAnsi="宋体"/>
          <w:sz w:val="24"/>
          <w:szCs w:val="24"/>
          <w:lang w:eastAsia="zh-CN"/>
        </w:rPr>
        <w:t>综上，高NA是投影物镜设计的上游驱动条件，可行拓扑和通量预算构成系统架构基础；彗差、像散、场曲和畸变决定全视场成像质量；多层膜诱导像差与掩膜三维效应构成EUV系统特有的波动光学约束；膜应力、长期稳定性和装调公差则决定名义设计能否转化为实际装备。只有将这些问题置于同一优化框架中，才能获得兼具高分辨率、低像差、高通量和工程稳定性的EUV投影物镜。</w:t>
      </w:r>
    </w:p>
    <w:p w14:paraId="5D5A05FF" w14:textId="7A7C9BC8" w:rsidR="00443FA2" w:rsidRPr="00FE2799" w:rsidRDefault="00000000">
      <w:pPr>
        <w:pStyle w:val="1"/>
        <w:rPr>
          <w:rFonts w:ascii="宋体" w:eastAsia="宋体" w:hAnsi="宋体" w:hint="eastAsia"/>
        </w:rPr>
      </w:pPr>
      <w:proofErr w:type="spellStart"/>
      <w:r w:rsidRPr="00FE2799">
        <w:rPr>
          <w:rFonts w:ascii="宋体" w:eastAsia="宋体" w:hAnsi="宋体"/>
        </w:rPr>
        <w:t>参考文献</w:t>
      </w:r>
      <w:proofErr w:type="spellEnd"/>
    </w:p>
    <w:p w14:paraId="0634DCC2" w14:textId="5295AE7F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0" w:name="_Ref241314583"/>
      <w:r w:rsidRPr="005D15B4">
        <w:rPr>
          <w:rFonts w:ascii="Times New Roman" w:eastAsia="宋体" w:hAnsi="Times New Roman"/>
          <w:szCs w:val="21"/>
        </w:rPr>
        <w:t>VAN SETTEN E, et al. High NA EUV lithography: Next step in EUV imaging[C]//Proceedings of SPIE. 2019, 10957: 1095709. DOI: 10.1117/12.2514952.</w:t>
      </w:r>
      <w:bookmarkEnd w:id="0"/>
    </w:p>
    <w:p w14:paraId="49D9A150" w14:textId="504F9D96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1" w:name="_Ref241314784"/>
      <w:r w:rsidRPr="005D15B4">
        <w:rPr>
          <w:rFonts w:ascii="Times New Roman" w:eastAsia="宋体" w:hAnsi="Times New Roman"/>
          <w:szCs w:val="21"/>
        </w:rPr>
        <w:t>DE WINTER L, et al. Extreme ultraviolet scanner with high numerical aperture: Obscuration and wavefront description[J]. Journal of Micro/Nanopatterning, Materials, and Metrology, 2022, 21(2): 023801. DOI: 10.1117/1.JMM.21.2.023801.</w:t>
      </w:r>
      <w:bookmarkEnd w:id="1"/>
    </w:p>
    <w:p w14:paraId="3D0E4D88" w14:textId="195D5F22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2" w:name="_Ref241314604"/>
      <w:r w:rsidRPr="005D15B4">
        <w:rPr>
          <w:rFonts w:ascii="Times New Roman" w:eastAsia="宋体" w:hAnsi="Times New Roman"/>
          <w:szCs w:val="21"/>
        </w:rPr>
        <w:t>LOUIS E, YAKSHIN A E, TSARFATI T, et al. Nanometer interface and materials control for multilayer EUV-optical applications[J]. Progress in Surface Science, 2011, 86(11/12): 255-294. DOI: 10.1016/j.progsurf.2011.08.001.</w:t>
      </w:r>
      <w:bookmarkEnd w:id="2"/>
    </w:p>
    <w:p w14:paraId="55BB2088" w14:textId="2E175473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3" w:name="_Ref241314627"/>
      <w:r w:rsidRPr="005D15B4">
        <w:rPr>
          <w:rFonts w:ascii="Times New Roman" w:eastAsia="宋体" w:hAnsi="Times New Roman"/>
          <w:szCs w:val="21"/>
        </w:rPr>
        <w:t>YAN X, LI Y, LI Y, et al. Design of an extreme ultraviolet lithography projection objective with a grouping design method through forward and reverse real ray tracing[J]. Applied Optics, 2022, 61(25): 7449-7454. DOI: 10.1364/AO.469274.</w:t>
      </w:r>
      <w:bookmarkEnd w:id="3"/>
    </w:p>
    <w:p w14:paraId="242C6212" w14:textId="500F82FD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  <w:lang w:eastAsia="zh-CN"/>
        </w:rPr>
      </w:pPr>
      <w:bookmarkStart w:id="4" w:name="_Ref241314866"/>
      <w:r w:rsidRPr="005D15B4">
        <w:rPr>
          <w:rFonts w:ascii="Times New Roman" w:eastAsia="宋体" w:hAnsi="Times New Roman"/>
          <w:szCs w:val="21"/>
        </w:rPr>
        <w:t xml:space="preserve">BAL M F, BOCIORT F, BRAAT J </w:t>
      </w:r>
      <w:proofErr w:type="spellStart"/>
      <w:r w:rsidRPr="005D15B4">
        <w:rPr>
          <w:rFonts w:ascii="Times New Roman" w:eastAsia="宋体" w:hAnsi="Times New Roman"/>
          <w:szCs w:val="21"/>
        </w:rPr>
        <w:t>J</w:t>
      </w:r>
      <w:proofErr w:type="spellEnd"/>
      <w:r w:rsidRPr="005D15B4">
        <w:rPr>
          <w:rFonts w:ascii="Times New Roman" w:eastAsia="宋体" w:hAnsi="Times New Roman"/>
          <w:szCs w:val="21"/>
        </w:rPr>
        <w:t xml:space="preserve"> M. Analysis, search, and classification for reflective ring-field projection systems[J]. Applied Optics, 2003, 42(13): 2301-2311. DOI: 10.1364/AO.42.002301.</w:t>
      </w:r>
      <w:bookmarkEnd w:id="4"/>
    </w:p>
    <w:p w14:paraId="68C14195" w14:textId="7E20FB20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5" w:name="_Ref241314894"/>
      <w:r w:rsidRPr="005D15B4">
        <w:rPr>
          <w:rFonts w:ascii="Times New Roman" w:eastAsia="宋体" w:hAnsi="Times New Roman"/>
          <w:szCs w:val="21"/>
        </w:rPr>
        <w:t>LIANG C, DESCOUR M R, SASIAN J M, et al. Multilayer-coating-induced aberrations in extreme-ultraviolet lithography optics[J]. Applied Optics, 2001, 40(1): 129-135. DOI: 10.1364/AO.40.000129.</w:t>
      </w:r>
      <w:bookmarkEnd w:id="5"/>
    </w:p>
    <w:p w14:paraId="58FDCF8A" w14:textId="524EE4F3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6" w:name="_Ref241314709"/>
      <w:r w:rsidRPr="005D15B4">
        <w:rPr>
          <w:rFonts w:ascii="Times New Roman" w:eastAsia="宋体" w:hAnsi="Times New Roman"/>
          <w:szCs w:val="21"/>
        </w:rPr>
        <w:t>NEUMANN J T, GRÄUPNER P, KAISER W, et al. Interactions of 3D mask effects and NA in EUV lithography[C]//Proceedings of SPIE. 2012, 8522: 852211. DOI: 10.1117/12.2009117.</w:t>
      </w:r>
      <w:bookmarkEnd w:id="6"/>
    </w:p>
    <w:p w14:paraId="1C0FB5E1" w14:textId="37B20E87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7" w:name="_Ref241314939"/>
      <w:r w:rsidRPr="005D15B4">
        <w:rPr>
          <w:rFonts w:ascii="Times New Roman" w:eastAsia="宋体" w:hAnsi="Times New Roman"/>
          <w:szCs w:val="21"/>
        </w:rPr>
        <w:t>SOUFLI R, et al. Sub-diffraction-limited multilayer coatings for the 0.3 numerical aperture micro-exposure tool for extreme ultraviolet lithography[J]. Applied Optics, 2007, 46(18): 3736-3746. DOI: 10.1364/AO.46.003736.</w:t>
      </w:r>
      <w:bookmarkEnd w:id="7"/>
    </w:p>
    <w:p w14:paraId="21C13CED" w14:textId="44E41920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8" w:name="_Ref241433151"/>
      <w:r w:rsidRPr="005D15B4">
        <w:rPr>
          <w:rFonts w:ascii="Times New Roman" w:eastAsia="宋体" w:hAnsi="Times New Roman"/>
          <w:szCs w:val="21"/>
        </w:rPr>
        <w:t>MIRKARIMI P B. Stress, reflectance, and temporal stability of sputter-deposited Mo/Si and Mo/Be multilayer films for extreme ultraviolet lithography[J]. Optical Engineering, 1999, 38(7): 1246-1259. DOI: 10.1117/1.602170.</w:t>
      </w:r>
      <w:bookmarkEnd w:id="8"/>
    </w:p>
    <w:p w14:paraId="0D4B0ED1" w14:textId="7DA4B06C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9" w:name="_Ref241314922"/>
      <w:r w:rsidRPr="005D15B4">
        <w:rPr>
          <w:rFonts w:ascii="Times New Roman" w:eastAsia="宋体" w:hAnsi="Times New Roman"/>
          <w:szCs w:val="21"/>
        </w:rPr>
        <w:t>BAJT S, et al. Improved reflectance and stability of Mo/Si multilayers[J]. Optical Engineering, 2002, 41(8): 1797-1804. DOI: 10.1117/1.1489426.</w:t>
      </w:r>
      <w:bookmarkEnd w:id="9"/>
    </w:p>
    <w:p w14:paraId="13841CAE" w14:textId="32110A3C" w:rsidR="005D15B4" w:rsidRPr="005D15B4" w:rsidRDefault="005D15B4" w:rsidP="00FE2799">
      <w:pPr>
        <w:pStyle w:val="ae"/>
        <w:numPr>
          <w:ilvl w:val="0"/>
          <w:numId w:val="16"/>
        </w:numPr>
        <w:wordWrap w:val="0"/>
        <w:spacing w:after="80" w:line="259" w:lineRule="auto"/>
        <w:ind w:left="442" w:hanging="442"/>
        <w:rPr>
          <w:rFonts w:ascii="Times New Roman" w:eastAsia="宋体" w:hAnsi="Times New Roman"/>
          <w:szCs w:val="21"/>
        </w:rPr>
      </w:pPr>
      <w:bookmarkStart w:id="10" w:name="_Ref241314760"/>
      <w:r w:rsidRPr="005D15B4">
        <w:rPr>
          <w:rFonts w:ascii="Times New Roman" w:eastAsia="宋体" w:hAnsi="Times New Roman"/>
          <w:szCs w:val="21"/>
        </w:rPr>
        <w:t>LIU F, LI Y. Grouping design of eight-mirror projection objective for high-numerical-aperture EUV lithography[J]. Applied Optics, 2013, 52(29): 7137-7144. DOI: 10.1364/AO.52.007137.</w:t>
      </w:r>
      <w:bookmarkEnd w:id="10"/>
    </w:p>
    <w:p w14:paraId="7271BB27" w14:textId="77777777" w:rsidR="005D15B4" w:rsidRDefault="005D15B4">
      <w:pPr>
        <w:spacing w:after="80" w:line="259" w:lineRule="auto"/>
        <w:ind w:left="425" w:hanging="425"/>
      </w:pPr>
    </w:p>
    <w:sectPr w:rsidR="005D15B4" w:rsidSect="00034616">
      <w:footerReference w:type="default" r:id="rId11"/>
      <w:pgSz w:w="11906" w:h="16838"/>
      <w:pgMar w:top="1134" w:right="1219" w:bottom="1020" w:left="1219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3CD84" w14:textId="77777777" w:rsidR="007A6612" w:rsidRDefault="007A6612">
      <w:pPr>
        <w:spacing w:after="0" w:line="240" w:lineRule="auto"/>
      </w:pPr>
      <w:r>
        <w:separator/>
      </w:r>
    </w:p>
  </w:endnote>
  <w:endnote w:type="continuationSeparator" w:id="0">
    <w:p w14:paraId="542DA63C" w14:textId="77777777" w:rsidR="007A6612" w:rsidRDefault="007A6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A288" w14:textId="77777777" w:rsidR="00855D3A" w:rsidRDefault="00000000">
    <w:pPr>
      <w:pStyle w:val="a7"/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81D5" w14:textId="77777777" w:rsidR="007A6612" w:rsidRDefault="007A6612">
      <w:pPr>
        <w:spacing w:after="0" w:line="240" w:lineRule="auto"/>
      </w:pPr>
      <w:r>
        <w:separator/>
      </w:r>
    </w:p>
  </w:footnote>
  <w:footnote w:type="continuationSeparator" w:id="0">
    <w:p w14:paraId="36E1747D" w14:textId="77777777" w:rsidR="007A6612" w:rsidRDefault="007A6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914C5"/>
    <w:multiLevelType w:val="multilevel"/>
    <w:tmpl w:val="165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840CD"/>
    <w:multiLevelType w:val="multilevel"/>
    <w:tmpl w:val="5F7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744A3"/>
    <w:multiLevelType w:val="multilevel"/>
    <w:tmpl w:val="BE8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40052"/>
    <w:multiLevelType w:val="multilevel"/>
    <w:tmpl w:val="E7BA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02E46"/>
    <w:multiLevelType w:val="hybridMultilevel"/>
    <w:tmpl w:val="F930371E"/>
    <w:lvl w:ilvl="0" w:tplc="F11EA15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D3B57D2"/>
    <w:multiLevelType w:val="hybridMultilevel"/>
    <w:tmpl w:val="C2B40C84"/>
    <w:lvl w:ilvl="0" w:tplc="34F2815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710E77E2"/>
    <w:multiLevelType w:val="multilevel"/>
    <w:tmpl w:val="B746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702">
    <w:abstractNumId w:val="8"/>
  </w:num>
  <w:num w:numId="2" w16cid:durableId="166143243">
    <w:abstractNumId w:val="6"/>
  </w:num>
  <w:num w:numId="3" w16cid:durableId="742140398">
    <w:abstractNumId w:val="5"/>
  </w:num>
  <w:num w:numId="4" w16cid:durableId="245725608">
    <w:abstractNumId w:val="4"/>
  </w:num>
  <w:num w:numId="5" w16cid:durableId="1824468405">
    <w:abstractNumId w:val="7"/>
  </w:num>
  <w:num w:numId="6" w16cid:durableId="1341421713">
    <w:abstractNumId w:val="3"/>
  </w:num>
  <w:num w:numId="7" w16cid:durableId="1059355076">
    <w:abstractNumId w:val="2"/>
  </w:num>
  <w:num w:numId="8" w16cid:durableId="1474983627">
    <w:abstractNumId w:val="1"/>
  </w:num>
  <w:num w:numId="9" w16cid:durableId="2075858262">
    <w:abstractNumId w:val="0"/>
  </w:num>
  <w:num w:numId="10" w16cid:durableId="1598519694">
    <w:abstractNumId w:val="14"/>
  </w:num>
  <w:num w:numId="11" w16cid:durableId="2082025393">
    <w:abstractNumId w:val="9"/>
  </w:num>
  <w:num w:numId="12" w16cid:durableId="373388636">
    <w:abstractNumId w:val="12"/>
  </w:num>
  <w:num w:numId="13" w16cid:durableId="2041011436">
    <w:abstractNumId w:val="10"/>
  </w:num>
  <w:num w:numId="14" w16cid:durableId="1616254777">
    <w:abstractNumId w:val="15"/>
  </w:num>
  <w:num w:numId="15" w16cid:durableId="1916090313">
    <w:abstractNumId w:val="11"/>
  </w:num>
  <w:num w:numId="16" w16cid:durableId="20443992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BA"/>
    <w:rsid w:val="0006063C"/>
    <w:rsid w:val="00063446"/>
    <w:rsid w:val="000862D6"/>
    <w:rsid w:val="000B6FAB"/>
    <w:rsid w:val="0015074B"/>
    <w:rsid w:val="0015467D"/>
    <w:rsid w:val="00173325"/>
    <w:rsid w:val="001C0DC8"/>
    <w:rsid w:val="00282D62"/>
    <w:rsid w:val="0029639D"/>
    <w:rsid w:val="002B043A"/>
    <w:rsid w:val="00326F90"/>
    <w:rsid w:val="00355898"/>
    <w:rsid w:val="003C656C"/>
    <w:rsid w:val="00443FA2"/>
    <w:rsid w:val="00525D70"/>
    <w:rsid w:val="00566C40"/>
    <w:rsid w:val="005D15B4"/>
    <w:rsid w:val="005E67E7"/>
    <w:rsid w:val="006847F8"/>
    <w:rsid w:val="00691370"/>
    <w:rsid w:val="006C24C9"/>
    <w:rsid w:val="007A6612"/>
    <w:rsid w:val="007B0178"/>
    <w:rsid w:val="00855D3A"/>
    <w:rsid w:val="00880E74"/>
    <w:rsid w:val="008A4A4F"/>
    <w:rsid w:val="0092322C"/>
    <w:rsid w:val="009458FD"/>
    <w:rsid w:val="00A6687B"/>
    <w:rsid w:val="00A9795E"/>
    <w:rsid w:val="00AA1D8D"/>
    <w:rsid w:val="00AC0ABD"/>
    <w:rsid w:val="00B0184C"/>
    <w:rsid w:val="00B06967"/>
    <w:rsid w:val="00B47730"/>
    <w:rsid w:val="00C42361"/>
    <w:rsid w:val="00C428AE"/>
    <w:rsid w:val="00CB0664"/>
    <w:rsid w:val="00DB11A8"/>
    <w:rsid w:val="00F31807"/>
    <w:rsid w:val="00FB5D12"/>
    <w:rsid w:val="00FB78FA"/>
    <w:rsid w:val="00FC693F"/>
    <w:rsid w:val="00FE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8572AC"/>
  <w14:defaultImageDpi w14:val="300"/>
  <w15:docId w15:val="{0C278D54-0291-44AC-94DF-709D668D5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/>
      <w:jc w:val="center"/>
    </w:pPr>
    <w:rPr>
      <w:rFonts w:ascii="微软雅黑" w:eastAsia="微软雅黑" w:hAnsi="微软雅黑"/>
      <w:color w:val="555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2223</Words>
  <Characters>3469</Characters>
  <Application>Microsoft Office Word</Application>
  <DocSecurity>0</DocSecurity>
  <Lines>88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EUV光刻投影光学系统设计流程与关键难点</dc:title>
  <dc:subject>EUV光刻投影光学系统设计流程、关键难点及参考文献</dc:subject>
  <dc:creator/>
  <cp:keywords>EUV；投影物镜；光学设计；参考文献；IEEE</cp:keywords>
  <dc:description>generated by python-docx</dc:description>
  <cp:lastModifiedBy>dw wz</cp:lastModifiedBy>
  <cp:revision>13</cp:revision>
  <dcterms:created xsi:type="dcterms:W3CDTF">2013-12-23T23:15:00Z</dcterms:created>
  <dcterms:modified xsi:type="dcterms:W3CDTF">2026-09-27T12:26:00Z</dcterms:modified>
  <cp:category/>
</cp:coreProperties>
</file>