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8E20" w14:textId="77777777" w:rsidR="00FF0B03" w:rsidRPr="00D30B7B" w:rsidRDefault="00000000">
      <w:pPr>
        <w:pStyle w:val="aa"/>
        <w:keepNext/>
        <w:rPr>
          <w:rFonts w:ascii="宋体" w:eastAsia="宋体" w:hAnsi="宋体" w:hint="eastAsia"/>
          <w:lang w:eastAsia="zh-CN"/>
        </w:rPr>
      </w:pPr>
      <w:r w:rsidRPr="00D30B7B">
        <w:rPr>
          <w:rFonts w:ascii="宋体" w:eastAsia="宋体" w:hAnsi="宋体"/>
          <w:lang w:eastAsia="zh-CN"/>
        </w:rPr>
        <w:t>EUV投影物镜膜层设计原理与关键难点综述</w:t>
      </w:r>
    </w:p>
    <w:p w14:paraId="30EB0E95" w14:textId="77777777" w:rsidR="00FF0B03" w:rsidRPr="00361925" w:rsidRDefault="004F30D1" w:rsidP="00361925">
      <w:pPr>
        <w:pStyle w:val="aff9"/>
        <w:rPr>
          <w:rFonts w:ascii="宋体" w:hAnsi="宋体" w:hint="eastAsia"/>
          <w:b/>
          <w:sz w:val="32"/>
          <w:szCs w:val="32"/>
          <w:lang w:eastAsia="zh-CN"/>
        </w:rPr>
      </w:pPr>
      <w:r>
        <w:rPr>
          <w:rFonts w:ascii="宋体" w:hAnsi="宋体" w:hint="eastAsia"/>
          <w:b/>
          <w:sz w:val="32"/>
          <w:szCs w:val="32"/>
          <w:lang w:eastAsia="zh-CN"/>
        </w:rPr>
        <w:t>摘要</w:t>
      </w:r>
    </w:p>
    <w:p w14:paraId="449B435E" w14:textId="7CB4A3C7" w:rsidR="00FF0B03" w:rsidRPr="00361925" w:rsidRDefault="00000000">
      <w:pPr>
        <w:pStyle w:val="14"/>
        <w:ind w:firstLine="420"/>
        <w:rPr>
          <w:rFonts w:ascii="宋体" w:hAnsi="宋体" w:hint="eastAsia"/>
          <w:sz w:val="24"/>
          <w:szCs w:val="24"/>
          <w:lang w:eastAsia="zh-CN"/>
        </w:rPr>
      </w:pPr>
      <w:r w:rsidRPr="00361925">
        <w:rPr>
          <w:rFonts w:ascii="宋体" w:hAnsi="宋体"/>
          <w:sz w:val="24"/>
          <w:szCs w:val="24"/>
          <w:lang w:eastAsia="zh-CN"/>
        </w:rPr>
        <w:t>EUV投影物镜工作在约</w:t>
      </w:r>
      <m:oMath>
        <m:r>
          <w:rPr>
            <w:rFonts w:ascii="Cambria Math" w:hAnsi="Cambria Math"/>
            <w:sz w:val="24"/>
            <w:szCs w:val="24"/>
            <w:lang w:eastAsia="zh-CN"/>
          </w:rPr>
          <m:t>13.5 nm</m:t>
        </m:r>
      </m:oMath>
      <w:r w:rsidRPr="00361925">
        <w:rPr>
          <w:rFonts w:ascii="宋体" w:hAnsi="宋体"/>
          <w:sz w:val="24"/>
          <w:szCs w:val="24"/>
          <w:lang w:eastAsia="zh-CN"/>
        </w:rPr>
        <w:t>波段。由于这一波段缺少可用于厚体透射成像的低吸收材料，系统采用</w:t>
      </w:r>
      <w:r w:rsidRPr="00D30B7B">
        <w:rPr>
          <w:rFonts w:ascii="宋体" w:hAnsi="宋体"/>
          <w:b/>
          <w:bCs/>
          <w:sz w:val="24"/>
          <w:szCs w:val="24"/>
          <w:lang w:eastAsia="zh-CN"/>
        </w:rPr>
        <w:t>多镜反射式结构，单个镜面依靠Mo/Si等纳米多层膜</w:t>
      </w:r>
      <w:r w:rsidR="00D30B7B" w:rsidRPr="00D30B7B">
        <w:rPr>
          <w:rFonts w:ascii="宋体" w:hAnsi="宋体"/>
          <w:b/>
          <w:bCs/>
          <w:sz w:val="24"/>
          <w:szCs w:val="24"/>
          <w:lang w:eastAsia="zh-CN"/>
        </w:rPr>
        <w:t>为每面反射镜建立满足实际入射角分布的复反射响应，使整个投影物镜同时获得足够的曝光通量、均匀的瞳面振幅、足够小的波前误差和稳定的偏振特性，</w:t>
      </w:r>
      <w:r w:rsidR="00D30B7B" w:rsidRPr="00D30B7B">
        <w:rPr>
          <w:rFonts w:ascii="宋体" w:hAnsi="宋体"/>
          <w:sz w:val="24"/>
          <w:szCs w:val="24"/>
          <w:lang w:eastAsia="zh-CN"/>
        </w:rPr>
        <w:t>并保证这些性能能够被制造、检测且在使用寿命内保持稳定。</w:t>
      </w:r>
      <w:r w:rsidRPr="00361925">
        <w:rPr>
          <w:rFonts w:ascii="宋体" w:hAnsi="宋体"/>
          <w:sz w:val="24"/>
          <w:szCs w:val="24"/>
          <w:lang w:eastAsia="zh-CN"/>
        </w:rPr>
        <w:t>早期研究已明确，多层膜的周期、材料厚度比、界面质量和层数共同决定反射谱；近年来的界面形成研究进一步说明，实际性能上限不仅受材料本征吸收限制，还受互扩散、化合层和粗糙度控制</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_Ref241436192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_Ref241436193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[2]</w:t>
      </w:r>
      <w:r w:rsidR="009422E5" w:rsidRPr="009422E5">
        <w:rPr>
          <w:rFonts w:ascii="宋体" w:hAnsi="宋体" w:hint="eastAsia"/>
          <w:sz w:val="24"/>
          <w:szCs w:val="24"/>
          <w:vertAlign w:val="superscript"/>
          <w:lang w:eastAsia="zh-CN"/>
        </w:rPr>
        <w:fldChar w:fldCharType="end"/>
      </w:r>
      <w:r w:rsidR="00FD650B">
        <w:rPr>
          <w:rFonts w:ascii="宋体" w:hAnsi="宋体" w:hint="eastAsia"/>
          <w:sz w:val="24"/>
          <w:szCs w:val="24"/>
          <w:lang w:eastAsia="zh-CN"/>
        </w:rPr>
        <w:t>。</w:t>
      </w:r>
    </w:p>
    <w:p w14:paraId="137453CE" w14:textId="196D574A" w:rsidR="00FF0B03" w:rsidRPr="00361925" w:rsidRDefault="00000000">
      <w:pPr>
        <w:pStyle w:val="14"/>
        <w:ind w:firstLine="420"/>
        <w:rPr>
          <w:rFonts w:ascii="宋体" w:hAnsi="宋体" w:hint="eastAsia"/>
          <w:sz w:val="24"/>
          <w:szCs w:val="24"/>
          <w:lang w:eastAsia="zh-CN"/>
        </w:rPr>
      </w:pPr>
      <w:r w:rsidRPr="00361925">
        <w:rPr>
          <w:rFonts w:ascii="宋体" w:hAnsi="宋体"/>
          <w:sz w:val="24"/>
          <w:szCs w:val="24"/>
          <w:lang w:eastAsia="zh-CN"/>
        </w:rPr>
        <w:t>对投影物镜而言，膜层并不是在光学处方冻结后附加的一项制造工艺。膜层的复反射系数同时改变光线的振幅、相位和偏振态，这些变化又随波长、入射角、方位角以及镜面位置而变。多片反射镜串联后，振幅效应以乘积形式累积，相位误差和偏振像差则进入系统波前与成像传递函数。因此，设计目标应从单镜峰值反射率转向光源加权的系统通量、全视场与全瞳面均匀性、波前误差及制造稳健性的联合控制</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_Ref241436206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[3]</w:t>
      </w:r>
      <w:r w:rsidR="009422E5" w:rsidRPr="009422E5">
        <w:rPr>
          <w:rFonts w:ascii="宋体" w:hAnsi="宋体" w:hint="eastAsia"/>
          <w:sz w:val="24"/>
          <w:szCs w:val="24"/>
          <w:vertAlign w:val="superscript"/>
          <w:lang w:eastAsia="zh-CN"/>
        </w:rPr>
        <w:fldChar w:fldCharType="end"/>
      </w:r>
      <w:r w:rsidR="00FD650B">
        <w:rPr>
          <w:rFonts w:ascii="宋体" w:hAnsi="宋体" w:hint="eastAsia"/>
          <w:sz w:val="24"/>
          <w:szCs w:val="24"/>
          <w:lang w:eastAsia="zh-CN"/>
        </w:rPr>
        <w:t>。</w:t>
      </w:r>
    </w:p>
    <w:p w14:paraId="70BFB377" w14:textId="77777777" w:rsidR="00FF0B03" w:rsidRPr="00361925" w:rsidRDefault="003431EE" w:rsidP="00361925">
      <w:pPr>
        <w:pStyle w:val="aff9"/>
        <w:rPr>
          <w:rFonts w:ascii="宋体" w:hAnsi="宋体" w:hint="eastAsia"/>
          <w:b/>
          <w:sz w:val="32"/>
          <w:szCs w:val="32"/>
          <w:lang w:eastAsia="zh-CN"/>
        </w:rPr>
      </w:pPr>
      <w:r>
        <w:rPr>
          <w:rFonts w:ascii="宋体" w:hAnsi="宋体" w:hint="eastAsia"/>
          <w:b/>
          <w:sz w:val="32"/>
          <w:szCs w:val="32"/>
          <w:lang w:eastAsia="zh-CN"/>
        </w:rPr>
        <w:t>一、物理基础</w:t>
      </w:r>
    </w:p>
    <w:p w14:paraId="0554CDD3" w14:textId="77777777" w:rsidR="00FF0B03" w:rsidRPr="00361925" w:rsidRDefault="00856289">
      <w:pPr>
        <w:pStyle w:val="21"/>
        <w:rPr>
          <w:rFonts w:ascii="宋体" w:eastAsia="宋体" w:hAnsi="宋体" w:hint="eastAsia"/>
          <w:szCs w:val="24"/>
          <w:lang w:eastAsia="zh-CN"/>
        </w:rPr>
      </w:pPr>
      <w:r>
        <w:rPr>
          <w:rFonts w:ascii="宋体" w:eastAsia="宋体" w:hAnsi="宋体" w:hint="eastAsia"/>
          <w:szCs w:val="24"/>
          <w:lang w:eastAsia="zh-CN"/>
        </w:rPr>
        <w:t>1</w:t>
      </w:r>
      <w:r w:rsidRPr="00361925">
        <w:rPr>
          <w:rFonts w:ascii="宋体" w:eastAsia="宋体" w:hAnsi="宋体"/>
          <w:szCs w:val="24"/>
          <w:lang w:eastAsia="zh-CN"/>
        </w:rPr>
        <w:t>.1 两种材料交替沉积的物理原因</w:t>
      </w:r>
    </w:p>
    <w:p w14:paraId="2168D937" w14:textId="62FE8A62" w:rsidR="00FF0B03" w:rsidRPr="00361925" w:rsidRDefault="00000000">
      <w:pPr>
        <w:pStyle w:val="14"/>
        <w:ind w:firstLine="420"/>
        <w:rPr>
          <w:rFonts w:ascii="宋体" w:hAnsi="宋体" w:hint="eastAsia"/>
          <w:sz w:val="24"/>
          <w:szCs w:val="24"/>
          <w:lang w:eastAsia="zh-CN"/>
        </w:rPr>
      </w:pPr>
      <w:r w:rsidRPr="00361925">
        <w:rPr>
          <w:rFonts w:ascii="宋体" w:hAnsi="宋体"/>
          <w:sz w:val="24"/>
          <w:szCs w:val="24"/>
          <w:lang w:eastAsia="zh-CN"/>
        </w:rPr>
        <w:t>单个真空—固体界面的EUV菲涅耳反射通常不足以支撑多镜投影系统所需的通量。交替沉积两种复折射率不同的材料，会在每个界面产生一束弱反射波；当相邻界面反射波的往返光程差接近整数倍波长时，这些复振幅同相叠加，从而形成窄带高反射。高原子序数材料通常提供较大的折射率反差，但吸收较强；低原子序数材料用作间隔层以降低平均吸收并建立所需光程。Mo/Si组合在</w:t>
      </w:r>
      <m:oMath>
        <m:r>
          <w:rPr>
            <w:rFonts w:ascii="Cambria Math" w:hAnsi="Cambria Math"/>
            <w:sz w:val="24"/>
            <w:szCs w:val="24"/>
            <w:lang w:eastAsia="zh-CN"/>
          </w:rPr>
          <m:t>13.5 nm</m:t>
        </m:r>
      </m:oMath>
      <w:r w:rsidRPr="00361925">
        <w:rPr>
          <w:rFonts w:ascii="宋体" w:hAnsi="宋体"/>
          <w:sz w:val="24"/>
          <w:szCs w:val="24"/>
          <w:lang w:eastAsia="zh-CN"/>
        </w:rPr>
        <w:t>附近兼顾折射率反差、吸收、界面可制造性和热稳定性，因而成为主流体系</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_Ref241436192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_Ref241436193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[2]</w:t>
      </w:r>
      <w:r w:rsidR="009422E5" w:rsidRPr="009422E5">
        <w:rPr>
          <w:rFonts w:ascii="宋体" w:hAnsi="宋体" w:hint="eastAsia"/>
          <w:sz w:val="24"/>
          <w:szCs w:val="24"/>
          <w:vertAlign w:val="superscript"/>
          <w:lang w:eastAsia="zh-CN"/>
        </w:rPr>
        <w:fldChar w:fldCharType="end"/>
      </w:r>
      <w:r w:rsidR="009422E5">
        <w:rPr>
          <w:rFonts w:ascii="宋体" w:hAnsi="宋体" w:hint="eastAsia"/>
          <w:sz w:val="24"/>
          <w:szCs w:val="24"/>
          <w:lang w:eastAsia="zh-CN"/>
        </w:rPr>
        <w:t>。</w:t>
      </w:r>
    </w:p>
    <w:p w14:paraId="4E61EA59" w14:textId="77777777" w:rsidR="00FF0B03" w:rsidRDefault="00000000">
      <w:pPr>
        <w:pStyle w:val="14"/>
        <w:ind w:firstLine="420"/>
        <w:rPr>
          <w:rFonts w:ascii="宋体" w:hAnsi="宋体" w:hint="eastAsia"/>
          <w:sz w:val="24"/>
          <w:szCs w:val="24"/>
          <w:lang w:eastAsia="zh-CN"/>
        </w:rPr>
      </w:pPr>
      <w:r w:rsidRPr="00361925">
        <w:rPr>
          <w:rFonts w:ascii="宋体" w:hAnsi="宋体"/>
          <w:sz w:val="24"/>
          <w:szCs w:val="24"/>
          <w:lang w:eastAsia="zh-CN"/>
        </w:rPr>
        <w:t>若把每个Mo/Si双层视为等效周期</w:t>
      </w:r>
      <m:oMath>
        <m:r>
          <w:rPr>
            <w:rFonts w:ascii="Cambria Math" w:hAnsi="Cambria Math" w:hint="eastAsia"/>
            <w:sz w:val="24"/>
            <w:szCs w:val="24"/>
            <w:lang w:eastAsia="zh-CN"/>
          </w:rPr>
          <m:t>d</m:t>
        </m:r>
      </m:oMath>
      <w:r w:rsidRPr="00361925">
        <w:rPr>
          <w:rFonts w:ascii="宋体" w:hAnsi="宋体"/>
          <w:sz w:val="24"/>
          <w:szCs w:val="24"/>
          <w:lang w:eastAsia="zh-CN"/>
        </w:rPr>
        <w:t>，并忽略复折射率、界面层和光在膜内的细微偏折，则相对于法线的入射角</w:t>
      </w:r>
      <m:oMath>
        <m:r>
          <w:rPr>
            <w:rFonts w:ascii="Cambria Math" w:hAnsi="Cambria Math"/>
            <w:sz w:val="24"/>
            <w:szCs w:val="24"/>
            <w:lang w:eastAsia="zh-CN"/>
          </w:rPr>
          <m:t>θ</m:t>
        </m:r>
      </m:oMath>
      <w:r w:rsidRPr="00361925">
        <w:rPr>
          <w:rFonts w:ascii="宋体" w:hAnsi="宋体"/>
          <w:sz w:val="24"/>
          <w:szCs w:val="24"/>
          <w:lang w:eastAsia="zh-CN"/>
        </w:rPr>
        <w:t>满足一阶近似：</w:t>
      </w:r>
    </w:p>
    <w:p w14:paraId="1D682A3B" w14:textId="77777777" w:rsidR="003431EE" w:rsidRPr="00361925" w:rsidRDefault="003431EE">
      <w:pPr>
        <w:pStyle w:val="14"/>
        <w:ind w:firstLine="420"/>
        <w:rPr>
          <w:rFonts w:ascii="宋体" w:hAnsi="宋体" w:hint="eastAsia"/>
          <w:sz w:val="24"/>
          <w:szCs w:val="24"/>
          <w:lang w:eastAsia="zh-CN"/>
        </w:rPr>
      </w:pPr>
      <m:oMathPara>
        <m:oMath>
          <m:r>
            <w:rPr>
              <w:rFonts w:ascii="Cambria Math" w:hAnsi="Cambria Math"/>
              <w:sz w:val="24"/>
              <w:szCs w:val="24"/>
            </w:rPr>
            <m:t>2</m:t>
          </m:r>
          <m:r>
            <w:rPr>
              <w:rFonts w:ascii="Cambria Math" w:hAnsi="Cambria Math" w:hint="eastAsia"/>
              <w:sz w:val="24"/>
              <w:szCs w:val="24"/>
              <w:lang w:eastAsia="zh-CN"/>
            </w:rPr>
            <m:t>d</m:t>
          </m:r>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=λ</m:t>
          </m:r>
        </m:oMath>
      </m:oMathPara>
    </w:p>
    <w:p w14:paraId="4028E15D" w14:textId="74412DD3" w:rsidR="00FF0B03" w:rsidRPr="00361925" w:rsidRDefault="00000000">
      <w:pPr>
        <w:pStyle w:val="14"/>
        <w:ind w:firstLine="420"/>
        <w:rPr>
          <w:rFonts w:ascii="宋体" w:hAnsi="宋体" w:hint="eastAsia"/>
          <w:sz w:val="24"/>
          <w:szCs w:val="24"/>
          <w:lang w:eastAsia="zh-CN"/>
        </w:rPr>
      </w:pPr>
      <w:r w:rsidRPr="00361925">
        <w:rPr>
          <w:rFonts w:ascii="宋体" w:hAnsi="宋体"/>
          <w:sz w:val="24"/>
          <w:szCs w:val="24"/>
          <w:lang w:eastAsia="zh-CN"/>
        </w:rPr>
        <w:t>这里的一阶表示采用一级布拉格反射且只保留决定中心波长的主导光程关系，而不是把整个膜系近似为一次反射。由于EUV材料的折射率可写为</w:t>
      </w:r>
      <m:oMath>
        <m:acc>
          <m:accPr>
            <m:chr m:val="˜"/>
            <m:ctrlPr>
              <w:rPr>
                <w:rFonts w:ascii="Cambria Math" w:hAnsi="Cambria Math"/>
                <w:sz w:val="24"/>
                <w:szCs w:val="24"/>
              </w:rPr>
            </m:ctrlPr>
          </m:accPr>
          <m:e>
            <m:r>
              <w:rPr>
                <w:rFonts w:ascii="Cambria Math" w:hAnsi="Cambria Math"/>
                <w:sz w:val="24"/>
                <w:szCs w:val="24"/>
                <w:lang w:eastAsia="zh-CN"/>
              </w:rPr>
              <m:t>n</m:t>
            </m:r>
          </m:e>
        </m:acc>
        <m:r>
          <w:rPr>
            <w:rFonts w:ascii="Cambria Math" w:hAnsi="Cambria Math"/>
            <w:sz w:val="24"/>
            <w:szCs w:val="24"/>
            <w:lang w:eastAsia="zh-CN"/>
          </w:rPr>
          <m:t>=n-iκ</m:t>
        </m:r>
      </m:oMath>
      <w:r w:rsidR="003431EE">
        <w:rPr>
          <w:rFonts w:ascii="宋体" w:hAnsi="宋体" w:hint="eastAsia"/>
          <w:sz w:val="24"/>
          <w:szCs w:val="24"/>
          <w:lang w:eastAsia="zh-CN"/>
        </w:rPr>
        <w:t>，</w:t>
      </w:r>
      <w:r w:rsidRPr="00361925">
        <w:rPr>
          <w:rFonts w:ascii="宋体" w:hAnsi="宋体"/>
          <w:sz w:val="24"/>
          <w:szCs w:val="24"/>
          <w:lang w:eastAsia="zh-CN"/>
        </w:rPr>
        <w:t>真实设计</w:t>
      </w:r>
      <w:r w:rsidRPr="00361925">
        <w:rPr>
          <w:rFonts w:ascii="宋体" w:hAnsi="宋体"/>
          <w:sz w:val="24"/>
          <w:szCs w:val="24"/>
          <w:lang w:eastAsia="zh-CN"/>
        </w:rPr>
        <w:lastRenderedPageBreak/>
        <w:t>必须用各层的复折射率、厚度和界面结构求解。上述公式适合估算初始周期和理解角度引起的布拉格峰蓝移，不能替代传输矩阵或递归菲涅耳计算</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_Ref241436193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[2]</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_Ref241436206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[3]</w:t>
      </w:r>
      <w:r w:rsidR="009422E5" w:rsidRPr="009422E5">
        <w:rPr>
          <w:rFonts w:ascii="宋体" w:hAnsi="宋体" w:hint="eastAsia"/>
          <w:sz w:val="24"/>
          <w:szCs w:val="24"/>
          <w:vertAlign w:val="superscript"/>
          <w:lang w:eastAsia="zh-CN"/>
        </w:rPr>
        <w:fldChar w:fldCharType="end"/>
      </w:r>
      <w:r w:rsidRPr="00361925">
        <w:rPr>
          <w:rFonts w:ascii="宋体" w:hAnsi="宋体"/>
          <w:sz w:val="24"/>
          <w:szCs w:val="24"/>
          <w:lang w:eastAsia="zh-CN"/>
        </w:rPr>
        <w:t>。</w:t>
      </w:r>
    </w:p>
    <w:p w14:paraId="7B5A9502" w14:textId="77777777" w:rsidR="00FF0B03" w:rsidRPr="00361925" w:rsidRDefault="00856289">
      <w:pPr>
        <w:pStyle w:val="21"/>
        <w:rPr>
          <w:rFonts w:ascii="宋体" w:eastAsia="宋体" w:hAnsi="宋体" w:hint="eastAsia"/>
          <w:lang w:eastAsia="zh-CN"/>
        </w:rPr>
      </w:pPr>
      <w:r>
        <w:rPr>
          <w:rFonts w:ascii="宋体" w:eastAsia="宋体" w:hAnsi="宋体" w:hint="eastAsia"/>
          <w:lang w:eastAsia="zh-CN"/>
        </w:rPr>
        <w:t>1</w:t>
      </w:r>
      <w:r w:rsidRPr="00361925">
        <w:rPr>
          <w:rFonts w:ascii="宋体" w:eastAsia="宋体" w:hAnsi="宋体"/>
          <w:lang w:eastAsia="zh-CN"/>
        </w:rPr>
        <w:t>.2 复振幅反射率的计算与意义</w:t>
      </w:r>
    </w:p>
    <w:p w14:paraId="5D1360F7" w14:textId="77777777" w:rsidR="003431EE" w:rsidRPr="003431EE" w:rsidRDefault="003431EE" w:rsidP="003431EE">
      <w:pPr>
        <w:pStyle w:val="14"/>
        <w:ind w:firstLine="420"/>
        <w:rPr>
          <w:rFonts w:ascii="宋体" w:hAnsi="宋体" w:hint="eastAsia"/>
          <w:sz w:val="24"/>
          <w:szCs w:val="24"/>
          <w:lang w:eastAsia="zh-CN"/>
        </w:rPr>
      </w:pPr>
      <w:r w:rsidRPr="003431EE">
        <w:rPr>
          <w:rFonts w:ascii="宋体" w:hAnsi="宋体"/>
          <w:sz w:val="24"/>
          <w:szCs w:val="24"/>
          <w:lang w:eastAsia="zh-CN"/>
        </w:rPr>
        <w:t>膜层对每条光线的作用应写成</w:t>
      </w:r>
    </w:p>
    <w:p w14:paraId="4B7BCBA8" w14:textId="77777777" w:rsidR="003431EE" w:rsidRPr="003431EE" w:rsidRDefault="00000000" w:rsidP="003431EE">
      <w:pPr>
        <w:pStyle w:val="14"/>
        <w:ind w:firstLine="420"/>
        <w:rPr>
          <w:rFonts w:ascii="宋体" w:hAnsi="宋体" w:hint="eastAsia"/>
          <w:sz w:val="24"/>
          <w:szCs w:val="24"/>
          <w:lang w:eastAsia="zh-CN"/>
        </w:rPr>
      </w:pPr>
      <m:oMathPara>
        <m:oMath>
          <m:sSub>
            <m:sSubPr>
              <m:ctrlPr>
                <w:rPr>
                  <w:rFonts w:ascii="Cambria Math" w:hAnsi="Cambria Math"/>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s,p</m:t>
              </m:r>
            </m:sub>
          </m:sSub>
          <m:d>
            <m:dPr>
              <m:sepChr m:val=","/>
              <m:ctrlPr>
                <w:rPr>
                  <w:rFonts w:ascii="Cambria Math" w:hAnsi="Cambria Math"/>
                  <w:sz w:val="24"/>
                  <w:szCs w:val="24"/>
                  <w:lang w:eastAsia="zh-CN"/>
                </w:rPr>
              </m:ctrlPr>
            </m:dPr>
            <m:e>
              <m:r>
                <w:rPr>
                  <w:rFonts w:ascii="Cambria Math" w:hAnsi="Cambria Math"/>
                  <w:sz w:val="24"/>
                  <w:szCs w:val="24"/>
                  <w:lang w:eastAsia="zh-CN"/>
                </w:rPr>
                <m:t>λ</m:t>
              </m:r>
            </m:e>
            <m:e>
              <m:r>
                <w:rPr>
                  <w:rFonts w:ascii="Cambria Math" w:hAnsi="Cambria Math"/>
                  <w:sz w:val="24"/>
                  <w:szCs w:val="24"/>
                  <w:lang w:eastAsia="zh-CN"/>
                </w:rPr>
                <m:t>θ</m:t>
              </m:r>
            </m:e>
            <m:e>
              <m:r>
                <w:rPr>
                  <w:rFonts w:ascii="Cambria Math" w:hAnsi="Cambria Math"/>
                  <w:sz w:val="24"/>
                  <w:szCs w:val="24"/>
                  <w:lang w:eastAsia="zh-CN"/>
                </w:rPr>
                <m:t>ϕ</m:t>
              </m:r>
            </m:e>
            <m:e>
              <m:r>
                <w:rPr>
                  <w:rFonts w:ascii="Cambria Math" w:hAnsi="Cambria Math"/>
                  <w:sz w:val="24"/>
                  <w:szCs w:val="24"/>
                  <w:lang w:eastAsia="zh-CN"/>
                </w:rPr>
                <m:t>x</m:t>
              </m:r>
            </m:e>
            <m:e>
              <m:r>
                <w:rPr>
                  <w:rFonts w:ascii="Cambria Math" w:hAnsi="Cambria Math"/>
                  <w:sz w:val="24"/>
                  <w:szCs w:val="24"/>
                  <w:lang w:eastAsia="zh-CN"/>
                </w:rPr>
                <m:t>y</m:t>
              </m:r>
            </m:e>
          </m:d>
          <m:r>
            <w:rPr>
              <w:rFonts w:ascii="Cambria Math" w:hAnsi="Cambria Math"/>
              <w:sz w:val="24"/>
              <w:szCs w:val="24"/>
              <w:lang w:eastAsia="zh-CN"/>
            </w:rPr>
            <m:t>=</m:t>
          </m:r>
          <m:rad>
            <m:radPr>
              <m:degHide m:val="1"/>
              <m:ctrlPr>
                <w:rPr>
                  <w:rFonts w:ascii="Cambria Math" w:hAnsi="Cambria Math"/>
                  <w:sz w:val="24"/>
                  <w:szCs w:val="24"/>
                  <w:lang w:eastAsia="zh-CN"/>
                </w:rPr>
              </m:ctrlPr>
            </m:radPr>
            <m:deg/>
            <m:e>
              <m:sSub>
                <m:sSubPr>
                  <m:ctrlPr>
                    <w:rPr>
                      <w:rFonts w:ascii="Cambria Math" w:hAnsi="Cambria Math"/>
                      <w:sz w:val="24"/>
                      <w:szCs w:val="24"/>
                      <w:lang w:eastAsia="zh-CN"/>
                    </w:rPr>
                  </m:ctrlPr>
                </m:sSubPr>
                <m:e>
                  <m:r>
                    <w:rPr>
                      <w:rFonts w:ascii="Cambria Math" w:hAnsi="Cambria Math"/>
                      <w:sz w:val="24"/>
                      <w:szCs w:val="24"/>
                      <w:lang w:eastAsia="zh-CN"/>
                    </w:rPr>
                    <m:t>R</m:t>
                  </m:r>
                </m:e>
                <m:sub>
                  <m:r>
                    <w:rPr>
                      <w:rFonts w:ascii="Cambria Math" w:hAnsi="Cambria Math"/>
                      <w:sz w:val="24"/>
                      <w:szCs w:val="24"/>
                      <w:lang w:eastAsia="zh-CN"/>
                    </w:rPr>
                    <m:t>s,p</m:t>
                  </m:r>
                </m:sub>
              </m:sSub>
            </m:e>
          </m:rad>
          <m:r>
            <m:rPr>
              <m:sty m:val="p"/>
            </m:rPr>
            <w:rPr>
              <w:rFonts w:ascii="Cambria Math" w:hAnsi="Cambria Math"/>
              <w:sz w:val="24"/>
              <w:szCs w:val="24"/>
              <w:lang w:eastAsia="zh-CN"/>
            </w:rPr>
            <m:t>exp</m:t>
          </m:r>
          <m:r>
            <w:rPr>
              <w:rFonts w:ascii="Cambria Math" w:hAnsi="Cambria Math"/>
              <w:sz w:val="24"/>
              <w:szCs w:val="24"/>
              <w:lang w:eastAsia="zh-CN"/>
            </w:rPr>
            <m:t>⁡</m:t>
          </m:r>
          <m:d>
            <m:dPr>
              <m:ctrlPr>
                <w:rPr>
                  <w:rFonts w:ascii="Cambria Math" w:hAnsi="Cambria Math"/>
                  <w:sz w:val="24"/>
                  <w:szCs w:val="24"/>
                  <w:lang w:eastAsia="zh-CN"/>
                </w:rPr>
              </m:ctrlPr>
            </m:dPr>
            <m:e>
              <m:r>
                <w:rPr>
                  <w:rFonts w:ascii="Cambria Math" w:hAnsi="Cambria Math"/>
                  <w:sz w:val="24"/>
                  <w:szCs w:val="24"/>
                  <w:lang w:eastAsia="zh-CN"/>
                </w:rPr>
                <m:t>i</m:t>
              </m:r>
              <m:sSub>
                <m:sSubPr>
                  <m:ctrlPr>
                    <w:rPr>
                      <w:rFonts w:ascii="Cambria Math" w:hAnsi="Cambria Math"/>
                      <w:sz w:val="24"/>
                      <w:szCs w:val="24"/>
                      <w:lang w:eastAsia="zh-CN"/>
                    </w:rPr>
                  </m:ctrlPr>
                </m:sSubPr>
                <m:e>
                  <m:r>
                    <w:rPr>
                      <w:rFonts w:ascii="Cambria Math" w:hAnsi="Cambria Math"/>
                      <w:sz w:val="24"/>
                      <w:szCs w:val="24"/>
                      <w:lang w:eastAsia="zh-CN"/>
                    </w:rPr>
                    <m:t>φ</m:t>
                  </m:r>
                </m:e>
                <m:sub>
                  <m:r>
                    <w:rPr>
                      <w:rFonts w:ascii="Cambria Math" w:hAnsi="Cambria Math"/>
                      <w:sz w:val="24"/>
                      <w:szCs w:val="24"/>
                      <w:lang w:eastAsia="zh-CN"/>
                    </w:rPr>
                    <m:t>s,p</m:t>
                  </m:r>
                </m:sub>
              </m:sSub>
            </m:e>
          </m:d>
          <m:r>
            <w:rPr>
              <w:rFonts w:ascii="Cambria Math" w:hAnsi="Cambria Math"/>
              <w:sz w:val="24"/>
              <w:szCs w:val="24"/>
              <w:lang w:eastAsia="zh-CN"/>
            </w:rPr>
            <m:t>,</m:t>
          </m:r>
        </m:oMath>
      </m:oMathPara>
    </w:p>
    <w:p w14:paraId="6740C365" w14:textId="77777777" w:rsidR="003431EE" w:rsidRPr="003431EE" w:rsidRDefault="003431EE" w:rsidP="003431EE">
      <w:pPr>
        <w:pStyle w:val="14"/>
        <w:ind w:firstLine="420"/>
        <w:rPr>
          <w:rFonts w:ascii="宋体" w:hAnsi="宋体" w:hint="eastAsia"/>
          <w:sz w:val="24"/>
          <w:szCs w:val="24"/>
          <w:lang w:eastAsia="zh-CN"/>
        </w:rPr>
      </w:pPr>
      <w:r w:rsidRPr="003431EE">
        <w:rPr>
          <w:rFonts w:ascii="宋体" w:hAnsi="宋体"/>
          <w:sz w:val="24"/>
          <w:szCs w:val="24"/>
          <w:lang w:eastAsia="zh-CN"/>
        </w:rPr>
        <w:t xml:space="preserve">其中 </w:t>
      </w:r>
      <m:oMath>
        <m:r>
          <w:rPr>
            <w:rFonts w:ascii="Cambria Math" w:hAnsi="Cambria Math"/>
            <w:sz w:val="24"/>
            <w:szCs w:val="24"/>
            <w:lang w:eastAsia="zh-CN"/>
          </w:rPr>
          <m:t>R</m:t>
        </m:r>
      </m:oMath>
      <w:r w:rsidRPr="003431EE">
        <w:rPr>
          <w:rFonts w:ascii="宋体" w:hAnsi="宋体"/>
          <w:sz w:val="24"/>
          <w:szCs w:val="24"/>
          <w:lang w:eastAsia="zh-CN"/>
        </w:rPr>
        <w:t>决定能量通量，</w:t>
      </w:r>
      <m:oMath>
        <m:r>
          <w:rPr>
            <w:rFonts w:ascii="Cambria Math" w:hAnsi="Cambria Math"/>
            <w:sz w:val="24"/>
            <w:szCs w:val="24"/>
            <w:lang w:eastAsia="zh-CN"/>
          </w:rPr>
          <m:t>φ</m:t>
        </m:r>
      </m:oMath>
      <w:r w:rsidRPr="003431EE">
        <w:rPr>
          <w:rFonts w:ascii="宋体" w:hAnsi="宋体"/>
          <w:sz w:val="24"/>
          <w:szCs w:val="24"/>
          <w:lang w:eastAsia="zh-CN"/>
        </w:rPr>
        <w:t xml:space="preserve"> 决定等效光程和波前。膜层反射相位随波长、入射角和局部结构变化，</w:t>
      </w:r>
      <w:r w:rsidRPr="00361925">
        <w:rPr>
          <w:rFonts w:ascii="宋体" w:hAnsi="宋体"/>
          <w:sz w:val="24"/>
          <w:szCs w:val="24"/>
          <w:lang w:eastAsia="zh-CN"/>
        </w:rPr>
        <w:t>该计算必须保留复数，是因为不同界面反射波能否相长取决于相位，而投影物镜的波前误差也直接由空间变化的反射相位形成。</w:t>
      </w:r>
      <w:r w:rsidRPr="003431EE">
        <w:rPr>
          <w:rFonts w:ascii="宋体" w:hAnsi="宋体"/>
          <w:sz w:val="24"/>
          <w:szCs w:val="24"/>
          <w:lang w:eastAsia="zh-CN"/>
        </w:rPr>
        <w:t xml:space="preserve">可引入 </w:t>
      </w:r>
      <w:r w:rsidRPr="003431EE">
        <w:rPr>
          <w:rFonts w:cs="Times New Roman"/>
          <w:sz w:val="24"/>
          <w:szCs w:val="24"/>
          <w:lang w:eastAsia="zh-CN"/>
        </w:rPr>
        <w:t>piston</w:t>
      </w:r>
      <w:r w:rsidRPr="003431EE">
        <w:rPr>
          <w:rFonts w:cs="Times New Roman"/>
          <w:sz w:val="24"/>
          <w:szCs w:val="24"/>
          <w:lang w:eastAsia="zh-CN"/>
        </w:rPr>
        <w:t>、</w:t>
      </w:r>
      <w:r w:rsidRPr="003431EE">
        <w:rPr>
          <w:rFonts w:cs="Times New Roman"/>
          <w:sz w:val="24"/>
          <w:szCs w:val="24"/>
          <w:lang w:eastAsia="zh-CN"/>
        </w:rPr>
        <w:t>tilt</w:t>
      </w:r>
      <w:r w:rsidRPr="003431EE">
        <w:rPr>
          <w:rFonts w:cs="Times New Roman"/>
          <w:sz w:val="24"/>
          <w:szCs w:val="24"/>
          <w:lang w:eastAsia="zh-CN"/>
        </w:rPr>
        <w:t>、</w:t>
      </w:r>
      <w:r w:rsidRPr="003431EE">
        <w:rPr>
          <w:rFonts w:cs="Times New Roman"/>
          <w:sz w:val="24"/>
          <w:szCs w:val="24"/>
          <w:lang w:eastAsia="zh-CN"/>
        </w:rPr>
        <w:t>defocus</w:t>
      </w:r>
      <w:r w:rsidRPr="003431EE">
        <w:rPr>
          <w:rFonts w:cs="Times New Roman"/>
          <w:sz w:val="24"/>
          <w:szCs w:val="24"/>
          <w:lang w:eastAsia="zh-CN"/>
        </w:rPr>
        <w:t>、</w:t>
      </w:r>
      <w:r w:rsidRPr="003431EE">
        <w:rPr>
          <w:rFonts w:cs="Times New Roman"/>
          <w:sz w:val="24"/>
          <w:szCs w:val="24"/>
          <w:lang w:eastAsia="zh-CN"/>
        </w:rPr>
        <w:t>astigmatism</w:t>
      </w:r>
      <w:r w:rsidRPr="003431EE">
        <w:rPr>
          <w:rFonts w:cs="Times New Roman"/>
          <w:sz w:val="24"/>
          <w:szCs w:val="24"/>
          <w:lang w:eastAsia="zh-CN"/>
        </w:rPr>
        <w:t>、</w:t>
      </w:r>
      <w:r w:rsidRPr="003431EE">
        <w:rPr>
          <w:rFonts w:cs="Times New Roman"/>
          <w:sz w:val="24"/>
          <w:szCs w:val="24"/>
          <w:lang w:eastAsia="zh-CN"/>
        </w:rPr>
        <w:t>anamorphic magnification</w:t>
      </w:r>
      <w:r w:rsidRPr="003431EE">
        <w:rPr>
          <w:rFonts w:ascii="宋体" w:hAnsi="宋体"/>
          <w:sz w:val="24"/>
          <w:szCs w:val="24"/>
          <w:lang w:eastAsia="zh-CN"/>
        </w:rPr>
        <w:t xml:space="preserve"> 等像差</w:t>
      </w:r>
      <w:r w:rsidR="00856289">
        <w:rPr>
          <w:rFonts w:ascii="宋体" w:hAnsi="宋体" w:hint="eastAsia"/>
          <w:sz w:val="24"/>
          <w:szCs w:val="24"/>
          <w:lang w:eastAsia="zh-CN"/>
        </w:rPr>
        <w:t>。</w:t>
      </w:r>
    </w:p>
    <w:p w14:paraId="3A94F1F4" w14:textId="77777777" w:rsidR="003431EE" w:rsidRPr="003431EE" w:rsidRDefault="003431EE" w:rsidP="003431EE">
      <w:pPr>
        <w:pStyle w:val="14"/>
        <w:ind w:firstLine="420"/>
        <w:rPr>
          <w:rFonts w:ascii="宋体" w:hAnsi="宋体" w:hint="eastAsia"/>
          <w:sz w:val="24"/>
          <w:szCs w:val="24"/>
          <w:lang w:eastAsia="zh-CN"/>
        </w:rPr>
      </w:pPr>
      <w:r w:rsidRPr="003431EE">
        <w:rPr>
          <w:rFonts w:ascii="宋体" w:hAnsi="宋体"/>
          <w:sz w:val="24"/>
          <w:szCs w:val="24"/>
          <w:lang w:eastAsia="zh-CN"/>
        </w:rPr>
        <w:t>因此，物镜设计软件中的每次镜面反射都应使用复数 Jones/Mueller 或矢量光瞳模型，而不是只乘一个标量反射率。相位计量同样不可由反射率计量替代：结构变化可能使反射率曲线几乎不变，却产生不可忽略的相位变化</w:t>
      </w:r>
    </w:p>
    <w:p w14:paraId="7F12E591" w14:textId="77777777" w:rsidR="00FF0B03" w:rsidRPr="00361925" w:rsidRDefault="003431EE" w:rsidP="00361925">
      <w:pPr>
        <w:pStyle w:val="aff9"/>
        <w:rPr>
          <w:rFonts w:ascii="宋体" w:hAnsi="宋体" w:hint="eastAsia"/>
          <w:b/>
          <w:sz w:val="32"/>
          <w:szCs w:val="32"/>
          <w:lang w:eastAsia="zh-CN"/>
        </w:rPr>
      </w:pPr>
      <w:r>
        <w:rPr>
          <w:rFonts w:ascii="宋体" w:hAnsi="宋体" w:hint="eastAsia"/>
          <w:b/>
          <w:sz w:val="32"/>
          <w:szCs w:val="32"/>
          <w:lang w:eastAsia="zh-CN"/>
        </w:rPr>
        <w:t>二、</w:t>
      </w:r>
      <w:r w:rsidRPr="00361925">
        <w:rPr>
          <w:rFonts w:ascii="宋体" w:hAnsi="宋体"/>
          <w:b/>
          <w:sz w:val="32"/>
          <w:szCs w:val="32"/>
          <w:lang w:eastAsia="zh-CN"/>
        </w:rPr>
        <w:t>面向投影物镜的膜系结构</w:t>
      </w:r>
    </w:p>
    <w:p w14:paraId="12FDFA44" w14:textId="77777777" w:rsidR="00FF0B03" w:rsidRPr="00856289" w:rsidRDefault="00856289">
      <w:pPr>
        <w:pStyle w:val="21"/>
        <w:rPr>
          <w:rFonts w:ascii="宋体" w:eastAsia="宋体" w:hAnsi="宋体" w:hint="eastAsia"/>
          <w:lang w:eastAsia="zh-CN"/>
        </w:rPr>
      </w:pPr>
      <w:r>
        <w:rPr>
          <w:rFonts w:ascii="宋体" w:eastAsia="宋体" w:hAnsi="宋体" w:hint="eastAsia"/>
          <w:lang w:eastAsia="zh-CN"/>
        </w:rPr>
        <w:t>2</w:t>
      </w:r>
      <w:r w:rsidRPr="00856289">
        <w:rPr>
          <w:rFonts w:ascii="宋体" w:eastAsia="宋体" w:hAnsi="宋体"/>
          <w:lang w:eastAsia="zh-CN"/>
        </w:rPr>
        <w:t>.1 均匀周期膜</w:t>
      </w:r>
    </w:p>
    <w:p w14:paraId="3476CFA8" w14:textId="4E727484" w:rsidR="00FF0B03" w:rsidRPr="00856289" w:rsidRDefault="00000000">
      <w:pPr>
        <w:pStyle w:val="14"/>
        <w:ind w:firstLine="420"/>
        <w:rPr>
          <w:rFonts w:ascii="宋体" w:hAnsi="宋体" w:hint="eastAsia"/>
          <w:sz w:val="24"/>
          <w:szCs w:val="24"/>
          <w:lang w:eastAsia="zh-CN"/>
        </w:rPr>
      </w:pPr>
      <w:r w:rsidRPr="00856289">
        <w:rPr>
          <w:rFonts w:ascii="宋体" w:hAnsi="宋体"/>
          <w:sz w:val="24"/>
          <w:szCs w:val="24"/>
          <w:lang w:eastAsia="zh-CN"/>
        </w:rPr>
        <w:t>均匀周期膜在镜面全口径采用相同的双层周期和厚度比。它的参数较少，峰值反射率高，工艺标定和重复性最好，适用于入射角跨度较小的镜面或区域。其主要限制是角带宽和光谱带宽较窄：入射角改变会移动反射峰，使同一镜面不同位置及不同视场难以共享同一最佳周期</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_Ref241436255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w:t>
      </w:r>
      <w:r w:rsidR="009422E5" w:rsidRPr="009422E5">
        <w:rPr>
          <w:rFonts w:ascii="宋体" w:hAnsi="宋体" w:hint="eastAsia"/>
          <w:sz w:val="24"/>
          <w:szCs w:val="24"/>
          <w:vertAlign w:val="superscript"/>
          <w:lang w:eastAsia="zh-CN"/>
        </w:rPr>
        <w:t>7</w:t>
      </w:r>
      <w:r w:rsidR="009422E5" w:rsidRPr="009422E5">
        <w:rPr>
          <w:rFonts w:ascii="宋体" w:hAnsi="宋体" w:hint="eastAsia"/>
          <w:sz w:val="24"/>
          <w:szCs w:val="24"/>
          <w:vertAlign w:val="superscript"/>
          <w:lang w:eastAsia="zh-CN"/>
        </w:rPr>
        <w:t>]</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_Ref241436258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[10]</w:t>
      </w:r>
      <w:r w:rsidR="009422E5" w:rsidRPr="009422E5">
        <w:rPr>
          <w:rFonts w:ascii="宋体" w:hAnsi="宋体" w:hint="eastAsia"/>
          <w:sz w:val="24"/>
          <w:szCs w:val="24"/>
          <w:vertAlign w:val="superscript"/>
          <w:lang w:eastAsia="zh-CN"/>
        </w:rPr>
        <w:fldChar w:fldCharType="end"/>
      </w:r>
      <w:r w:rsidRPr="00856289">
        <w:rPr>
          <w:rFonts w:ascii="宋体" w:hAnsi="宋体"/>
          <w:sz w:val="24"/>
          <w:szCs w:val="24"/>
          <w:lang w:eastAsia="zh-CN"/>
        </w:rPr>
        <w:t>。</w:t>
      </w:r>
    </w:p>
    <w:p w14:paraId="4D092869" w14:textId="77777777" w:rsidR="00FF0B03" w:rsidRPr="00856289" w:rsidRDefault="005D7C49">
      <w:pPr>
        <w:pStyle w:val="21"/>
        <w:rPr>
          <w:rFonts w:ascii="宋体" w:eastAsia="宋体" w:hAnsi="宋体" w:hint="eastAsia"/>
          <w:lang w:eastAsia="zh-CN"/>
        </w:rPr>
      </w:pPr>
      <w:r>
        <w:rPr>
          <w:rFonts w:ascii="宋体" w:eastAsia="宋体" w:hAnsi="宋体" w:hint="eastAsia"/>
          <w:lang w:eastAsia="zh-CN"/>
        </w:rPr>
        <w:t>2</w:t>
      </w:r>
      <w:r w:rsidRPr="00856289">
        <w:rPr>
          <w:rFonts w:ascii="宋体" w:eastAsia="宋体" w:hAnsi="宋体"/>
          <w:lang w:eastAsia="zh-CN"/>
        </w:rPr>
        <w:t>.2 横向渐变膜</w:t>
      </w:r>
    </w:p>
    <w:p w14:paraId="73602FD0" w14:textId="578CB2CD" w:rsidR="00FF0B03" w:rsidRPr="00856289" w:rsidRDefault="00000000">
      <w:pPr>
        <w:pStyle w:val="14"/>
        <w:ind w:firstLine="420"/>
        <w:rPr>
          <w:rFonts w:ascii="宋体" w:hAnsi="宋体" w:hint="eastAsia"/>
          <w:sz w:val="24"/>
          <w:szCs w:val="24"/>
          <w:lang w:eastAsia="zh-CN"/>
        </w:rPr>
      </w:pPr>
      <w:r w:rsidRPr="00856289">
        <w:rPr>
          <w:rFonts w:ascii="宋体" w:hAnsi="宋体"/>
          <w:sz w:val="24"/>
          <w:szCs w:val="24"/>
          <w:lang w:eastAsia="zh-CN"/>
        </w:rPr>
        <w:t>横向渐变膜令周期</w:t>
      </w:r>
      <m:oMath>
        <m:r>
          <w:rPr>
            <w:rFonts w:ascii="Cambria Math" w:hAnsi="Cambria Math"/>
            <w:sz w:val="24"/>
            <w:szCs w:val="24"/>
            <w:lang w:eastAsia="zh-CN"/>
          </w:rPr>
          <m:t>d</m:t>
        </m:r>
      </m:oMath>
      <w:r w:rsidRPr="00856289">
        <w:rPr>
          <w:rFonts w:ascii="宋体" w:hAnsi="宋体"/>
          <w:sz w:val="24"/>
          <w:szCs w:val="24"/>
          <w:lang w:eastAsia="zh-CN"/>
        </w:rPr>
        <w:t>随镜面坐标变化，使局部布拉格峰与该位置的名义入射角相匹配。设计输入应是由光学处方导出的入射角地图，而非仅使用镜面中心角。沉积时可通过基底扫描速度、遮板形状及靶—基底相对运动调制膜厚，再利用见证片和EUV反射谱反演真实沉积分布</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_Ref241436270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[4]</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_Ref241436265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[6]</w:t>
      </w:r>
      <w:r w:rsidR="009422E5" w:rsidRPr="009422E5">
        <w:rPr>
          <w:rFonts w:ascii="宋体" w:hAnsi="宋体" w:hint="eastAsia"/>
          <w:sz w:val="24"/>
          <w:szCs w:val="24"/>
          <w:vertAlign w:val="superscript"/>
          <w:lang w:eastAsia="zh-CN"/>
        </w:rPr>
        <w:fldChar w:fldCharType="end"/>
      </w:r>
      <w:r w:rsidRPr="00856289">
        <w:rPr>
          <w:rFonts w:ascii="宋体" w:hAnsi="宋体"/>
          <w:sz w:val="24"/>
          <w:szCs w:val="24"/>
          <w:lang w:eastAsia="zh-CN"/>
        </w:rPr>
        <w:t>。</w:t>
      </w:r>
    </w:p>
    <w:p w14:paraId="4C173F70" w14:textId="5D1B937E" w:rsidR="00FF0B03" w:rsidRPr="00856289" w:rsidRDefault="00000000">
      <w:pPr>
        <w:pStyle w:val="14"/>
        <w:ind w:firstLine="420"/>
        <w:rPr>
          <w:rFonts w:ascii="宋体" w:hAnsi="宋体" w:hint="eastAsia"/>
          <w:sz w:val="24"/>
          <w:szCs w:val="24"/>
          <w:lang w:eastAsia="zh-CN"/>
        </w:rPr>
      </w:pPr>
      <w:r w:rsidRPr="00856289">
        <w:rPr>
          <w:rFonts w:ascii="宋体" w:hAnsi="宋体"/>
          <w:sz w:val="24"/>
          <w:szCs w:val="24"/>
          <w:lang w:eastAsia="zh-CN"/>
        </w:rPr>
        <w:t>原型系统的沉积研究表明，磁控溅射能够实现约</w:t>
      </w:r>
      <m:oMath>
        <m:r>
          <w:rPr>
            <w:rFonts w:ascii="Cambria Math" w:hAnsi="Cambria Math"/>
            <w:sz w:val="24"/>
            <w:szCs w:val="24"/>
            <w:lang w:eastAsia="zh-CN"/>
          </w:rPr>
          <m:t>±0.05%</m:t>
        </m:r>
      </m:oMath>
      <w:r w:rsidRPr="00856289">
        <w:rPr>
          <w:rFonts w:ascii="宋体" w:hAnsi="宋体"/>
          <w:sz w:val="24"/>
          <w:szCs w:val="24"/>
          <w:lang w:eastAsia="zh-CN"/>
        </w:rPr>
        <w:t>峰谷值的厚度控制；离子束沉积报告了约</w:t>
      </w:r>
      <m:oMath>
        <m:r>
          <w:rPr>
            <w:rFonts w:ascii="Cambria Math" w:hAnsi="Cambria Math"/>
            <w:sz w:val="24"/>
            <w:szCs w:val="24"/>
            <w:lang w:eastAsia="zh-CN"/>
          </w:rPr>
          <m:t>±0.01%</m:t>
        </m:r>
      </m:oMath>
      <w:r w:rsidRPr="00856289">
        <w:rPr>
          <w:rFonts w:ascii="宋体" w:hAnsi="宋体"/>
          <w:sz w:val="24"/>
          <w:szCs w:val="24"/>
          <w:lang w:eastAsia="zh-CN"/>
        </w:rPr>
        <w:t>的轮廓控制并将附加面形误差压到</w:t>
      </w:r>
      <m:oMath>
        <m:r>
          <w:rPr>
            <w:rFonts w:ascii="Cambria Math" w:hAnsi="Cambria Math"/>
            <w:sz w:val="24"/>
            <w:szCs w:val="24"/>
            <w:lang w:eastAsia="zh-CN"/>
          </w:rPr>
          <m:t>0.1 nm</m:t>
        </m:r>
      </m:oMath>
      <w:r w:rsidRPr="00856289">
        <w:rPr>
          <w:rFonts w:ascii="宋体" w:hAnsi="宋体"/>
          <w:sz w:val="24"/>
          <w:szCs w:val="24"/>
          <w:lang w:eastAsia="zh-CN"/>
        </w:rPr>
        <w:t>以下。针对曲面镜，速度轨迹反演方法获得了</w:t>
      </w:r>
      <m:oMath>
        <m:r>
          <w:rPr>
            <w:rFonts w:ascii="Cambria Math" w:hAnsi="Cambria Math"/>
            <w:sz w:val="24"/>
            <w:szCs w:val="24"/>
            <w:lang w:eastAsia="zh-CN"/>
          </w:rPr>
          <m:t>±0.2%</m:t>
        </m:r>
      </m:oMath>
      <w:r w:rsidRPr="00856289">
        <w:rPr>
          <w:rFonts w:ascii="宋体" w:hAnsi="宋体"/>
          <w:sz w:val="24"/>
          <w:szCs w:val="24"/>
          <w:lang w:eastAsia="zh-CN"/>
        </w:rPr>
        <w:t>峰谷值的中心波长均匀性和低于</w:t>
      </w:r>
      <m:oMath>
        <m:r>
          <w:rPr>
            <w:rFonts w:ascii="Cambria Math" w:hAnsi="Cambria Math"/>
            <w:sz w:val="24"/>
            <w:szCs w:val="24"/>
            <w:lang w:eastAsia="zh-CN"/>
          </w:rPr>
          <m:t>0.1 nm rms</m:t>
        </m:r>
      </m:oMath>
      <w:r w:rsidRPr="00856289">
        <w:rPr>
          <w:rFonts w:ascii="宋体" w:hAnsi="宋体"/>
          <w:sz w:val="24"/>
          <w:szCs w:val="24"/>
          <w:lang w:eastAsia="zh-CN"/>
        </w:rPr>
        <w:t>的不可补偿附加面形误差</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_Ref241436193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[2]</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_Ref241436265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[6]</w:t>
      </w:r>
      <w:r w:rsidR="009422E5" w:rsidRPr="009422E5">
        <w:rPr>
          <w:rFonts w:ascii="宋体" w:hAnsi="宋体" w:hint="eastAsia"/>
          <w:sz w:val="24"/>
          <w:szCs w:val="24"/>
          <w:vertAlign w:val="superscript"/>
          <w:lang w:eastAsia="zh-CN"/>
        </w:rPr>
        <w:fldChar w:fldCharType="end"/>
      </w:r>
      <w:r w:rsidR="00FD650B">
        <w:rPr>
          <w:rFonts w:ascii="宋体" w:hAnsi="宋体" w:hint="eastAsia"/>
          <w:sz w:val="24"/>
          <w:szCs w:val="24"/>
          <w:lang w:eastAsia="zh-CN"/>
        </w:rPr>
        <w:t>。</w:t>
      </w:r>
      <w:r w:rsidRPr="00856289">
        <w:rPr>
          <w:rFonts w:ascii="宋体" w:hAnsi="宋体"/>
          <w:sz w:val="24"/>
          <w:szCs w:val="24"/>
          <w:lang w:eastAsia="zh-CN"/>
        </w:rPr>
        <w:t>这些结果证明了横向渐变的工程可行性，但其前提是局部角度分布可由单一代表角度充分描述。</w:t>
      </w:r>
    </w:p>
    <w:p w14:paraId="32E995B6" w14:textId="77777777" w:rsidR="00FF0B03" w:rsidRPr="00856289" w:rsidRDefault="005D7C49">
      <w:pPr>
        <w:pStyle w:val="21"/>
        <w:rPr>
          <w:rFonts w:ascii="宋体" w:eastAsia="宋体" w:hAnsi="宋体" w:hint="eastAsia"/>
          <w:lang w:eastAsia="zh-CN"/>
        </w:rPr>
      </w:pPr>
      <w:r>
        <w:rPr>
          <w:rFonts w:ascii="宋体" w:eastAsia="宋体" w:hAnsi="宋体" w:hint="eastAsia"/>
          <w:lang w:eastAsia="zh-CN"/>
        </w:rPr>
        <w:lastRenderedPageBreak/>
        <w:t>2</w:t>
      </w:r>
      <w:r w:rsidRPr="00856289">
        <w:rPr>
          <w:rFonts w:ascii="宋体" w:eastAsia="宋体" w:hAnsi="宋体"/>
          <w:lang w:eastAsia="zh-CN"/>
        </w:rPr>
        <w:t>.3 纵向深度渐变与非周期膜</w:t>
      </w:r>
    </w:p>
    <w:p w14:paraId="462141C8" w14:textId="42200179" w:rsidR="00FF0B03" w:rsidRPr="00856289" w:rsidRDefault="00000000">
      <w:pPr>
        <w:pStyle w:val="14"/>
        <w:ind w:firstLine="420"/>
        <w:rPr>
          <w:rFonts w:ascii="宋体" w:hAnsi="宋体" w:hint="eastAsia"/>
          <w:sz w:val="24"/>
          <w:szCs w:val="24"/>
          <w:lang w:eastAsia="zh-CN"/>
        </w:rPr>
      </w:pPr>
      <w:r w:rsidRPr="00856289">
        <w:rPr>
          <w:rFonts w:ascii="宋体" w:hAnsi="宋体"/>
          <w:sz w:val="24"/>
          <w:szCs w:val="24"/>
          <w:lang w:eastAsia="zh-CN"/>
        </w:rPr>
        <w:t>纵向深度渐变使各双层周期或材料厚度比沿膜堆深度改变，由不同深度的层组对不同角度或波长提供反射。该方法通常以降低峰值为代价换取更宽的角带宽或光谱带宽。Yakshin等在无粗糙度模型中获得</w:t>
      </w:r>
      <m:oMath>
        <m:r>
          <w:rPr>
            <w:rFonts w:ascii="Cambria Math" w:hAnsi="Cambria Math"/>
            <w:sz w:val="24"/>
            <w:szCs w:val="24"/>
            <w:lang w:eastAsia="zh-CN"/>
          </w:rPr>
          <m:t>0°</m:t>
        </m:r>
      </m:oMath>
      <w:r w:rsidRPr="00856289">
        <w:rPr>
          <w:rFonts w:ascii="宋体" w:hAnsi="宋体"/>
          <w:sz w:val="24"/>
          <w:szCs w:val="24"/>
          <w:lang w:eastAsia="zh-CN"/>
        </w:rPr>
        <w:t>至</w:t>
      </w:r>
      <m:oMath>
        <m:r>
          <w:rPr>
            <w:rFonts w:ascii="Cambria Math" w:hAnsi="Cambria Math"/>
            <w:sz w:val="24"/>
            <w:szCs w:val="24"/>
            <w:lang w:eastAsia="zh-CN"/>
          </w:rPr>
          <m:t>18°</m:t>
        </m:r>
      </m:oMath>
      <w:r w:rsidRPr="00856289">
        <w:rPr>
          <w:rFonts w:ascii="宋体" w:hAnsi="宋体"/>
          <w:sz w:val="24"/>
          <w:szCs w:val="24"/>
          <w:lang w:eastAsia="zh-CN"/>
        </w:rPr>
        <w:t>范围内约</w:t>
      </w:r>
      <m:oMath>
        <m:r>
          <w:rPr>
            <w:rFonts w:ascii="Cambria Math" w:hAnsi="Cambria Math"/>
            <w:sz w:val="24"/>
            <w:szCs w:val="24"/>
            <w:lang w:eastAsia="zh-CN"/>
          </w:rPr>
          <m:t>60%</m:t>
        </m:r>
      </m:oMath>
      <w:r w:rsidRPr="00856289">
        <w:rPr>
          <w:rFonts w:ascii="宋体" w:hAnsi="宋体"/>
          <w:sz w:val="24"/>
          <w:szCs w:val="24"/>
          <w:lang w:eastAsia="zh-CN"/>
        </w:rPr>
        <w:t>的最高反射率，并对</w:t>
      </w:r>
      <m:oMath>
        <m:r>
          <w:rPr>
            <w:rFonts w:ascii="Cambria Math" w:hAnsi="Cambria Math"/>
            <w:sz w:val="24"/>
            <w:szCs w:val="24"/>
            <w:lang w:eastAsia="zh-CN"/>
          </w:rPr>
          <m:t>0°</m:t>
        </m:r>
      </m:oMath>
      <w:r w:rsidRPr="00856289">
        <w:rPr>
          <w:rFonts w:ascii="宋体" w:hAnsi="宋体"/>
          <w:sz w:val="24"/>
          <w:szCs w:val="24"/>
          <w:lang w:eastAsia="zh-CN"/>
        </w:rPr>
        <w:t>至</w:t>
      </w:r>
      <m:oMath>
        <m:r>
          <w:rPr>
            <w:rFonts w:ascii="Cambria Math" w:hAnsi="Cambria Math"/>
            <w:sz w:val="24"/>
            <w:szCs w:val="24"/>
            <w:lang w:eastAsia="zh-CN"/>
          </w:rPr>
          <m:t>16°</m:t>
        </m:r>
      </m:oMath>
      <w:r w:rsidRPr="00856289">
        <w:rPr>
          <w:rFonts w:ascii="宋体" w:hAnsi="宋体"/>
          <w:sz w:val="24"/>
          <w:szCs w:val="24"/>
          <w:lang w:eastAsia="zh-CN"/>
        </w:rPr>
        <w:t>范围的深度渐变Mo/Si样品进行了实验验证</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_Ref241436255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[7]</w:t>
      </w:r>
      <w:r w:rsidR="009422E5" w:rsidRPr="009422E5">
        <w:rPr>
          <w:rFonts w:ascii="宋体" w:hAnsi="宋体" w:hint="eastAsia"/>
          <w:sz w:val="24"/>
          <w:szCs w:val="24"/>
          <w:vertAlign w:val="superscript"/>
          <w:lang w:eastAsia="zh-CN"/>
        </w:rPr>
        <w:fldChar w:fldCharType="end"/>
      </w:r>
      <w:r w:rsidR="009422E5">
        <w:rPr>
          <w:rFonts w:ascii="宋体" w:hAnsi="宋体" w:hint="eastAsia"/>
          <w:sz w:val="24"/>
          <w:szCs w:val="24"/>
          <w:lang w:eastAsia="zh-CN"/>
        </w:rPr>
        <w:t>。</w:t>
      </w:r>
    </w:p>
    <w:p w14:paraId="04E56742" w14:textId="371FFBA2" w:rsidR="00FF0B03" w:rsidRPr="00856289" w:rsidRDefault="00000000">
      <w:pPr>
        <w:pStyle w:val="14"/>
        <w:ind w:firstLine="420"/>
        <w:rPr>
          <w:rFonts w:ascii="宋体" w:hAnsi="宋体" w:hint="eastAsia"/>
          <w:sz w:val="24"/>
          <w:szCs w:val="24"/>
          <w:lang w:eastAsia="zh-CN"/>
        </w:rPr>
      </w:pPr>
      <w:r w:rsidRPr="00856289">
        <w:rPr>
          <w:rFonts w:ascii="宋体" w:hAnsi="宋体"/>
          <w:sz w:val="24"/>
          <w:szCs w:val="24"/>
          <w:lang w:eastAsia="zh-CN"/>
        </w:rPr>
        <w:t>非周期设计具有更高自由度，可直接优化积分反射率、相位或容差。Suman等报告的非周期结构提高了积分反射强度，并减弱了顶层吸收和封帽层退化的影响</w:t>
      </w:r>
      <w:r w:rsidR="00CE011C" w:rsidRPr="00CE011C">
        <w:rPr>
          <w:rFonts w:ascii="宋体" w:hAnsi="宋体" w:hint="eastAsia"/>
          <w:sz w:val="24"/>
          <w:szCs w:val="24"/>
          <w:vertAlign w:val="superscript"/>
          <w:lang w:eastAsia="zh-CN"/>
        </w:rPr>
        <w:fldChar w:fldCharType="begin"/>
      </w:r>
      <w:r w:rsidR="00CE011C" w:rsidRPr="00CE011C">
        <w:rPr>
          <w:rFonts w:ascii="宋体" w:hAnsi="宋体" w:hint="eastAsia"/>
          <w:sz w:val="24"/>
          <w:szCs w:val="24"/>
          <w:vertAlign w:val="superscript"/>
          <w:lang w:eastAsia="zh-CN"/>
        </w:rPr>
        <w:instrText xml:space="preserve"> </w:instrText>
      </w:r>
      <w:r w:rsidR="00CE011C" w:rsidRPr="00CE011C">
        <w:rPr>
          <w:rFonts w:ascii="宋体" w:hAnsi="宋体"/>
          <w:sz w:val="24"/>
          <w:szCs w:val="24"/>
          <w:vertAlign w:val="superscript"/>
          <w:lang w:eastAsia="zh-CN"/>
        </w:rPr>
        <w:instrText>REF _Ref241436346 \r \h</w:instrText>
      </w:r>
      <w:r w:rsidR="00CE011C" w:rsidRPr="00CE011C">
        <w:rPr>
          <w:rFonts w:ascii="宋体" w:hAnsi="宋体" w:hint="eastAsia"/>
          <w:sz w:val="24"/>
          <w:szCs w:val="24"/>
          <w:vertAlign w:val="superscript"/>
          <w:lang w:eastAsia="zh-CN"/>
        </w:rPr>
        <w:instrText xml:space="preserve"> </w:instrText>
      </w:r>
      <w:r w:rsidR="00CE011C" w:rsidRPr="00CE011C">
        <w:rPr>
          <w:rFonts w:ascii="宋体" w:hAnsi="宋体" w:hint="eastAsia"/>
          <w:sz w:val="24"/>
          <w:szCs w:val="24"/>
          <w:vertAlign w:val="superscript"/>
          <w:lang w:eastAsia="zh-CN"/>
        </w:rPr>
      </w:r>
      <w:r w:rsidR="00CE011C">
        <w:rPr>
          <w:rFonts w:ascii="宋体" w:hAnsi="宋体" w:hint="eastAsia"/>
          <w:sz w:val="24"/>
          <w:szCs w:val="24"/>
          <w:vertAlign w:val="superscript"/>
          <w:lang w:eastAsia="zh-CN"/>
        </w:rPr>
        <w:instrText xml:space="preserve"> \* MERGEFORMAT </w:instrText>
      </w:r>
      <w:r w:rsidR="00CE011C" w:rsidRPr="00CE011C">
        <w:rPr>
          <w:rFonts w:ascii="宋体" w:hAnsi="宋体" w:hint="eastAsia"/>
          <w:sz w:val="24"/>
          <w:szCs w:val="24"/>
          <w:vertAlign w:val="superscript"/>
          <w:lang w:eastAsia="zh-CN"/>
        </w:rPr>
        <w:fldChar w:fldCharType="separate"/>
      </w:r>
      <w:r w:rsidR="00CE011C" w:rsidRPr="00CE011C">
        <w:rPr>
          <w:rFonts w:ascii="宋体" w:hAnsi="宋体" w:hint="eastAsia"/>
          <w:sz w:val="24"/>
          <w:szCs w:val="24"/>
          <w:vertAlign w:val="superscript"/>
          <w:lang w:eastAsia="zh-CN"/>
        </w:rPr>
        <w:t>[8]</w:t>
      </w:r>
      <w:r w:rsidR="00CE011C" w:rsidRPr="00CE011C">
        <w:rPr>
          <w:rFonts w:ascii="宋体" w:hAnsi="宋体" w:hint="eastAsia"/>
          <w:sz w:val="24"/>
          <w:szCs w:val="24"/>
          <w:vertAlign w:val="superscript"/>
          <w:lang w:eastAsia="zh-CN"/>
        </w:rPr>
        <w:fldChar w:fldCharType="end"/>
      </w:r>
      <w:r w:rsidR="00CE011C">
        <w:rPr>
          <w:rFonts w:ascii="宋体" w:hAnsi="宋体" w:hint="eastAsia"/>
          <w:sz w:val="24"/>
          <w:szCs w:val="24"/>
          <w:lang w:eastAsia="zh-CN"/>
        </w:rPr>
        <w:t>；</w:t>
      </w:r>
      <w:r w:rsidR="00FD650B">
        <w:rPr>
          <w:rFonts w:ascii="宋体" w:hAnsi="宋体" w:hint="eastAsia"/>
          <w:sz w:val="24"/>
          <w:szCs w:val="24"/>
          <w:lang w:eastAsia="zh-CN"/>
        </w:rPr>
        <w:t xml:space="preserve"> </w:t>
      </w:r>
      <w:r w:rsidRPr="00856289">
        <w:rPr>
          <w:rFonts w:ascii="宋体" w:hAnsi="宋体"/>
          <w:sz w:val="24"/>
          <w:szCs w:val="24"/>
          <w:lang w:eastAsia="zh-CN"/>
        </w:rPr>
        <w:t>Kuang等则把层厚随机误差与制造范围纳入多目标设计，实测样品在</w:t>
      </w:r>
      <m:oMath>
        <m:r>
          <w:rPr>
            <w:rFonts w:ascii="Cambria Math" w:hAnsi="Cambria Math"/>
            <w:sz w:val="24"/>
            <w:szCs w:val="24"/>
            <w:lang w:eastAsia="zh-CN"/>
          </w:rPr>
          <m:t>0°</m:t>
        </m:r>
      </m:oMath>
      <w:r w:rsidRPr="00856289">
        <w:rPr>
          <w:rFonts w:ascii="宋体" w:hAnsi="宋体"/>
          <w:sz w:val="24"/>
          <w:szCs w:val="24"/>
          <w:lang w:eastAsia="zh-CN"/>
        </w:rPr>
        <w:t>至</w:t>
      </w:r>
      <m:oMath>
        <m:r>
          <w:rPr>
            <w:rFonts w:ascii="Cambria Math" w:hAnsi="Cambria Math"/>
            <w:sz w:val="24"/>
            <w:szCs w:val="24"/>
            <w:lang w:eastAsia="zh-CN"/>
          </w:rPr>
          <m:t>16°</m:t>
        </m:r>
      </m:oMath>
      <w:r w:rsidRPr="00856289">
        <w:rPr>
          <w:rFonts w:ascii="宋体" w:hAnsi="宋体"/>
          <w:sz w:val="24"/>
          <w:szCs w:val="24"/>
          <w:lang w:eastAsia="zh-CN"/>
        </w:rPr>
        <w:t>范围内维持约</w:t>
      </w:r>
      <m:oMath>
        <m:r>
          <w:rPr>
            <w:rFonts w:ascii="Cambria Math" w:hAnsi="Cambria Math"/>
            <w:sz w:val="24"/>
            <w:szCs w:val="24"/>
            <w:lang w:eastAsia="zh-CN"/>
          </w:rPr>
          <m:t>45%</m:t>
        </m:r>
      </m:oMath>
      <w:r w:rsidRPr="00856289">
        <w:rPr>
          <w:rFonts w:ascii="宋体" w:hAnsi="宋体"/>
          <w:sz w:val="24"/>
          <w:szCs w:val="24"/>
          <w:lang w:eastAsia="zh-CN"/>
        </w:rPr>
        <w:t>至</w:t>
      </w:r>
      <m:oMath>
        <m:r>
          <w:rPr>
            <w:rFonts w:ascii="Cambria Math" w:hAnsi="Cambria Math"/>
            <w:sz w:val="24"/>
            <w:szCs w:val="24"/>
            <w:lang w:eastAsia="zh-CN"/>
          </w:rPr>
          <m:t>55%</m:t>
        </m:r>
      </m:oMath>
      <w:r w:rsidRPr="00856289">
        <w:rPr>
          <w:rFonts w:ascii="宋体" w:hAnsi="宋体"/>
          <w:sz w:val="24"/>
          <w:szCs w:val="24"/>
          <w:lang w:eastAsia="zh-CN"/>
        </w:rPr>
        <w:t>的反射率</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_Ref241436292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[9]</w:t>
      </w:r>
      <w:r w:rsidR="009422E5" w:rsidRPr="009422E5">
        <w:rPr>
          <w:rFonts w:ascii="宋体" w:hAnsi="宋体" w:hint="eastAsia"/>
          <w:sz w:val="24"/>
          <w:szCs w:val="24"/>
          <w:vertAlign w:val="superscript"/>
          <w:lang w:eastAsia="zh-CN"/>
        </w:rPr>
        <w:fldChar w:fldCharType="end"/>
      </w:r>
      <w:r w:rsidRPr="00856289">
        <w:rPr>
          <w:rFonts w:ascii="宋体" w:hAnsi="宋体"/>
          <w:sz w:val="24"/>
          <w:szCs w:val="24"/>
          <w:lang w:eastAsia="zh-CN"/>
        </w:rPr>
        <w:t>。这类设计的代价是解的非唯一性、对材料模型的敏感性以及更困难的沉积标定和反演。</w:t>
      </w:r>
    </w:p>
    <w:p w14:paraId="6FB6FB08" w14:textId="77777777" w:rsidR="00FF0B03" w:rsidRPr="00856289" w:rsidRDefault="005D7C49">
      <w:pPr>
        <w:pStyle w:val="21"/>
        <w:rPr>
          <w:rFonts w:ascii="宋体" w:eastAsia="宋体" w:hAnsi="宋体" w:hint="eastAsia"/>
          <w:lang w:eastAsia="zh-CN"/>
        </w:rPr>
      </w:pPr>
      <w:r>
        <w:rPr>
          <w:rFonts w:ascii="宋体" w:eastAsia="宋体" w:hAnsi="宋体" w:hint="eastAsia"/>
          <w:lang w:eastAsia="zh-CN"/>
        </w:rPr>
        <w:t>2</w:t>
      </w:r>
      <w:r w:rsidRPr="00856289">
        <w:rPr>
          <w:rFonts w:ascii="宋体" w:eastAsia="宋体" w:hAnsi="宋体"/>
          <w:lang w:eastAsia="zh-CN"/>
        </w:rPr>
        <w:t>.4 横向与纵向联合设计</w:t>
      </w:r>
    </w:p>
    <w:p w14:paraId="59C95A9D" w14:textId="54BF72B1" w:rsidR="00FF0B03" w:rsidRDefault="00000000">
      <w:pPr>
        <w:pStyle w:val="14"/>
        <w:ind w:firstLine="420"/>
        <w:rPr>
          <w:lang w:eastAsia="zh-CN"/>
        </w:rPr>
      </w:pPr>
      <w:r w:rsidRPr="00856289">
        <w:rPr>
          <w:rFonts w:ascii="宋体" w:hAnsi="宋体"/>
          <w:sz w:val="24"/>
          <w:szCs w:val="24"/>
          <w:lang w:eastAsia="zh-CN"/>
        </w:rPr>
        <w:t>同一镜面坐标可能被不同视场和瞳点以不同角度、不同方位照射，因而局部入射角并非单值。二维横向周期分布即使逐点满足某个名义布拉格条件，也可能无法兼顾跨视场角度跨度。Haque等针对六镜算例指出，将横向渐变与纵向非周期结构联合设计，可改善具有大幅非对称入射角分布镜面的瞳面透过率均匀性；该算例的数值孔径为0.26，因此结论应理解为方法证明，而非0.55 NA工业系统性能声明</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_Ref241436258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[10]</w:t>
      </w:r>
      <w:r w:rsidR="009422E5" w:rsidRPr="009422E5">
        <w:rPr>
          <w:rFonts w:ascii="宋体" w:hAnsi="宋体" w:hint="eastAsia"/>
          <w:sz w:val="24"/>
          <w:szCs w:val="24"/>
          <w:vertAlign w:val="superscript"/>
          <w:lang w:eastAsia="zh-CN"/>
        </w:rPr>
        <w:fldChar w:fldCharType="end"/>
      </w:r>
      <w:r w:rsidRPr="00856289">
        <w:rPr>
          <w:rFonts w:ascii="宋体" w:hAnsi="宋体"/>
          <w:sz w:val="24"/>
          <w:szCs w:val="24"/>
          <w:lang w:eastAsia="zh-CN"/>
        </w:rPr>
        <w:t>。</w:t>
      </w:r>
    </w:p>
    <w:p w14:paraId="1CA62ADB" w14:textId="7AA9877B" w:rsidR="00FF0B03" w:rsidRPr="005D7C49" w:rsidRDefault="005D7C49" w:rsidP="005D7C49">
      <w:pPr>
        <w:pStyle w:val="aff9"/>
        <w:rPr>
          <w:rFonts w:ascii="宋体" w:hAnsi="宋体" w:hint="eastAsia"/>
          <w:b/>
          <w:sz w:val="32"/>
          <w:szCs w:val="32"/>
          <w:lang w:eastAsia="zh-CN"/>
        </w:rPr>
      </w:pPr>
      <w:r>
        <w:rPr>
          <w:rFonts w:ascii="宋体" w:hAnsi="宋体" w:hint="eastAsia"/>
          <w:b/>
          <w:sz w:val="32"/>
          <w:szCs w:val="32"/>
          <w:lang w:eastAsia="zh-CN"/>
        </w:rPr>
        <w:t>三、</w:t>
      </w:r>
      <w:r w:rsidR="00B967B1">
        <w:rPr>
          <w:rFonts w:ascii="宋体" w:hAnsi="宋体" w:hint="eastAsia"/>
          <w:b/>
          <w:sz w:val="32"/>
          <w:szCs w:val="32"/>
          <w:lang w:eastAsia="zh-CN"/>
        </w:rPr>
        <w:t>设计</w:t>
      </w:r>
      <w:r w:rsidR="00C41BCA">
        <w:rPr>
          <w:rFonts w:ascii="宋体" w:hAnsi="宋体" w:hint="eastAsia"/>
          <w:b/>
          <w:sz w:val="32"/>
          <w:szCs w:val="32"/>
          <w:lang w:eastAsia="zh-CN"/>
        </w:rPr>
        <w:t>方法</w:t>
      </w:r>
      <w:r w:rsidR="009422E5" w:rsidRPr="009422E5">
        <w:rPr>
          <w:rFonts w:ascii="宋体" w:hAnsi="宋体" w:hint="eastAsia"/>
          <w:b/>
          <w:sz w:val="32"/>
          <w:szCs w:val="32"/>
          <w:vertAlign w:val="superscript"/>
          <w:lang w:eastAsia="zh-CN"/>
        </w:rPr>
        <w:fldChar w:fldCharType="begin"/>
      </w:r>
      <w:r w:rsidR="009422E5" w:rsidRPr="009422E5">
        <w:rPr>
          <w:rFonts w:ascii="宋体" w:hAnsi="宋体" w:hint="eastAsia"/>
          <w:b/>
          <w:sz w:val="32"/>
          <w:szCs w:val="32"/>
          <w:vertAlign w:val="superscript"/>
          <w:lang w:eastAsia="zh-CN"/>
        </w:rPr>
        <w:instrText xml:space="preserve"> REF _Ref241436292 \r \h </w:instrText>
      </w:r>
      <w:r w:rsidR="009422E5" w:rsidRPr="009422E5">
        <w:rPr>
          <w:rFonts w:ascii="宋体" w:hAnsi="宋体" w:hint="eastAsia"/>
          <w:b/>
          <w:sz w:val="32"/>
          <w:szCs w:val="32"/>
          <w:vertAlign w:val="superscript"/>
          <w:lang w:eastAsia="zh-CN"/>
        </w:rPr>
      </w:r>
      <w:r w:rsidR="009422E5">
        <w:rPr>
          <w:rFonts w:ascii="宋体" w:hAnsi="宋体" w:hint="eastAsia"/>
          <w:b/>
          <w:sz w:val="32"/>
          <w:szCs w:val="32"/>
          <w:vertAlign w:val="superscript"/>
          <w:lang w:eastAsia="zh-CN"/>
        </w:rPr>
        <w:instrText xml:space="preserve"> \* MERGEFORMAT </w:instrText>
      </w:r>
      <w:r w:rsidR="009422E5" w:rsidRPr="009422E5">
        <w:rPr>
          <w:rFonts w:ascii="宋体" w:hAnsi="宋体" w:hint="eastAsia"/>
          <w:b/>
          <w:sz w:val="32"/>
          <w:szCs w:val="32"/>
          <w:vertAlign w:val="superscript"/>
          <w:lang w:eastAsia="zh-CN"/>
        </w:rPr>
        <w:fldChar w:fldCharType="separate"/>
      </w:r>
      <w:r w:rsidR="009422E5" w:rsidRPr="009422E5">
        <w:rPr>
          <w:rFonts w:ascii="宋体" w:hAnsi="宋体" w:hint="eastAsia"/>
          <w:b/>
          <w:sz w:val="32"/>
          <w:szCs w:val="32"/>
          <w:vertAlign w:val="superscript"/>
          <w:lang w:eastAsia="zh-CN"/>
        </w:rPr>
        <w:t>[9</w:t>
      </w:r>
      <w:r w:rsidR="009422E5" w:rsidRPr="009422E5">
        <w:rPr>
          <w:rFonts w:ascii="宋体" w:hAnsi="宋体" w:hint="eastAsia"/>
          <w:b/>
          <w:sz w:val="32"/>
          <w:szCs w:val="32"/>
          <w:vertAlign w:val="superscript"/>
          <w:lang w:eastAsia="zh-CN"/>
        </w:rPr>
        <w:t>]</w:t>
      </w:r>
      <w:r w:rsidR="009422E5" w:rsidRPr="009422E5">
        <w:rPr>
          <w:rFonts w:ascii="宋体" w:hAnsi="宋体" w:hint="eastAsia"/>
          <w:b/>
          <w:sz w:val="32"/>
          <w:szCs w:val="32"/>
          <w:vertAlign w:val="superscript"/>
          <w:lang w:eastAsia="zh-CN"/>
        </w:rPr>
        <w:fldChar w:fldCharType="end"/>
      </w:r>
      <w:r w:rsidR="009422E5" w:rsidRPr="009422E5">
        <w:rPr>
          <w:rFonts w:ascii="宋体" w:hAnsi="宋体" w:hint="eastAsia"/>
          <w:b/>
          <w:sz w:val="32"/>
          <w:szCs w:val="32"/>
          <w:vertAlign w:val="superscript"/>
          <w:lang w:eastAsia="zh-CN"/>
        </w:rPr>
        <w:fldChar w:fldCharType="begin"/>
      </w:r>
      <w:r w:rsidR="009422E5" w:rsidRPr="009422E5">
        <w:rPr>
          <w:rFonts w:ascii="宋体" w:hAnsi="宋体" w:hint="eastAsia"/>
          <w:b/>
          <w:sz w:val="32"/>
          <w:szCs w:val="32"/>
          <w:vertAlign w:val="superscript"/>
          <w:lang w:eastAsia="zh-CN"/>
        </w:rPr>
        <w:instrText xml:space="preserve"> REF _Ref241436258 \r \h </w:instrText>
      </w:r>
      <w:r w:rsidR="009422E5" w:rsidRPr="009422E5">
        <w:rPr>
          <w:rFonts w:ascii="宋体" w:hAnsi="宋体" w:hint="eastAsia"/>
          <w:b/>
          <w:sz w:val="32"/>
          <w:szCs w:val="32"/>
          <w:vertAlign w:val="superscript"/>
          <w:lang w:eastAsia="zh-CN"/>
        </w:rPr>
      </w:r>
      <w:r w:rsidR="009422E5">
        <w:rPr>
          <w:rFonts w:ascii="宋体" w:hAnsi="宋体" w:hint="eastAsia"/>
          <w:b/>
          <w:sz w:val="32"/>
          <w:szCs w:val="32"/>
          <w:vertAlign w:val="superscript"/>
          <w:lang w:eastAsia="zh-CN"/>
        </w:rPr>
        <w:instrText xml:space="preserve"> \* MERGEFORMAT </w:instrText>
      </w:r>
      <w:r w:rsidR="009422E5" w:rsidRPr="009422E5">
        <w:rPr>
          <w:rFonts w:ascii="宋体" w:hAnsi="宋体" w:hint="eastAsia"/>
          <w:b/>
          <w:sz w:val="32"/>
          <w:szCs w:val="32"/>
          <w:vertAlign w:val="superscript"/>
          <w:lang w:eastAsia="zh-CN"/>
        </w:rPr>
        <w:fldChar w:fldCharType="separate"/>
      </w:r>
      <w:r w:rsidR="009422E5" w:rsidRPr="009422E5">
        <w:rPr>
          <w:rFonts w:ascii="宋体" w:hAnsi="宋体" w:hint="eastAsia"/>
          <w:b/>
          <w:sz w:val="32"/>
          <w:szCs w:val="32"/>
          <w:vertAlign w:val="superscript"/>
          <w:lang w:eastAsia="zh-CN"/>
        </w:rPr>
        <w:t>[10]</w:t>
      </w:r>
      <w:r w:rsidR="009422E5" w:rsidRPr="009422E5">
        <w:rPr>
          <w:rFonts w:ascii="宋体" w:hAnsi="宋体" w:hint="eastAsia"/>
          <w:b/>
          <w:sz w:val="32"/>
          <w:szCs w:val="32"/>
          <w:vertAlign w:val="superscript"/>
          <w:lang w:eastAsia="zh-CN"/>
        </w:rPr>
        <w:fldChar w:fldCharType="end"/>
      </w:r>
    </w:p>
    <w:p w14:paraId="2DC6C3AA" w14:textId="77777777" w:rsidR="00B967B1" w:rsidRPr="00B967B1" w:rsidRDefault="00B967B1" w:rsidP="00B967B1">
      <w:pPr>
        <w:pStyle w:val="21"/>
        <w:rPr>
          <w:rFonts w:ascii="宋体" w:eastAsia="宋体" w:hAnsi="宋体" w:hint="eastAsia"/>
          <w:lang w:eastAsia="zh-CN"/>
        </w:rPr>
      </w:pPr>
      <w:r>
        <w:rPr>
          <w:rFonts w:ascii="宋体" w:eastAsia="宋体" w:hAnsi="宋体" w:hint="eastAsia"/>
          <w:lang w:eastAsia="zh-CN"/>
        </w:rPr>
        <w:t>3</w:t>
      </w:r>
      <w:r w:rsidRPr="00B967B1">
        <w:rPr>
          <w:rFonts w:ascii="宋体" w:eastAsia="宋体" w:hAnsi="宋体"/>
          <w:lang w:eastAsia="zh-CN"/>
        </w:rPr>
        <w:t>.1 从光学</w:t>
      </w:r>
      <w:r w:rsidRPr="00B967B1">
        <w:rPr>
          <w:rFonts w:ascii="宋体" w:eastAsia="宋体" w:hAnsi="宋体" w:hint="eastAsia"/>
          <w:lang w:eastAsia="zh-CN"/>
        </w:rPr>
        <w:t>处方构建加权光线数据</w:t>
      </w:r>
    </w:p>
    <w:p w14:paraId="3D4D1BC3" w14:textId="77777777" w:rsidR="00B967B1" w:rsidRPr="00B967B1" w:rsidRDefault="00B967B1" w:rsidP="00B967B1">
      <w:pPr>
        <w:pStyle w:val="14"/>
        <w:ind w:firstLine="420"/>
        <w:rPr>
          <w:rFonts w:ascii="宋体" w:hAnsi="宋体" w:hint="eastAsia"/>
          <w:sz w:val="24"/>
          <w:szCs w:val="24"/>
          <w:lang w:eastAsia="zh-CN"/>
        </w:rPr>
      </w:pPr>
      <w:r w:rsidRPr="00B967B1">
        <w:rPr>
          <w:rFonts w:ascii="宋体" w:hAnsi="宋体"/>
          <w:sz w:val="24"/>
          <w:szCs w:val="24"/>
          <w:lang w:eastAsia="zh-CN"/>
        </w:rPr>
        <w:t>光学模型应为每面镜输出镜面坐标、入射角、方位角、视场、瞳点、波长、偏振态及能量权重。对于同一镜面坐标，应保留跨视场角度分布而不是只存最小值、最大值或平均值。随后用这些数据定义光源加权通量、瞳面均匀性、复振幅波前和偏振误差等系统指标。</w:t>
      </w:r>
    </w:p>
    <w:p w14:paraId="522EDADC" w14:textId="77777777" w:rsidR="00B967B1" w:rsidRPr="00B967B1" w:rsidRDefault="00B967B1" w:rsidP="00B967B1">
      <w:pPr>
        <w:pStyle w:val="21"/>
        <w:rPr>
          <w:rFonts w:ascii="宋体" w:eastAsia="宋体" w:hAnsi="宋体" w:hint="eastAsia"/>
          <w:lang w:eastAsia="zh-CN"/>
        </w:rPr>
      </w:pPr>
      <w:r>
        <w:rPr>
          <w:rFonts w:ascii="宋体" w:eastAsia="宋体" w:hAnsi="宋体" w:hint="eastAsia"/>
          <w:lang w:eastAsia="zh-CN"/>
        </w:rPr>
        <w:t>3</w:t>
      </w:r>
      <w:r w:rsidRPr="00B967B1">
        <w:rPr>
          <w:rFonts w:ascii="宋体" w:eastAsia="宋体" w:hAnsi="宋体"/>
          <w:lang w:eastAsia="zh-CN"/>
        </w:rPr>
        <w:t>.2 建立可校准的真</w:t>
      </w:r>
      <w:r w:rsidRPr="00B967B1">
        <w:rPr>
          <w:rFonts w:ascii="宋体" w:eastAsia="宋体" w:hAnsi="宋体" w:hint="eastAsia"/>
          <w:lang w:eastAsia="zh-CN"/>
        </w:rPr>
        <w:t>实材料栈</w:t>
      </w:r>
    </w:p>
    <w:p w14:paraId="6A8F0DA6" w14:textId="77777777" w:rsidR="00B967B1" w:rsidRPr="00B967B1" w:rsidRDefault="00B967B1" w:rsidP="00B967B1">
      <w:pPr>
        <w:pStyle w:val="14"/>
        <w:ind w:firstLine="420"/>
        <w:rPr>
          <w:rFonts w:ascii="宋体" w:hAnsi="宋体" w:hint="eastAsia"/>
          <w:sz w:val="24"/>
          <w:szCs w:val="24"/>
          <w:lang w:eastAsia="zh-CN"/>
        </w:rPr>
      </w:pPr>
      <w:r w:rsidRPr="00B967B1">
        <w:rPr>
          <w:rFonts w:ascii="宋体" w:hAnsi="宋体"/>
          <w:sz w:val="24"/>
          <w:szCs w:val="24"/>
          <w:lang w:eastAsia="zh-CN"/>
        </w:rPr>
        <w:t>材料模型至少应包含Mo、Si、两类非对称界面层、密度偏差、粗糙度、扩散阻挡层、终止层和封帽层。模型参数应同时拟合X射线反射、EUV反射、截面结构和成分数据，并把光学常数与界面厚度的不确定性带入灵敏度分析。对非周期结构，还需限制最小层厚、层厚量化和相邻层变化率，以避免数学最优解无法沉积。</w:t>
      </w:r>
    </w:p>
    <w:p w14:paraId="0D0B9072" w14:textId="77777777" w:rsidR="00B967B1" w:rsidRPr="00B967B1" w:rsidRDefault="00B967B1" w:rsidP="00B967B1">
      <w:pPr>
        <w:pStyle w:val="21"/>
        <w:rPr>
          <w:rFonts w:ascii="宋体" w:eastAsia="宋体" w:hAnsi="宋体" w:hint="eastAsia"/>
          <w:lang w:eastAsia="zh-CN"/>
        </w:rPr>
      </w:pPr>
      <w:r>
        <w:rPr>
          <w:rFonts w:ascii="宋体" w:eastAsia="宋体" w:hAnsi="宋体" w:hint="eastAsia"/>
          <w:lang w:eastAsia="zh-CN"/>
        </w:rPr>
        <w:lastRenderedPageBreak/>
        <w:t>3</w:t>
      </w:r>
      <w:r w:rsidRPr="00B967B1">
        <w:rPr>
          <w:rFonts w:ascii="宋体" w:eastAsia="宋体" w:hAnsi="宋体"/>
          <w:lang w:eastAsia="zh-CN"/>
        </w:rPr>
        <w:t>.3 采用分</w:t>
      </w:r>
      <w:r w:rsidRPr="00B967B1">
        <w:rPr>
          <w:rFonts w:ascii="宋体" w:eastAsia="宋体" w:hAnsi="宋体" w:hint="eastAsia"/>
          <w:lang w:eastAsia="zh-CN"/>
        </w:rPr>
        <w:t>层复杂度和系统级多目标优化</w:t>
      </w:r>
    </w:p>
    <w:p w14:paraId="0FB1118D" w14:textId="77777777" w:rsidR="00B967B1" w:rsidRPr="00B967B1" w:rsidRDefault="00B967B1" w:rsidP="00B967B1">
      <w:pPr>
        <w:pStyle w:val="14"/>
        <w:ind w:firstLine="420"/>
        <w:rPr>
          <w:rFonts w:ascii="宋体" w:hAnsi="宋体" w:hint="eastAsia"/>
          <w:sz w:val="24"/>
          <w:szCs w:val="24"/>
          <w:lang w:eastAsia="zh-CN"/>
        </w:rPr>
      </w:pPr>
      <w:r w:rsidRPr="00B967B1">
        <w:rPr>
          <w:rFonts w:ascii="宋体" w:hAnsi="宋体"/>
          <w:sz w:val="24"/>
          <w:szCs w:val="24"/>
          <w:lang w:eastAsia="zh-CN"/>
        </w:rPr>
        <w:t>设计宜从低维模型开始：先判断统一周期是否满足系统目标，再依次引入径向或二维横向渐变、少量深度分段和完全非周期结构。目标函数应同时包含系统积分通量、瞳面透过率标准差、膜层引入的波前误差、s/p差异和参数扰动下的性能方差。逐步增加自由度有助于识别真正限制性能的镜面和角度区间，也便于保留可解释性和工艺裕量。</w:t>
      </w:r>
    </w:p>
    <w:p w14:paraId="16FB012D" w14:textId="77777777" w:rsidR="00B967B1" w:rsidRDefault="00B967B1" w:rsidP="00B967B1">
      <w:pPr>
        <w:pStyle w:val="21"/>
        <w:rPr>
          <w:lang w:eastAsia="zh-CN"/>
        </w:rPr>
      </w:pPr>
      <w:r>
        <w:rPr>
          <w:rFonts w:ascii="宋体" w:eastAsia="宋体" w:hAnsi="宋体" w:hint="eastAsia"/>
          <w:lang w:eastAsia="zh-CN"/>
        </w:rPr>
        <w:t>3</w:t>
      </w:r>
      <w:r w:rsidRPr="00B967B1">
        <w:rPr>
          <w:rFonts w:ascii="宋体" w:eastAsia="宋体" w:hAnsi="宋体"/>
          <w:lang w:eastAsia="zh-CN"/>
        </w:rPr>
        <w:t>.4 将制造与</w:t>
      </w:r>
      <w:r w:rsidRPr="00B967B1">
        <w:rPr>
          <w:rFonts w:ascii="宋体" w:eastAsia="宋体" w:hAnsi="宋体" w:hint="eastAsia"/>
          <w:lang w:eastAsia="zh-CN"/>
        </w:rPr>
        <w:t>计量结果回灌光学设计</w:t>
      </w:r>
    </w:p>
    <w:p w14:paraId="3668E29B" w14:textId="77777777" w:rsidR="00B967B1" w:rsidRDefault="00B967B1" w:rsidP="00B967B1">
      <w:pPr>
        <w:pStyle w:val="14"/>
        <w:ind w:firstLine="420"/>
        <w:rPr>
          <w:rFonts w:ascii="宋体" w:hAnsi="宋体" w:hint="eastAsia"/>
          <w:sz w:val="24"/>
          <w:szCs w:val="24"/>
          <w:lang w:eastAsia="zh-CN"/>
        </w:rPr>
      </w:pPr>
      <w:r w:rsidRPr="00B967B1">
        <w:rPr>
          <w:rFonts w:ascii="宋体" w:hAnsi="宋体"/>
          <w:sz w:val="24"/>
          <w:szCs w:val="24"/>
          <w:lang w:eastAsia="zh-CN"/>
        </w:rPr>
        <w:t>公差模型应覆盖全局周期偏差、随机层厚误差、渐变尺度误差、低阶空间形状误差、跨批次中心波长失配、光学常数误差、粗糙度PSD、应力及封帽层老化。评估输出必须是系统通量、均匀性和波前，而非仅为单镜峰值反射率。若某面镜需要设备无法生成的二维厚度地图，或同一点的跨视场AOI冲突过大，应返回光学处方调整镜面功率、光阑位置和角度分配。</w:t>
      </w:r>
    </w:p>
    <w:p w14:paraId="70CA242E" w14:textId="77777777" w:rsidR="00B967B1" w:rsidRDefault="00B967B1" w:rsidP="00B967B1">
      <w:pPr>
        <w:pStyle w:val="aff9"/>
        <w:rPr>
          <w:rFonts w:ascii="宋体" w:hAnsi="宋体" w:hint="eastAsia"/>
          <w:b/>
          <w:sz w:val="32"/>
          <w:szCs w:val="32"/>
          <w:lang w:eastAsia="zh-CN"/>
        </w:rPr>
      </w:pPr>
      <w:r>
        <w:rPr>
          <w:rFonts w:ascii="宋体" w:hAnsi="宋体" w:hint="eastAsia"/>
          <w:b/>
          <w:sz w:val="32"/>
          <w:szCs w:val="32"/>
          <w:lang w:eastAsia="zh-CN"/>
        </w:rPr>
        <w:t>四、难点所在</w:t>
      </w:r>
    </w:p>
    <w:p w14:paraId="15DAEAAE" w14:textId="167BDDFC" w:rsidR="004E5EA3" w:rsidRDefault="004E5EA3" w:rsidP="004E5EA3">
      <w:pPr>
        <w:pStyle w:val="14"/>
        <w:ind w:firstLine="420"/>
        <w:rPr>
          <w:rFonts w:ascii="宋体" w:hAnsi="宋体" w:hint="eastAsia"/>
          <w:sz w:val="24"/>
          <w:szCs w:val="24"/>
          <w:lang w:eastAsia="zh-CN"/>
        </w:rPr>
      </w:pPr>
      <w:r w:rsidRPr="004E5EA3">
        <w:rPr>
          <w:rFonts w:ascii="宋体" w:hAnsi="宋体"/>
          <w:sz w:val="24"/>
          <w:szCs w:val="24"/>
          <w:lang w:eastAsia="zh-CN"/>
        </w:rPr>
        <w:t>EUV 投影物镜膜层设计的核心系统级难点，在于全视场、全瞳条件下，</w:t>
      </w:r>
      <w:r w:rsidRPr="00D30B7B">
        <w:rPr>
          <w:rFonts w:ascii="宋体" w:hAnsi="宋体"/>
          <w:b/>
          <w:bCs/>
          <w:sz w:val="24"/>
          <w:szCs w:val="24"/>
          <w:lang w:eastAsia="zh-CN"/>
        </w:rPr>
        <w:t>同一镜面位置对应的入射角和入射方位并非单值</w:t>
      </w:r>
      <w:r w:rsidRPr="004E5EA3">
        <w:rPr>
          <w:rFonts w:ascii="宋体" w:hAnsi="宋体"/>
          <w:sz w:val="24"/>
          <w:szCs w:val="24"/>
          <w:lang w:eastAsia="zh-CN"/>
        </w:rPr>
        <w:t>；而多层膜的复反射系数又对入射角、波长和偏振高度敏感。因此，单一局部膜系难以同时满足所有光线的幅值与相位要求，进而形成复振幅优化、系统评价</w:t>
      </w:r>
      <w:r w:rsidR="00C41BCA">
        <w:rPr>
          <w:rFonts w:ascii="宋体" w:hAnsi="宋体" w:hint="eastAsia"/>
          <w:sz w:val="24"/>
          <w:szCs w:val="24"/>
          <w:lang w:eastAsia="zh-CN"/>
        </w:rPr>
        <w:t>（波前误差测量）</w:t>
      </w:r>
      <w:r w:rsidRPr="004E5EA3">
        <w:rPr>
          <w:rFonts w:ascii="宋体" w:hAnsi="宋体"/>
          <w:sz w:val="24"/>
          <w:szCs w:val="24"/>
          <w:lang w:eastAsia="zh-CN"/>
        </w:rPr>
        <w:t>和工作波长计量方面的困难</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_Ref241436258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[10]</w:t>
      </w:r>
      <w:r w:rsidR="009422E5" w:rsidRPr="009422E5">
        <w:rPr>
          <w:rFonts w:ascii="宋体" w:hAnsi="宋体" w:hint="eastAsia"/>
          <w:sz w:val="24"/>
          <w:szCs w:val="24"/>
          <w:vertAlign w:val="superscript"/>
          <w:lang w:eastAsia="zh-CN"/>
        </w:rPr>
        <w:fldChar w:fldCharType="end"/>
      </w:r>
      <w:r w:rsidRPr="009422E5">
        <w:rPr>
          <w:rFonts w:ascii="宋体" w:hAnsi="宋体"/>
          <w:sz w:val="24"/>
          <w:szCs w:val="24"/>
          <w:vertAlign w:val="superscript"/>
          <w:lang w:eastAsia="zh-CN"/>
        </w:rPr>
        <w:t>。</w:t>
      </w:r>
    </w:p>
    <w:p w14:paraId="0A69D355" w14:textId="7C6DAC67" w:rsidR="00D30B7B" w:rsidRPr="00D30B7B" w:rsidRDefault="00D30B7B" w:rsidP="00D30B7B">
      <w:pPr>
        <w:pStyle w:val="14"/>
        <w:ind w:firstLine="420"/>
        <w:rPr>
          <w:rFonts w:ascii="宋体" w:hAnsi="宋体" w:hint="eastAsia"/>
          <w:sz w:val="24"/>
          <w:szCs w:val="24"/>
          <w:lang w:eastAsia="zh-CN"/>
        </w:rPr>
      </w:pPr>
      <w:r w:rsidRPr="00D30B7B">
        <w:rPr>
          <w:rFonts w:ascii="宋体" w:hAnsi="宋体"/>
          <w:sz w:val="24"/>
          <w:szCs w:val="24"/>
          <w:lang w:eastAsia="zh-CN"/>
        </w:rPr>
        <w:t>在解决单面反射镜全视场、全瞳条件下的复振幅优化问题后，下一层级的难点是</w:t>
      </w:r>
      <w:r w:rsidRPr="00D30B7B">
        <w:rPr>
          <w:rFonts w:ascii="宋体" w:hAnsi="宋体"/>
          <w:b/>
          <w:bCs/>
          <w:sz w:val="24"/>
          <w:szCs w:val="24"/>
          <w:lang w:eastAsia="zh-CN"/>
        </w:rPr>
        <w:t>多面反射镜之间的系统匹配</w:t>
      </w:r>
      <w:r w:rsidRPr="00D30B7B">
        <w:rPr>
          <w:rFonts w:ascii="宋体" w:hAnsi="宋体"/>
          <w:sz w:val="24"/>
          <w:szCs w:val="24"/>
          <w:lang w:eastAsia="zh-CN"/>
        </w:rPr>
        <w:t>。EUV 投影物镜通常由多面反射镜组成，各镜面的反射率以乘积形式共同决定系统通量，反射相位和偏振效应则沿光路累积。因此，各反射镜分别达到单镜最优，并不意味着组合后能够达到系统最优。不同镜面之间的反射谱中心、带宽、相位响应及偏振特性若存在失配，可能造成系统通量下降、瞳面照度不均匀和波前误差累积。该问题具有明显的系统耦合性，需要根据各镜面的入射角分布和光线权重，对全部镜面的膜层进行联合优化，并通过跨镜配对、批次一致性控制和系统级验收保证整机性能</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_Ref241436206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sidRP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[3]</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_Ref241436270 \r \h </w:instrText>
      </w:r>
      <w:r w:rsidR="009422E5" w:rsidRPr="009422E5">
        <w:rPr>
          <w:rFonts w:ascii="宋体" w:hAnsi="宋体" w:hint="eastAsia"/>
          <w:sz w:val="24"/>
          <w:szCs w:val="24"/>
          <w:vertAlign w:val="superscript"/>
          <w:lang w:eastAsia="zh-CN"/>
        </w:rPr>
      </w:r>
      <w:r w:rsidR="009422E5" w:rsidRP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[4]</w:t>
      </w:r>
      <w:r w:rsidR="009422E5" w:rsidRPr="009422E5">
        <w:rPr>
          <w:rFonts w:ascii="宋体" w:hAnsi="宋体" w:hint="eastAsia"/>
          <w:sz w:val="24"/>
          <w:szCs w:val="24"/>
          <w:vertAlign w:val="superscript"/>
          <w:lang w:eastAsia="zh-CN"/>
        </w:rPr>
        <w:fldChar w:fldCharType="end"/>
      </w:r>
      <w:r w:rsidR="009422E5">
        <w:rPr>
          <w:rFonts w:ascii="宋体" w:hAnsi="宋体" w:hint="eastAsia"/>
          <w:sz w:val="24"/>
          <w:szCs w:val="24"/>
          <w:lang w:eastAsia="zh-CN"/>
        </w:rPr>
        <w:t>。</w:t>
      </w:r>
    </w:p>
    <w:p w14:paraId="18DD073F" w14:textId="7F943B38" w:rsidR="00D30B7B" w:rsidRPr="00D30B7B" w:rsidRDefault="00D30B7B" w:rsidP="00D30B7B">
      <w:pPr>
        <w:pStyle w:val="14"/>
        <w:ind w:firstLine="420"/>
        <w:rPr>
          <w:rFonts w:ascii="宋体" w:hAnsi="宋体" w:hint="eastAsia"/>
          <w:sz w:val="24"/>
          <w:szCs w:val="24"/>
          <w:lang w:eastAsia="zh-CN"/>
        </w:rPr>
      </w:pPr>
      <w:r w:rsidRPr="00D30B7B">
        <w:rPr>
          <w:rFonts w:ascii="宋体" w:hAnsi="宋体"/>
          <w:sz w:val="24"/>
          <w:szCs w:val="24"/>
          <w:lang w:eastAsia="zh-CN"/>
        </w:rPr>
        <w:t>在确定多镜系统的膜层配置后，设计结果能否准确实现取决于材料光学常数和界面模型的可信度。膜系计算通常需要预先给定材料的复折射率、密度、界面粗糙度以及互扩散层参数，</w:t>
      </w:r>
      <w:r w:rsidRPr="00D30B7B">
        <w:rPr>
          <w:rFonts w:ascii="宋体" w:hAnsi="宋体"/>
          <w:b/>
          <w:bCs/>
          <w:sz w:val="24"/>
          <w:szCs w:val="24"/>
          <w:lang w:eastAsia="zh-CN"/>
        </w:rPr>
        <w:t>但实际纳米薄膜的材料状态可能随沉积设备、工艺条件和膜层厚度发生变化。Mo-on-Si与Si-on-Mo界面还可能形成不同厚度和组成的非对称互扩散层，</w:t>
      </w:r>
      <w:r w:rsidRPr="00D30B7B">
        <w:rPr>
          <w:rFonts w:ascii="宋体" w:hAnsi="宋体"/>
          <w:b/>
          <w:bCs/>
          <w:sz w:val="24"/>
          <w:szCs w:val="24"/>
          <w:lang w:eastAsia="zh-CN"/>
        </w:rPr>
        <w:lastRenderedPageBreak/>
        <w:t>使真实膜堆偏离理想的突变界面模型。</w:t>
      </w:r>
      <w:r w:rsidRPr="00D30B7B">
        <w:rPr>
          <w:rFonts w:ascii="宋体" w:hAnsi="宋体"/>
          <w:sz w:val="24"/>
          <w:szCs w:val="24"/>
          <w:lang w:eastAsia="zh-CN"/>
        </w:rPr>
        <w:t>模型参数的微小偏差可能引起反射峰位置、峰值反射率、带宽和反射相位的整体漂移。因此，该难点的核心是缩小理论模型与实际膜层之间的差异，需要利用见证片及X射线反射率、电子显微镜、光电子能谱和EUV反射测试对模型进行标定，并将参数不确定性纳入鲁棒优化和公差分析</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_Ref241436206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[3]</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_Ref241436270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[4]</w:t>
      </w:r>
      <w:r w:rsidR="009422E5" w:rsidRPr="009422E5">
        <w:rPr>
          <w:rFonts w:ascii="宋体" w:hAnsi="宋体" w:hint="eastAsia"/>
          <w:sz w:val="24"/>
          <w:szCs w:val="24"/>
          <w:vertAlign w:val="superscript"/>
          <w:lang w:eastAsia="zh-CN"/>
        </w:rPr>
        <w:fldChar w:fldCharType="end"/>
      </w:r>
      <w:r w:rsidRPr="00D30B7B">
        <w:rPr>
          <w:rFonts w:ascii="宋体" w:hAnsi="宋体"/>
          <w:sz w:val="24"/>
          <w:szCs w:val="24"/>
          <w:lang w:eastAsia="zh-CN"/>
        </w:rPr>
        <w:t>。</w:t>
      </w:r>
    </w:p>
    <w:p w14:paraId="726BCB88" w14:textId="2031C7A3" w:rsidR="00D30B7B" w:rsidRPr="00D30B7B" w:rsidRDefault="00D30B7B" w:rsidP="00D30B7B">
      <w:pPr>
        <w:pStyle w:val="14"/>
        <w:ind w:firstLine="420"/>
        <w:rPr>
          <w:rFonts w:ascii="宋体" w:hAnsi="宋体" w:hint="eastAsia"/>
          <w:sz w:val="24"/>
          <w:szCs w:val="24"/>
          <w:lang w:eastAsia="zh-CN"/>
        </w:rPr>
      </w:pPr>
      <w:r w:rsidRPr="00D30B7B">
        <w:rPr>
          <w:rFonts w:ascii="宋体" w:hAnsi="宋体"/>
          <w:sz w:val="24"/>
          <w:szCs w:val="24"/>
          <w:lang w:eastAsia="zh-CN"/>
        </w:rPr>
        <w:t>在入射角分布、跨镜匹配和材料模型基本确定后，相对更容易处理的难点是</w:t>
      </w:r>
      <w:r w:rsidRPr="00D30B7B">
        <w:rPr>
          <w:rFonts w:ascii="宋体" w:hAnsi="宋体"/>
          <w:b/>
          <w:bCs/>
          <w:sz w:val="24"/>
          <w:szCs w:val="24"/>
          <w:lang w:eastAsia="zh-CN"/>
        </w:rPr>
        <w:t>峰值反射率与有效带宽之间的权衡</w:t>
      </w:r>
      <w:r w:rsidRPr="00D30B7B">
        <w:rPr>
          <w:rFonts w:ascii="宋体" w:hAnsi="宋体"/>
          <w:sz w:val="24"/>
          <w:szCs w:val="24"/>
          <w:lang w:eastAsia="zh-CN"/>
        </w:rPr>
        <w:t>。严格周期多层膜能够使各界面反射光在设计波长和入射角附近高度相干叠加，从而获得较高的峰值反射率，但同时会表现出较窄的光谱带宽和角度接受范围。单纯提高中心条件下的峰值反射率，可能导致偏离设计波长或入射角的光线反射率迅速下降，因而</w:t>
      </w:r>
      <w:r w:rsidRPr="00C41BCA">
        <w:rPr>
          <w:rFonts w:ascii="宋体" w:hAnsi="宋体"/>
          <w:b/>
          <w:bCs/>
          <w:sz w:val="24"/>
          <w:szCs w:val="24"/>
          <w:lang w:eastAsia="zh-CN"/>
        </w:rPr>
        <w:t>不一定提高实际系统的积分通量</w:t>
      </w:r>
      <w:r w:rsidRPr="00D30B7B">
        <w:rPr>
          <w:rFonts w:ascii="宋体" w:hAnsi="宋体"/>
          <w:sz w:val="24"/>
          <w:szCs w:val="24"/>
          <w:lang w:eastAsia="zh-CN"/>
        </w:rPr>
        <w:t>。通过采用非周期膜、深度渐变膜或横向渐变膜，可以拓宽光谱和角度响应，但通常需要牺牲部分峰值反射率。因此，该问题应以实际光源光谱和全视场AOI分布为依据，优化光源加权的系统积分通量，而不能仅以单镜峰值反射率作为评价指标</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_Ref241436255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[7]</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_Ref241436346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[8]</w:t>
      </w:r>
      <w:r w:rsidR="009422E5" w:rsidRPr="009422E5">
        <w:rPr>
          <w:rFonts w:ascii="宋体" w:hAnsi="宋体" w:hint="eastAsia"/>
          <w:sz w:val="24"/>
          <w:szCs w:val="24"/>
          <w:vertAlign w:val="superscript"/>
          <w:lang w:eastAsia="zh-CN"/>
        </w:rPr>
        <w:fldChar w:fldCharType="end"/>
      </w:r>
      <w:r w:rsidRPr="00D30B7B">
        <w:rPr>
          <w:rFonts w:ascii="宋体" w:hAnsi="宋体"/>
          <w:sz w:val="24"/>
          <w:szCs w:val="24"/>
          <w:lang w:eastAsia="zh-CN"/>
        </w:rPr>
        <w:t>。</w:t>
      </w:r>
    </w:p>
    <w:p w14:paraId="2C6C23D5" w14:textId="77777777" w:rsidR="00FF0B03" w:rsidRPr="000C465D" w:rsidRDefault="000C465D" w:rsidP="000C465D">
      <w:pPr>
        <w:pStyle w:val="aff9"/>
        <w:rPr>
          <w:rFonts w:ascii="宋体" w:hAnsi="宋体" w:hint="eastAsia"/>
          <w:b/>
          <w:sz w:val="32"/>
          <w:szCs w:val="32"/>
          <w:lang w:eastAsia="zh-CN"/>
        </w:rPr>
      </w:pPr>
      <w:r>
        <w:rPr>
          <w:rFonts w:ascii="宋体" w:hAnsi="宋体" w:hint="eastAsia"/>
          <w:b/>
          <w:sz w:val="32"/>
          <w:szCs w:val="32"/>
          <w:lang w:eastAsia="zh-CN"/>
        </w:rPr>
        <w:t>五、</w:t>
      </w:r>
      <w:r w:rsidRPr="000C465D">
        <w:rPr>
          <w:rFonts w:ascii="宋体" w:hAnsi="宋体"/>
          <w:b/>
          <w:sz w:val="32"/>
          <w:szCs w:val="32"/>
          <w:lang w:eastAsia="zh-CN"/>
        </w:rPr>
        <w:t>High NA投影物镜中的问题升级</w:t>
      </w:r>
    </w:p>
    <w:p w14:paraId="4BA76CEF" w14:textId="25DF8FAA" w:rsidR="00FF0B03" w:rsidRPr="00C41BCA" w:rsidRDefault="00000000">
      <w:pPr>
        <w:pStyle w:val="14"/>
        <w:ind w:firstLine="420"/>
        <w:rPr>
          <w:rFonts w:ascii="宋体" w:hAnsi="宋体" w:hint="eastAsia"/>
          <w:sz w:val="24"/>
          <w:szCs w:val="24"/>
          <w:lang w:eastAsia="zh-CN"/>
        </w:rPr>
      </w:pPr>
      <w:r w:rsidRPr="00C41BCA">
        <w:rPr>
          <w:rFonts w:ascii="宋体" w:hAnsi="宋体"/>
          <w:sz w:val="24"/>
          <w:szCs w:val="24"/>
          <w:lang w:eastAsia="zh-CN"/>
        </w:rPr>
        <w:t>当数值孔径提高到0.55附近，膜层设计面对的主要变化不是单一最大角度上升，而是镜面上入射角分布的范围、非对称性及跨视场差异同时增大。较大的斜入射使s、p反射的幅值与相位差更明显，横向渐变膜的局部单一周期也更难覆盖同一点的角度集合。大角度多层膜分析和偏振光线追迹均表明，高阶反射相位与偏振效应必须进入成像预算</w:t>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sz w:val="24"/>
          <w:szCs w:val="24"/>
          <w:vertAlign w:val="superscript"/>
          <w:lang w:eastAsia="zh-CN"/>
        </w:rPr>
        <w:instrText>REF _Ref241436357 \r \h</w:instrText>
      </w:r>
      <w:r w:rsidR="009422E5" w:rsidRPr="009422E5">
        <w:rPr>
          <w:rFonts w:ascii="宋体" w:hAnsi="宋体" w:hint="eastAsia"/>
          <w:sz w:val="24"/>
          <w:szCs w:val="24"/>
          <w:vertAlign w:val="superscript"/>
          <w:lang w:eastAsia="zh-CN"/>
        </w:rPr>
        <w:instrText xml:space="preserve">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[13]</w:t>
      </w:r>
      <w:r w:rsidR="009422E5" w:rsidRPr="009422E5">
        <w:rPr>
          <w:rFonts w:ascii="宋体" w:hAnsi="宋体" w:hint="eastAsia"/>
          <w:sz w:val="24"/>
          <w:szCs w:val="24"/>
          <w:vertAlign w:val="superscript"/>
          <w:lang w:eastAsia="zh-CN"/>
        </w:rPr>
        <w:fldChar w:fldCharType="end"/>
      </w:r>
      <w:r w:rsidR="009422E5" w:rsidRPr="009422E5">
        <w:rPr>
          <w:rFonts w:ascii="宋体" w:hAnsi="宋体" w:hint="eastAsia"/>
          <w:sz w:val="24"/>
          <w:szCs w:val="24"/>
          <w:vertAlign w:val="superscript"/>
          <w:lang w:eastAsia="zh-CN"/>
        </w:rPr>
        <w:fldChar w:fldCharType="begin"/>
      </w:r>
      <w:r w:rsidR="009422E5" w:rsidRPr="009422E5">
        <w:rPr>
          <w:rFonts w:ascii="宋体" w:hAnsi="宋体" w:hint="eastAsia"/>
          <w:sz w:val="24"/>
          <w:szCs w:val="24"/>
          <w:vertAlign w:val="superscript"/>
          <w:lang w:eastAsia="zh-CN"/>
        </w:rPr>
        <w:instrText xml:space="preserve"> REF _Ref241436361 \r \h </w:instrText>
      </w:r>
      <w:r w:rsidR="009422E5" w:rsidRPr="009422E5">
        <w:rPr>
          <w:rFonts w:ascii="宋体" w:hAnsi="宋体" w:hint="eastAsia"/>
          <w:sz w:val="24"/>
          <w:szCs w:val="24"/>
          <w:vertAlign w:val="superscript"/>
          <w:lang w:eastAsia="zh-CN"/>
        </w:rPr>
      </w:r>
      <w:r w:rsidR="009422E5">
        <w:rPr>
          <w:rFonts w:ascii="宋体" w:hAnsi="宋体" w:hint="eastAsia"/>
          <w:sz w:val="24"/>
          <w:szCs w:val="24"/>
          <w:vertAlign w:val="superscript"/>
          <w:lang w:eastAsia="zh-CN"/>
        </w:rPr>
        <w:instrText xml:space="preserve"> \* MERGEFORMAT </w:instrText>
      </w:r>
      <w:r w:rsidR="009422E5" w:rsidRPr="009422E5">
        <w:rPr>
          <w:rFonts w:ascii="宋体" w:hAnsi="宋体" w:hint="eastAsia"/>
          <w:sz w:val="24"/>
          <w:szCs w:val="24"/>
          <w:vertAlign w:val="superscript"/>
          <w:lang w:eastAsia="zh-CN"/>
        </w:rPr>
        <w:fldChar w:fldCharType="separate"/>
      </w:r>
      <w:r w:rsidR="009422E5" w:rsidRPr="009422E5">
        <w:rPr>
          <w:rFonts w:ascii="宋体" w:hAnsi="宋体" w:hint="eastAsia"/>
          <w:sz w:val="24"/>
          <w:szCs w:val="24"/>
          <w:vertAlign w:val="superscript"/>
          <w:lang w:eastAsia="zh-CN"/>
        </w:rPr>
        <w:t>[14]</w:t>
      </w:r>
      <w:r w:rsidR="009422E5" w:rsidRPr="009422E5">
        <w:rPr>
          <w:rFonts w:ascii="宋体" w:hAnsi="宋体" w:hint="eastAsia"/>
          <w:sz w:val="24"/>
          <w:szCs w:val="24"/>
          <w:vertAlign w:val="superscript"/>
          <w:lang w:eastAsia="zh-CN"/>
        </w:rPr>
        <w:fldChar w:fldCharType="end"/>
      </w:r>
      <w:r w:rsidRPr="00C41BCA">
        <w:rPr>
          <w:rFonts w:ascii="宋体" w:hAnsi="宋体"/>
          <w:sz w:val="24"/>
          <w:szCs w:val="24"/>
          <w:lang w:eastAsia="zh-CN"/>
        </w:rPr>
        <w:t>。</w:t>
      </w:r>
    </w:p>
    <w:p w14:paraId="710ADC65" w14:textId="1F3C75D9" w:rsidR="00FF0B03" w:rsidRPr="00C41BCA" w:rsidRDefault="00000000" w:rsidP="00B967B1">
      <w:pPr>
        <w:pStyle w:val="14"/>
        <w:ind w:firstLine="420"/>
        <w:rPr>
          <w:rFonts w:ascii="宋体" w:hAnsi="宋体" w:hint="eastAsia"/>
          <w:sz w:val="24"/>
          <w:szCs w:val="24"/>
          <w:lang w:eastAsia="zh-CN"/>
        </w:rPr>
      </w:pPr>
      <w:r w:rsidRPr="00C41BCA">
        <w:rPr>
          <w:rFonts w:ascii="宋体" w:hAnsi="宋体"/>
          <w:sz w:val="24"/>
          <w:szCs w:val="24"/>
          <w:lang w:eastAsia="zh-CN"/>
        </w:rPr>
        <w:t>公开的0.55 NA渐变膜研究已把高效率膜厚分布与投影物镜角度条件联系起来，但会议论文和公开算例不能替代真实量产镜面的AOI地图、材料数据和工艺能力。对High-NA系统，更稳妥的路线是先由完整光线追迹生成每面镜的联合AOI分布，再比较均匀周期、横向渐变和横向—纵向联合结构的系统收益，最后以可制造层厚、相位计量能力和寿命约束筛选方案。</w:t>
      </w:r>
    </w:p>
    <w:p w14:paraId="48B60B26" w14:textId="77777777" w:rsidR="00FF0B03" w:rsidRPr="000C465D" w:rsidRDefault="00000000" w:rsidP="000C465D">
      <w:pPr>
        <w:pStyle w:val="aff9"/>
        <w:rPr>
          <w:rFonts w:ascii="宋体" w:hAnsi="宋体" w:hint="eastAsia"/>
          <w:b/>
          <w:sz w:val="32"/>
          <w:szCs w:val="32"/>
          <w:lang w:eastAsia="zh-CN"/>
        </w:rPr>
      </w:pPr>
      <w:r w:rsidRPr="000C465D">
        <w:rPr>
          <w:rFonts w:ascii="宋体" w:hAnsi="宋体"/>
          <w:b/>
          <w:sz w:val="32"/>
          <w:szCs w:val="32"/>
          <w:lang w:eastAsia="zh-CN"/>
        </w:rPr>
        <w:t>参考文献</w:t>
      </w:r>
    </w:p>
    <w:p w14:paraId="0AD67F68" w14:textId="533D478A" w:rsidR="00FF0B03" w:rsidRDefault="00FF0B03" w:rsidP="00D0050B">
      <w:pPr>
        <w:pStyle w:val="affb"/>
        <w:numPr>
          <w:ilvl w:val="0"/>
          <w:numId w:val="17"/>
        </w:numPr>
        <w:wordWrap w:val="0"/>
        <w:spacing w:after="60"/>
      </w:pPr>
      <w:bookmarkStart w:id="0" w:name="_Ref241436192"/>
      <w:r>
        <w:rPr>
          <w:sz w:val="21"/>
        </w:rPr>
        <w:t>EJIMA T. Interface formation and optical design of EUV reflective multilayer mirrors[J]. Japanese Journal of Applied Physics, 2026, 65(5): 050802. DOI: 10.35848/1347-4065/ae4686.</w:t>
      </w:r>
      <w:bookmarkEnd w:id="0"/>
    </w:p>
    <w:p w14:paraId="61E28103" w14:textId="70EE6CF8" w:rsidR="00895AC2" w:rsidRDefault="00000000" w:rsidP="00D0050B">
      <w:pPr>
        <w:pStyle w:val="ae"/>
        <w:numPr>
          <w:ilvl w:val="0"/>
          <w:numId w:val="17"/>
        </w:numPr>
        <w:wordWrap w:val="0"/>
        <w:spacing w:after="60"/>
      </w:pPr>
      <w:bookmarkStart w:id="1" w:name="_Ref241436193"/>
      <w:r w:rsidRPr="00D0050B">
        <w:rPr>
          <w:rFonts w:ascii="Times New Roman" w:eastAsia="宋体" w:hAnsi="Times New Roman"/>
          <w:sz w:val="21"/>
        </w:rPr>
        <w:t>SPILLER E, BAKER S L, MIRKARIMI P B, et al. High-performance Mo-Si multilayer coatings for extreme-ultraviolet lithography by ion-beam deposition[J]. Applied Optics, 2003, 42(19): 4049-4058. DOI: 10.1364/AO.42.004049.</w:t>
      </w:r>
      <w:bookmarkEnd w:id="1"/>
    </w:p>
    <w:p w14:paraId="497C2DD3" w14:textId="05D75F42" w:rsidR="00895AC2" w:rsidRDefault="00000000" w:rsidP="00D0050B">
      <w:pPr>
        <w:pStyle w:val="ae"/>
        <w:numPr>
          <w:ilvl w:val="0"/>
          <w:numId w:val="17"/>
        </w:numPr>
        <w:wordWrap w:val="0"/>
        <w:spacing w:after="60"/>
      </w:pPr>
      <w:bookmarkStart w:id="2" w:name="_Ref241436206"/>
      <w:r w:rsidRPr="00D0050B">
        <w:rPr>
          <w:rFonts w:ascii="Times New Roman" w:eastAsia="宋体" w:hAnsi="Times New Roman"/>
          <w:sz w:val="21"/>
        </w:rPr>
        <w:t>DUDDLES N J. Effects of Mo/Si multilayer coatings on the imaging characteristics of an extreme-ultraviolet lithography system[J]. Applied Optics, 1998, 37(16): 3533-3538. DOI: 10.1364/AO.37.003533.</w:t>
      </w:r>
      <w:bookmarkEnd w:id="2"/>
    </w:p>
    <w:p w14:paraId="3BF6DA69" w14:textId="326E0F84" w:rsidR="00895AC2" w:rsidRDefault="00000000" w:rsidP="00D0050B">
      <w:pPr>
        <w:pStyle w:val="ae"/>
        <w:numPr>
          <w:ilvl w:val="0"/>
          <w:numId w:val="17"/>
        </w:numPr>
        <w:wordWrap w:val="0"/>
        <w:spacing w:after="60"/>
      </w:pPr>
      <w:bookmarkStart w:id="3" w:name="_Ref241436270"/>
      <w:r w:rsidRPr="00D0050B">
        <w:rPr>
          <w:rFonts w:ascii="Times New Roman" w:eastAsia="宋体" w:hAnsi="Times New Roman"/>
          <w:sz w:val="21"/>
        </w:rPr>
        <w:lastRenderedPageBreak/>
        <w:t>MONTCALM C, GRABNER R F, HUDYMA R M, et al. Atomic-precision multilayer coating of the first set of optics for an extreme-ultraviolet lithography prototype system[J]. Applied Optics, 2002, 41(16): 3262-3269. DOI: 10.1364/AO.41.003262.</w:t>
      </w:r>
      <w:bookmarkEnd w:id="3"/>
    </w:p>
    <w:p w14:paraId="0825B10F" w14:textId="4355F8B2" w:rsidR="00895AC2" w:rsidRDefault="00000000" w:rsidP="00D0050B">
      <w:pPr>
        <w:pStyle w:val="ae"/>
        <w:numPr>
          <w:ilvl w:val="0"/>
          <w:numId w:val="17"/>
        </w:numPr>
        <w:wordWrap w:val="0"/>
        <w:spacing w:after="60"/>
      </w:pPr>
      <w:r w:rsidRPr="00D0050B">
        <w:rPr>
          <w:rFonts w:ascii="Times New Roman" w:eastAsia="宋体" w:hAnsi="Times New Roman"/>
          <w:sz w:val="21"/>
        </w:rPr>
        <w:t>SOUFLI R, HUDYMA R M, SPILLER E, et al. Sub-diffraction-limited multilayer coatings for the 0.3 numerical aperture micro-exposure tool for extreme ultraviolet lithography[J]. Applied Optics, 2007, 46(18): 3736-3746. DOI: 10.1364/AO.46.003736.</w:t>
      </w:r>
    </w:p>
    <w:p w14:paraId="290647CB" w14:textId="543291EA" w:rsidR="00895AC2" w:rsidRDefault="00000000" w:rsidP="00D0050B">
      <w:pPr>
        <w:pStyle w:val="ae"/>
        <w:numPr>
          <w:ilvl w:val="0"/>
          <w:numId w:val="17"/>
        </w:numPr>
        <w:wordWrap w:val="0"/>
        <w:spacing w:after="60"/>
      </w:pPr>
      <w:bookmarkStart w:id="4" w:name="_Ref241436265"/>
      <w:r w:rsidRPr="00D0050B">
        <w:rPr>
          <w:rFonts w:ascii="Times New Roman" w:eastAsia="宋体" w:hAnsi="Times New Roman"/>
          <w:sz w:val="21"/>
        </w:rPr>
        <w:t>YU B, JIN C, YAO S, et al. Control of lateral thickness gradients of Mo-Si multilayer on curved substrates using genetic algorithm[J]. Optics Letters, 2015, 40(17): 3958-3961. DOI: 10.1364/OL.40.003958.</w:t>
      </w:r>
      <w:bookmarkEnd w:id="4"/>
    </w:p>
    <w:p w14:paraId="70FD0B30" w14:textId="3314A243" w:rsidR="00895AC2" w:rsidRDefault="00000000" w:rsidP="00D0050B">
      <w:pPr>
        <w:pStyle w:val="ae"/>
        <w:numPr>
          <w:ilvl w:val="0"/>
          <w:numId w:val="17"/>
        </w:numPr>
        <w:wordWrap w:val="0"/>
        <w:spacing w:after="60"/>
      </w:pPr>
      <w:bookmarkStart w:id="5" w:name="_Ref241436255"/>
      <w:r w:rsidRPr="00D0050B">
        <w:rPr>
          <w:rFonts w:ascii="Times New Roman" w:eastAsia="宋体" w:hAnsi="Times New Roman"/>
          <w:sz w:val="21"/>
        </w:rPr>
        <w:t xml:space="preserve">YAKSHIN A E, KOZHEVNIKOV I V, ZOETHOUT E, et al. </w:t>
      </w:r>
      <w:bookmarkStart w:id="6" w:name="OLE_LINK1"/>
      <w:r w:rsidRPr="00D0050B">
        <w:rPr>
          <w:rFonts w:ascii="Times New Roman" w:eastAsia="宋体" w:hAnsi="Times New Roman"/>
          <w:sz w:val="21"/>
        </w:rPr>
        <w:t>Properties of broadband depth-graded multilayer mirrors for EUV optical systems</w:t>
      </w:r>
      <w:bookmarkEnd w:id="6"/>
      <w:r w:rsidRPr="00D0050B">
        <w:rPr>
          <w:rFonts w:ascii="Times New Roman" w:eastAsia="宋体" w:hAnsi="Times New Roman"/>
          <w:sz w:val="21"/>
        </w:rPr>
        <w:t>[J]. Optics Express, 2010, 18(7): 6957-6971. DOI: 10.1364/OE.18.006957.</w:t>
      </w:r>
      <w:bookmarkEnd w:id="5"/>
    </w:p>
    <w:p w14:paraId="36A3257A" w14:textId="39A1BF87" w:rsidR="00895AC2" w:rsidRDefault="00000000" w:rsidP="00D0050B">
      <w:pPr>
        <w:pStyle w:val="ae"/>
        <w:numPr>
          <w:ilvl w:val="0"/>
          <w:numId w:val="17"/>
        </w:numPr>
        <w:wordWrap w:val="0"/>
        <w:spacing w:after="60"/>
      </w:pPr>
      <w:bookmarkStart w:id="7" w:name="_Ref241436346"/>
      <w:r w:rsidRPr="00D0050B">
        <w:rPr>
          <w:rFonts w:ascii="Times New Roman" w:eastAsia="宋体" w:hAnsi="Times New Roman"/>
          <w:sz w:val="21"/>
        </w:rPr>
        <w:t>SUMAN M, PELIZZO M G, NICOLOSI P, et al. Aperiodic multilayers with enhanced reflectivity for extreme ultraviolet lithography[J]. Applied Optics, 2008, 47(16): 2906-2914. DOI: 10.1364/AO.47.002906.</w:t>
      </w:r>
      <w:bookmarkEnd w:id="7"/>
    </w:p>
    <w:p w14:paraId="2BE188AC" w14:textId="0D3D7A0F" w:rsidR="00895AC2" w:rsidRDefault="00000000" w:rsidP="00D0050B">
      <w:pPr>
        <w:pStyle w:val="ae"/>
        <w:numPr>
          <w:ilvl w:val="0"/>
          <w:numId w:val="17"/>
        </w:numPr>
        <w:wordWrap w:val="0"/>
        <w:spacing w:after="60"/>
      </w:pPr>
      <w:bookmarkStart w:id="8" w:name="_Ref241436292"/>
      <w:r w:rsidRPr="00D0050B">
        <w:rPr>
          <w:rFonts w:ascii="Times New Roman" w:eastAsia="宋体" w:hAnsi="Times New Roman"/>
          <w:sz w:val="21"/>
        </w:rPr>
        <w:t>KUANG S Q, WANG J B, YANG H G, et al. Design and fabrication of robust broadband extreme ultraviolet multilayers[J]. AIP Advances, 2019, 9(4): 045027. DOI: 10.1063/1.5057714.</w:t>
      </w:r>
      <w:bookmarkEnd w:id="8"/>
    </w:p>
    <w:p w14:paraId="0644EFAD" w14:textId="0A804707" w:rsidR="00895AC2" w:rsidRDefault="00000000" w:rsidP="00D0050B">
      <w:pPr>
        <w:pStyle w:val="ae"/>
        <w:numPr>
          <w:ilvl w:val="0"/>
          <w:numId w:val="17"/>
        </w:numPr>
        <w:wordWrap w:val="0"/>
        <w:spacing w:after="60"/>
      </w:pPr>
      <w:bookmarkStart w:id="9" w:name="_Ref241436258"/>
      <w:r w:rsidRPr="00D0050B">
        <w:rPr>
          <w:rFonts w:ascii="Times New Roman" w:eastAsia="宋体" w:hAnsi="Times New Roman"/>
          <w:sz w:val="21"/>
        </w:rPr>
        <w:t>HAQUE S M, UJI S, TOYODA M. Designing multilayer mirror structures to achieve high pupil transmittance uniformity in EUV lithography[J]. Optical Engineering, 2026, 65(4): 045103. DOI: 10.1117/1.OE.65.4.045103.</w:t>
      </w:r>
      <w:bookmarkEnd w:id="9"/>
    </w:p>
    <w:p w14:paraId="1DAB7460" w14:textId="76318625" w:rsidR="00895AC2" w:rsidRDefault="00000000" w:rsidP="00D0050B">
      <w:pPr>
        <w:pStyle w:val="ae"/>
        <w:numPr>
          <w:ilvl w:val="0"/>
          <w:numId w:val="17"/>
        </w:numPr>
        <w:wordWrap w:val="0"/>
        <w:spacing w:after="60"/>
      </w:pPr>
      <w:r w:rsidRPr="00D0050B">
        <w:rPr>
          <w:rFonts w:ascii="Times New Roman" w:eastAsia="宋体" w:hAnsi="Times New Roman"/>
          <w:sz w:val="21"/>
        </w:rPr>
        <w:t>SOUFLI R, GULLIKSON E M. Reflectance measurements on clean surfaces for the determination of optical constants of silicon in the extreme ultraviolet-soft-x-ray region[J]. Applied Optics, 1997, 36(22): 5499-5507. DOI: 10.1364/AO.36.005499.</w:t>
      </w:r>
    </w:p>
    <w:p w14:paraId="559C4703" w14:textId="64F438E4" w:rsidR="00895AC2" w:rsidRDefault="00000000" w:rsidP="00D0050B">
      <w:pPr>
        <w:pStyle w:val="ae"/>
        <w:numPr>
          <w:ilvl w:val="0"/>
          <w:numId w:val="17"/>
        </w:numPr>
        <w:wordWrap w:val="0"/>
        <w:spacing w:after="60"/>
      </w:pPr>
      <w:r w:rsidRPr="00D0050B">
        <w:rPr>
          <w:rFonts w:ascii="Times New Roman" w:eastAsia="宋体" w:hAnsi="Times New Roman"/>
          <w:sz w:val="21"/>
        </w:rPr>
        <w:t>NEDELCU I, VAN DE KRUIJS R W E, YAKSHIN A E, et al. Microstructure of Mo/Si multilayers with B4C diffusion barrier layers[J]. Applied Optics, 2009, 48(2): 155-160. DOI: 10.1364/AO.48.000155.</w:t>
      </w:r>
    </w:p>
    <w:p w14:paraId="675D2A82" w14:textId="083781FC" w:rsidR="00895AC2" w:rsidRDefault="00000000" w:rsidP="00D0050B">
      <w:pPr>
        <w:pStyle w:val="ae"/>
        <w:numPr>
          <w:ilvl w:val="0"/>
          <w:numId w:val="17"/>
        </w:numPr>
        <w:wordWrap w:val="0"/>
        <w:spacing w:after="60"/>
      </w:pPr>
      <w:bookmarkStart w:id="10" w:name="_Ref241436357"/>
      <w:r w:rsidRPr="00D0050B">
        <w:rPr>
          <w:rFonts w:ascii="Times New Roman" w:eastAsia="宋体" w:hAnsi="Times New Roman"/>
          <w:sz w:val="21"/>
        </w:rPr>
        <w:t>SMITH B W. Optical considerations of EUVL wavelength, NA, and multilayers at large angles[C]//Proceedings of SPIE. 2025, 13424: 1342402. DOI: 10.1117/12.3052669.</w:t>
      </w:r>
      <w:bookmarkEnd w:id="10"/>
    </w:p>
    <w:p w14:paraId="7C34B70E" w14:textId="54825D63" w:rsidR="00895AC2" w:rsidRPr="00D0050B" w:rsidRDefault="00000000" w:rsidP="00D0050B">
      <w:pPr>
        <w:pStyle w:val="ae"/>
        <w:numPr>
          <w:ilvl w:val="0"/>
          <w:numId w:val="17"/>
        </w:numPr>
        <w:wordWrap w:val="0"/>
        <w:spacing w:after="60"/>
        <w:rPr>
          <w:rFonts w:ascii="Times New Roman" w:eastAsia="宋体" w:hAnsi="Times New Roman"/>
          <w:sz w:val="21"/>
          <w:lang w:eastAsia="zh-CN"/>
        </w:rPr>
      </w:pPr>
      <w:bookmarkStart w:id="11" w:name="_Ref241436361"/>
      <w:r w:rsidRPr="00D0050B">
        <w:rPr>
          <w:rFonts w:ascii="Times New Roman" w:eastAsia="宋体" w:hAnsi="Times New Roman"/>
          <w:sz w:val="21"/>
        </w:rPr>
        <w:t>VAN SETTEN E, BOTTIGLIERI G, MCNAMARA J, et al. High NA EUV lithography: Next step in EUV imaging[C]//Proceedings of SPIE. 2019, 10957: 1095709. DOI: 10.1117/12.2514952.</w:t>
      </w:r>
      <w:bookmarkEnd w:id="11"/>
    </w:p>
    <w:p w14:paraId="633CDFC1" w14:textId="77777777" w:rsidR="00D0050B" w:rsidRDefault="00D0050B" w:rsidP="00D0050B">
      <w:pPr>
        <w:spacing w:after="60"/>
        <w:rPr>
          <w:rFonts w:hint="eastAsia"/>
          <w:lang w:eastAsia="zh-CN"/>
        </w:rPr>
      </w:pPr>
    </w:p>
    <w:sectPr w:rsidR="00D0050B" w:rsidSect="00034616">
      <w:footerReference w:type="default" r:id="rId8"/>
      <w:pgSz w:w="11906" w:h="16838"/>
      <w:pgMar w:top="1389" w:right="1389" w:bottom="1332" w:left="1502" w:header="68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5AF1" w14:textId="77777777" w:rsidR="00CA52EB" w:rsidRDefault="00CA52EB">
      <w:pPr>
        <w:spacing w:after="0" w:line="240" w:lineRule="auto"/>
      </w:pPr>
      <w:r>
        <w:separator/>
      </w:r>
    </w:p>
  </w:endnote>
  <w:endnote w:type="continuationSeparator" w:id="0">
    <w:p w14:paraId="1CC2765D" w14:textId="77777777" w:rsidR="00CA52EB" w:rsidRDefault="00CA5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830D" w14:textId="77777777" w:rsidR="00FF0B03" w:rsidRDefault="00000000">
    <w:pPr>
      <w:pStyle w:val="a7"/>
      <w:jc w:val="center"/>
    </w:pPr>
    <w:r>
      <w:rPr>
        <w:rFonts w:ascii="Times New Roman" w:eastAsia="宋体" w:hAnsi="Times New Roman"/>
        <w:sz w:val="18"/>
      </w:rPr>
      <w:fldChar w:fldCharType="begin"/>
    </w:r>
    <w:r>
      <w:rPr>
        <w:rFonts w:ascii="Times New Roman" w:eastAsia="宋体" w:hAnsi="Times New Roman"/>
        <w:sz w:val="18"/>
      </w:rPr>
      <w:instrText xml:space="preserve"> PAGE </w:instrText>
    </w:r>
    <w:r>
      <w:rPr>
        <w:rFonts w:ascii="Times New Roman" w:eastAsia="宋体" w:hAnsi="Times New Roman"/>
        <w:sz w:val="18"/>
      </w:rPr>
      <w:fldChar w:fldCharType="separate"/>
    </w:r>
    <w:r w:rsidR="00361925">
      <w:rPr>
        <w:rFonts w:ascii="Times New Roman" w:eastAsia="宋体" w:hAnsi="Times New Roman"/>
        <w:noProof/>
        <w:sz w:val="18"/>
      </w:rPr>
      <w:t>1</w:t>
    </w:r>
    <w:r>
      <w:rPr>
        <w:rFonts w:ascii="Times New Roman" w:eastAsia="宋体"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7D94" w14:textId="77777777" w:rsidR="00CA52EB" w:rsidRDefault="00CA52EB">
      <w:pPr>
        <w:spacing w:after="0" w:line="240" w:lineRule="auto"/>
      </w:pPr>
      <w:r>
        <w:separator/>
      </w:r>
    </w:p>
  </w:footnote>
  <w:footnote w:type="continuationSeparator" w:id="0">
    <w:p w14:paraId="3D455A9D" w14:textId="77777777" w:rsidR="00CA52EB" w:rsidRDefault="00CA5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4928DF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E157F3"/>
    <w:multiLevelType w:val="multilevel"/>
    <w:tmpl w:val="9490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223F6B"/>
    <w:multiLevelType w:val="multilevel"/>
    <w:tmpl w:val="77E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121F51"/>
    <w:multiLevelType w:val="multilevel"/>
    <w:tmpl w:val="4C2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B00E4E"/>
    <w:multiLevelType w:val="multilevel"/>
    <w:tmpl w:val="E77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6573D1"/>
    <w:multiLevelType w:val="multilevel"/>
    <w:tmpl w:val="CD60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D71FD4"/>
    <w:multiLevelType w:val="multilevel"/>
    <w:tmpl w:val="8E3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396120"/>
    <w:multiLevelType w:val="hybridMultilevel"/>
    <w:tmpl w:val="A2E0EEEE"/>
    <w:lvl w:ilvl="0" w:tplc="F11EA1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3901928">
    <w:abstractNumId w:val="8"/>
  </w:num>
  <w:num w:numId="2" w16cid:durableId="1640529793">
    <w:abstractNumId w:val="6"/>
  </w:num>
  <w:num w:numId="3" w16cid:durableId="1175456645">
    <w:abstractNumId w:val="5"/>
  </w:num>
  <w:num w:numId="4" w16cid:durableId="1790509585">
    <w:abstractNumId w:val="4"/>
  </w:num>
  <w:num w:numId="5" w16cid:durableId="960265142">
    <w:abstractNumId w:val="7"/>
  </w:num>
  <w:num w:numId="6" w16cid:durableId="1846897243">
    <w:abstractNumId w:val="3"/>
  </w:num>
  <w:num w:numId="7" w16cid:durableId="410275411">
    <w:abstractNumId w:val="2"/>
  </w:num>
  <w:num w:numId="8" w16cid:durableId="942148085">
    <w:abstractNumId w:val="1"/>
  </w:num>
  <w:num w:numId="9" w16cid:durableId="1114712570">
    <w:abstractNumId w:val="0"/>
  </w:num>
  <w:num w:numId="10" w16cid:durableId="51740272">
    <w:abstractNumId w:val="15"/>
  </w:num>
  <w:num w:numId="11" w16cid:durableId="532882791">
    <w:abstractNumId w:val="11"/>
  </w:num>
  <w:num w:numId="12" w16cid:durableId="417794194">
    <w:abstractNumId w:val="10"/>
  </w:num>
  <w:num w:numId="13" w16cid:durableId="1954903715">
    <w:abstractNumId w:val="14"/>
  </w:num>
  <w:num w:numId="14" w16cid:durableId="876896066">
    <w:abstractNumId w:val="12"/>
  </w:num>
  <w:num w:numId="15" w16cid:durableId="2136218975">
    <w:abstractNumId w:val="13"/>
  </w:num>
  <w:num w:numId="16" w16cid:durableId="1938828409">
    <w:abstractNumId w:val="9"/>
  </w:num>
  <w:num w:numId="17" w16cid:durableId="10721206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AB"/>
    <w:rsid w:val="000C465D"/>
    <w:rsid w:val="0015074B"/>
    <w:rsid w:val="0029639D"/>
    <w:rsid w:val="002A1341"/>
    <w:rsid w:val="00326F90"/>
    <w:rsid w:val="003431EE"/>
    <w:rsid w:val="00361925"/>
    <w:rsid w:val="004649EB"/>
    <w:rsid w:val="004E5EA3"/>
    <w:rsid w:val="004F30D1"/>
    <w:rsid w:val="0053686D"/>
    <w:rsid w:val="00571B43"/>
    <w:rsid w:val="005D7C49"/>
    <w:rsid w:val="007C2D48"/>
    <w:rsid w:val="00856289"/>
    <w:rsid w:val="00895AC2"/>
    <w:rsid w:val="009422E5"/>
    <w:rsid w:val="00AA1D8D"/>
    <w:rsid w:val="00B47730"/>
    <w:rsid w:val="00B967B1"/>
    <w:rsid w:val="00C41BCA"/>
    <w:rsid w:val="00C428AE"/>
    <w:rsid w:val="00CA52EB"/>
    <w:rsid w:val="00CB0664"/>
    <w:rsid w:val="00CC79D0"/>
    <w:rsid w:val="00CE011C"/>
    <w:rsid w:val="00D0050B"/>
    <w:rsid w:val="00D30B7B"/>
    <w:rsid w:val="00D57FFC"/>
    <w:rsid w:val="00DC1904"/>
    <w:rsid w:val="00FC693F"/>
    <w:rsid w:val="00FD650B"/>
    <w:rsid w:val="00FF0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B0F5C3"/>
  <w14:defaultImageDpi w14:val="300"/>
  <w15:docId w15:val="{6FF0174A-4A46-4014-A3DB-7CBBA1F5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280" w:after="16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000000"/>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320" w:after="360"/>
      <w:contextualSpacing/>
      <w:jc w:val="center"/>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60" w:line="360" w:lineRule="auto"/>
      <w:jc w:val="both"/>
    </w:pPr>
    <w:rPr>
      <w:rFonts w:ascii="Times New Roman" w:eastAsia="宋体" w:hAnsi="Times New Roman"/>
      <w:color w:val="000000"/>
      <w:sz w:val="21"/>
    </w:rPr>
  </w:style>
  <w:style w:type="paragraph" w:customStyle="1" w:styleId="aff9">
    <w:name w:val="摘要"/>
    <w:pPr>
      <w:spacing w:after="80" w:line="324" w:lineRule="auto"/>
      <w:jc w:val="both"/>
    </w:pPr>
    <w:rPr>
      <w:rFonts w:ascii="Times New Roman" w:eastAsia="宋体" w:hAnsi="Times New Roman"/>
      <w:color w:val="000000"/>
      <w:sz w:val="20"/>
    </w:rPr>
  </w:style>
  <w:style w:type="paragraph" w:customStyle="1" w:styleId="affa">
    <w:name w:val="公式"/>
    <w:pPr>
      <w:keepLines/>
      <w:spacing w:before="80" w:after="80"/>
      <w:jc w:val="center"/>
    </w:pPr>
    <w:rPr>
      <w:rFonts w:ascii="Cambria Math" w:eastAsia="Cambria Math" w:hAnsi="Cambria Math"/>
      <w:color w:val="000000"/>
    </w:rPr>
  </w:style>
  <w:style w:type="paragraph" w:customStyle="1" w:styleId="affb">
    <w:name w:val="参考文献"/>
    <w:pPr>
      <w:spacing w:after="40"/>
      <w:jc w:val="both"/>
    </w:pPr>
    <w:rPr>
      <w:rFonts w:ascii="Times New Roman" w:eastAsia="宋体" w:hAnsi="Times New Roman"/>
      <w:color w:val="000000"/>
      <w:sz w:val="18"/>
    </w:rPr>
  </w:style>
  <w:style w:type="paragraph" w:customStyle="1" w:styleId="Compact">
    <w:name w:val="Compact"/>
    <w:basedOn w:val="af"/>
    <w:qFormat/>
    <w:rsid w:val="00B967B1"/>
    <w:pPr>
      <w:spacing w:before="36" w:after="36"/>
      <w:jc w:val="both"/>
    </w:pPr>
    <w:rPr>
      <w:sz w:val="18"/>
      <w:szCs w:val="18"/>
      <w:lang w:eastAsia="zh-CN"/>
    </w:rPr>
  </w:style>
  <w:style w:type="table" w:customStyle="1" w:styleId="Table">
    <w:name w:val="Table"/>
    <w:semiHidden/>
    <w:unhideWhenUsed/>
    <w:qFormat/>
    <w:rsid w:val="00B967B1"/>
    <w:pPr>
      <w:spacing w:line="240" w:lineRule="auto"/>
    </w:pPr>
    <w:rPr>
      <w:sz w:val="20"/>
      <w:szCs w:val="20"/>
      <w:lang w:eastAsia="zh-CN"/>
    </w:rPr>
    <w:tblPr>
      <w:tblInd w:w="0" w:type="dxa"/>
      <w:tblBorders>
        <w:top w:val="nil"/>
        <w:left w:val="nil"/>
        <w:bottom w:val="single" w:sz="4" w:space="0" w:color="E0E0E0"/>
        <w:right w:val="nil"/>
        <w:insideH w:val="single" w:sz="4" w:space="0" w:color="E0E0E0"/>
        <w:insideV w:val="nil"/>
      </w:tblBorders>
      <w:tblCellMar>
        <w:top w:w="80" w:type="dxa"/>
        <w:left w:w="108" w:type="dxa"/>
        <w:bottom w:w="80" w:type="dxa"/>
        <w:right w:w="108" w:type="dxa"/>
      </w:tblCellMar>
    </w:tblPr>
    <w:tblStylePr w:type="firstRow">
      <w:rPr>
        <w:b/>
        <w:bCs/>
      </w:rPr>
      <w:tblPr/>
      <w:tcPr>
        <w:tcBorders>
          <w:bottom w:val="single" w:sz="12" w:space="0" w:color="0F1B61"/>
        </w:tcBorders>
        <w:shd w:val="clear" w:color="auto" w:fill="F0F3FA"/>
        <w:vAlign w:val="bottom"/>
      </w:tcPr>
    </w:tblStylePr>
    <w:tblStylePr w:type="band1Horz">
      <w:tblPr/>
      <w:tcPr>
        <w:shd w:val="clear" w:color="auto" w:fill="FAFA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6</Pages>
  <Words>3307</Words>
  <Characters>5161</Characters>
  <Application>Microsoft Office Word</Application>
  <DocSecurity>0</DocSecurity>
  <Lines>132</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EUV投影物镜膜层设计原理与关键难点综述</dc:title>
  <dc:subject>极紫外光刻投影物镜多层膜设计</dc:subject>
  <dc:creator>python-docx</dc:creator>
  <cp:keywords>EUV光刻; 投影物镜; Mo/Si多层膜; 入射角分布; 反射相位; 高NA</cp:keywords>
  <dc:description>按GB/T 7714—2015顺序编码制整理</dc:description>
  <cp:lastModifiedBy>dw wz</cp:lastModifiedBy>
  <cp:revision>8</cp:revision>
  <dcterms:created xsi:type="dcterms:W3CDTF">2013-12-23T23:15:00Z</dcterms:created>
  <dcterms:modified xsi:type="dcterms:W3CDTF">2026-09-27T13:37:00Z</dcterms:modified>
  <cp:category/>
</cp:coreProperties>
</file>