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520" w:lineRule="exact"/>
        <w:jc w:val="center"/>
      </w:pPr>
      <w:r>
        <w:rPr>
          <w:rFonts w:ascii="Arial" w:eastAsia="SimHei" w:hAnsi="Arial"/>
          <w:b/>
          <w:bCs/>
          <w:sz w:val="36"/>
          <w:szCs w:val="36"/>
        </w:rPr>
        <w:t xml:space="preserve">边缘智能环境监测与报警系统</w:t>
      </w:r>
    </w:p>
    <w:p>
      <w:pPr>
        <w:spacing w:after="60" w:line="440" w:lineRule="exact"/>
      </w:pPr>
      <w:r>
        <w:rPr>
          <w:rFonts w:ascii="Arial" w:eastAsia="SimHei" w:hAnsi="Arial"/>
          <w:b/>
          <w:bCs/>
          <w:sz w:val="24"/>
          <w:szCs w:val="24"/>
        </w:rPr>
        <w:t xml:space="preserve">摘要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针对环境监测的两类失效——固定阈值不适应现场本底环境、云端判决在断网时失去告警能力——本系统将判决逻辑完整下沉至 ESP32-S3。设备以 1 Hz 独立任务采样 SHT30，由自适应基线学习安装现场的正常范围，与 12 样本窗口的固定阈值及趋势速率共同给出状态、严重度、置信度与原因码；越限时蜂鸣器与 OLED 在 1 秒内本地告警，判决路径无任何网络调用。同一结论再经 MQTTS 上报华为云 IoTDA 并存入本地 SQLite。自适应带被钳制在固定安全限内侧，学习只能收窄关注范围，不能放宽安全边界。实测断网与冷启动下告警不受影响，占用 RAM 14.5%、Flash 14.7%。</w:t>
      </w:r>
    </w:p>
    <w:p>
      <w:pPr>
        <w:spacing w:line="120" w:lineRule="exact"/>
      </w:pPr>
      <w:r>
        <w:rPr>
          <w:sz w:val="12"/>
          <w:szCs w:val="12"/>
        </w:rPr>
        <w:t xml:space="preserve"/>
      </w:r>
    </w:p>
    <w:p>
      <w:pPr>
        <w:spacing w:after="0" w:before="0" w:line="440" w:lineRule="exact"/>
      </w:pPr>
      <w:r>
        <w:rPr>
          <w:rFonts w:ascii="Times New Roman" w:eastAsia="SimSun" w:hAnsi="Times New Roman"/>
          <w:sz w:val="24"/>
          <w:szCs w:val="24"/>
        </w:rPr>
        <w:t xml:space="preserve">关键词：边缘计算；自适应基线；确定性告警；ESP32-S3；华为云 IoTDA</w:t>
      </w:r>
    </w:p>
    <w:p>
      <w:pPr>
        <w:pStyle w:val="Heading1"/>
        <w:spacing w:after="120" w:before="240" w:line="440" w:lineRule="exact"/>
      </w:pPr>
      <w:r>
        <w:rPr>
          <w:rFonts w:ascii="Arial" w:eastAsia="SimHei" w:hAnsi="Arial"/>
          <w:b/>
          <w:bCs/>
          <w:sz w:val="28"/>
          <w:szCs w:val="28"/>
        </w:rPr>
        <w:t xml:space="preserve">1  方案设计与论证</w:t>
      </w:r>
    </w:p>
    <w:p>
      <w:pPr>
        <w:pStyle w:val="Heading2"/>
        <w:spacing w:after="80" w:before="160" w:line="440" w:lineRule="exact"/>
      </w:pPr>
      <w:r>
        <w:rPr>
          <w:rFonts w:ascii="Arial" w:eastAsia="SimHei" w:hAnsi="Arial"/>
          <w:b/>
          <w:bCs/>
          <w:sz w:val="24"/>
          <w:szCs w:val="24"/>
        </w:rPr>
        <w:t xml:space="preserve">1.1  问题分析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温湿度监测的告警环节存在两个独立的失效模式。其一，</w:t>
      </w:r>
      <w:r>
        <w:rPr>
          <w:rFonts w:ascii="Times New Roman" w:eastAsia="SimSun" w:hAnsi="Times New Roman"/>
          <w:b/>
          <w:bCs/>
          <w:sz w:val="24"/>
          <w:szCs w:val="24"/>
        </w:rPr>
        <w:t xml:space="preserve">固定阈值不具备场所适应性</w:t>
      </w:r>
      <w:r>
        <w:rPr>
          <w:rFonts w:ascii="Times New Roman" w:eastAsia="SimSun" w:hAnsi="Times New Roman"/>
          <w:sz w:val="24"/>
          <w:szCs w:val="24"/>
        </w:rPr>
        <w:t xml:space="preserve">：同一套阈值用于常温机房与锅炉房，前者误报、后者漏报，而设备无法预先知道安装现场的本底环境。其二，</w:t>
      </w:r>
      <w:r>
        <w:rPr>
          <w:rFonts w:ascii="Times New Roman" w:eastAsia="SimSun" w:hAnsi="Times New Roman"/>
          <w:b/>
          <w:bCs/>
          <w:sz w:val="24"/>
          <w:szCs w:val="24"/>
        </w:rPr>
        <w:t xml:space="preserve">判决依赖网络则在断网时失效</w:t>
      </w:r>
      <w:r>
        <w:rPr>
          <w:rFonts w:ascii="Times New Roman" w:eastAsia="SimSun" w:hAnsi="Times New Roman"/>
          <w:sz w:val="24"/>
          <w:szCs w:val="24"/>
        </w:rPr>
        <w:t xml:space="preserve">，而断网恰恰与供电异常、设备故障等需要告警的场景高度相关——系统最需要工作的时刻，正是它最可能失效的时刻。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近年常见的“云端大模型分析”方案同时继承了这两个问题：每一次判决都依赖连通性、API 配额，以及模型返回可解析结构化输出的能力。</w:t>
      </w:r>
    </w:p>
    <w:p>
      <w:pPr>
        <w:pStyle w:val="Heading2"/>
        <w:spacing w:after="80" w:before="160" w:line="440" w:lineRule="exact"/>
      </w:pPr>
      <w:r>
        <w:rPr>
          <w:rFonts w:ascii="Arial" w:eastAsia="SimHei" w:hAnsi="Arial"/>
          <w:b/>
          <w:bCs/>
          <w:sz w:val="24"/>
          <w:szCs w:val="24"/>
        </w:rPr>
        <w:t xml:space="preserve">1.2  方案比较与选择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围绕“判决在哪里做”，比较三种方案：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8"/>
        <w:gridCol w:w="2375"/>
        <w:gridCol w:w="2160"/>
        <w:gridCol w:w="2807"/>
      </w:tblGrid>
      <w:tr>
        <w:trPr>
          <w:tblHeader/>
        </w:trPr>
        <w:tc>
          <w:tcPr>
            <w:tcW w:type="dxa" w:w="1728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  <w:jc w:val="center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对比项</w:t>
            </w:r>
          </w:p>
        </w:tc>
        <w:tc>
          <w:tcPr>
            <w:tcW w:type="dxa" w:w="2375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  <w:jc w:val="center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方案一：云端判决</w:t>
            </w:r>
          </w:p>
        </w:tc>
        <w:tc>
          <w:tcPr>
            <w:tcW w:type="dxa" w:w="216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  <w:jc w:val="center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方案二：纯固定阈值</w:t>
            </w:r>
          </w:p>
        </w:tc>
        <w:tc>
          <w:tcPr>
            <w:tcW w:type="dxa" w:w="2807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  <w:jc w:val="center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方案三：片上自适应判决</w:t>
            </w:r>
          </w:p>
        </w:tc>
      </w:tr>
      <w:tr>
        <w:tc>
          <w:tcPr>
            <w:tcW w:type="dxa" w:w="172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断网可用</w:t>
            </w:r>
          </w:p>
        </w:tc>
        <w:tc>
          <w:tcPr>
            <w:tcW w:type="dxa" w:w="237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否</w:t>
            </w:r>
          </w:p>
        </w:tc>
        <w:tc>
          <w:tcPr>
            <w:tcW w:type="dxa" w:w="21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是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是</w:t>
            </w:r>
          </w:p>
        </w:tc>
      </w:tr>
      <w:tr>
        <w:tc>
          <w:tcPr>
            <w:tcW w:type="dxa" w:w="172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场所适应性</w:t>
            </w:r>
          </w:p>
        </w:tc>
        <w:tc>
          <w:tcPr>
            <w:tcW w:type="dxa" w:w="237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依赖提示词</w:t>
            </w:r>
          </w:p>
        </w:tc>
        <w:tc>
          <w:tcPr>
            <w:tcW w:type="dxa" w:w="21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无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有，且有界</w:t>
            </w:r>
          </w:p>
        </w:tc>
      </w:tr>
      <w:tr>
        <w:tc>
          <w:tcPr>
            <w:tcW w:type="dxa" w:w="172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告警时延</w:t>
            </w:r>
          </w:p>
        </w:tc>
        <w:tc>
          <w:tcPr>
            <w:tcW w:type="dxa" w:w="237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往返 + 推理，不可控</w:t>
            </w:r>
          </w:p>
        </w:tc>
        <w:tc>
          <w:tcPr>
            <w:tcW w:type="dxa" w:w="21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&lt; 1 s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&lt; 1 s</w:t>
            </w:r>
          </w:p>
        </w:tc>
      </w:tr>
      <w:tr>
        <w:tc>
          <w:tcPr>
            <w:tcW w:type="dxa" w:w="172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单次判决成本</w:t>
            </w:r>
          </w:p>
        </w:tc>
        <w:tc>
          <w:tcPr>
            <w:tcW w:type="dxa" w:w="237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按 API 计费</w:t>
            </w:r>
          </w:p>
        </w:tc>
        <w:tc>
          <w:tcPr>
            <w:tcW w:type="dxa" w:w="21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0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0</w:t>
            </w:r>
          </w:p>
        </w:tc>
      </w:tr>
      <w:tr>
        <w:tc>
          <w:tcPr>
            <w:tcW w:type="dxa" w:w="172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误报抑制</w:t>
            </w:r>
          </w:p>
        </w:tc>
        <w:tc>
          <w:tcPr>
            <w:tcW w:type="dxa" w:w="237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依赖模型</w:t>
            </w:r>
          </w:p>
        </w:tc>
        <w:tc>
          <w:tcPr>
            <w:tcW w:type="dxa" w:w="21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无</w:t>
            </w:r>
          </w:p>
        </w:tc>
        <w:tc>
          <w:tcPr>
            <w:tcW w:type="dxa" w:w="28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趋势 + 迟滞 + 不可信判定</w:t>
            </w:r>
          </w:p>
        </w:tc>
      </w:tr>
    </w:tbl>
    <w:p>
      <w:pPr>
        <w:spacing w:line="120" w:lineRule="exact"/>
      </w:pPr>
      <w:r>
        <w:rPr>
          <w:sz w:val="12"/>
          <w:szCs w:val="12"/>
        </w:rPr>
        <w:t xml:space="preserve"/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方案一在演示中效果好，但把告警的可用性绑定在三个外部条件上；方案二可靠但不解决适应性问题。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b/>
          <w:bCs/>
          <w:sz w:val="24"/>
          <w:szCs w:val="24"/>
        </w:rPr>
        <w:t xml:space="preserve">本系统选择方案三</w:t>
      </w:r>
      <w:r>
        <w:rPr>
          <w:rFonts w:ascii="Times New Roman" w:eastAsia="SimSun" w:hAnsi="Times New Roman"/>
          <w:sz w:val="24"/>
          <w:szCs w:val="24"/>
        </w:rPr>
        <w:t xml:space="preserve">：判决全部由 MCU 上的确定性代码完成，网络只负责把已经得出的结论送出去，从不参与产生结论。这一选择的代价是设备端计算与存储开销，实测该开销可忽略（4.4 节）。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本系统仍保留一个大语言模型接口，但其职责被严格限定为把状态变化翻译成人类可读的语句。代码中不存在任何将模型输出转换为告警或控制指令的路径，该功能默认关闭，关闭后系统监测与告警功能完整。</w:t>
      </w:r>
    </w:p>
    <w:p>
      <w:pPr>
        <w:pStyle w:val="Heading2"/>
        <w:spacing w:after="80" w:before="160" w:line="440" w:lineRule="exact"/>
      </w:pPr>
      <w:r>
        <w:rPr>
          <w:rFonts w:ascii="Arial" w:eastAsia="SimHei" w:hAnsi="Arial"/>
          <w:b/>
          <w:bCs/>
          <w:sz w:val="24"/>
          <w:szCs w:val="24"/>
        </w:rPr>
        <w:t xml:space="preserve">1.3  系统总体方案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系统总体结构如图 1 所示。虚线框内为 ESP32-S3 片上决策域，采样、滤波、基线学习、限值判定与告警输出全部在框内闭环；虚线框右侧的云平台与本地服务只接收框内已经得出的结论，不参与任何判定。</w:t>
      </w:r>
    </w:p>
    <w:p>
      <w:pPr>
        <w:spacing w:after="60" w:before="120" w:line="240" w:lineRule="auto"/>
        <w:jc w:val="center"/>
      </w:pPr>
      <w:r>
        <w:drawing>
          <wp:inline distT="0" distB="0" distL="0" distR="0">
            <wp:extent cx="5762625" cy="474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74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440" w:lineRule="exact"/>
        <w:jc w:val="center"/>
      </w:pPr>
      <w:r>
        <w:rPr>
          <w:rFonts w:ascii="Times New Roman" w:eastAsia="SimSun" w:hAnsi="Times New Roman"/>
          <w:sz w:val="21"/>
          <w:szCs w:val="21"/>
        </w:rPr>
        <w:t xml:space="preserve">图 1  系统总体方框图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判决与记录严格分离：蜂鸣器响起时，后两条通路尚未开始工作；两条通路任一失效或同时失效，均不影响已经发生的告警。</w:t>
      </w:r>
    </w:p>
    <w:p>
      <w:pPr>
        <w:pStyle w:val="Heading1"/>
        <w:spacing w:after="120" w:before="240" w:line="440" w:lineRule="exact"/>
      </w:pPr>
      <w:r>
        <w:rPr>
          <w:rFonts w:ascii="Arial" w:eastAsia="SimHei" w:hAnsi="Arial"/>
          <w:b/>
          <w:bCs/>
          <w:sz w:val="28"/>
          <w:szCs w:val="28"/>
        </w:rPr>
        <w:t xml:space="preserve">2  理论分析与计算</w:t>
      </w:r>
    </w:p>
    <w:p>
      <w:pPr>
        <w:pStyle w:val="Heading2"/>
        <w:spacing w:after="80" w:before="160" w:line="440" w:lineRule="exact"/>
      </w:pPr>
      <w:r>
        <w:rPr>
          <w:rFonts w:ascii="Arial" w:eastAsia="SimHei" w:hAnsi="Arial"/>
          <w:b/>
          <w:bCs/>
          <w:sz w:val="24"/>
          <w:szCs w:val="24"/>
        </w:rPr>
        <w:t xml:space="preserve">2.1  自适应基线的带宽计算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设第 k 个被接受样本为 x(k)，中心 μ 与平均偏差 σ 按指数移动平均递推：</w:t>
      </w:r>
    </w:p>
    <w:p>
      <w:pPr>
        <w:spacing w:after="60" w:before="60" w:line="440" w:lineRule="exact"/>
        <w:jc w:val="center"/>
      </w:pPr>
      <m:oMath>
        <m:sSub>
          <m:sSubPr/>
          <m:e>
            <m:r>
              <m:t>μ</m:t>
            </m:r>
          </m:e>
          <m:sub>
            <m:r>
              <m:t>k</m:t>
            </m:r>
          </m:sub>
        </m:sSub>
        <m:r>
          <m:t> = </m:t>
        </m:r>
        <m:sSub>
          <m:sSubPr/>
          <m:e>
            <m:r>
              <m:t>μ</m:t>
            </m:r>
          </m:e>
          <m:sub>
            <m:r>
              <m:t>k−1</m:t>
            </m:r>
          </m:sub>
        </m:sSub>
        <m:r>
          <m:t> + α(</m:t>
        </m:r>
        <m:sSub>
          <m:sSubPr/>
          <m:e>
            <m:r>
              <m:t>x</m:t>
            </m:r>
          </m:e>
          <m:sub>
            <m:r>
              <m:t>k</m:t>
            </m:r>
          </m:sub>
        </m:sSub>
        <m:r>
          <m:t> − </m:t>
        </m:r>
        <m:sSub>
          <m:sSubPr/>
          <m:e>
            <m:r>
              <m:t>μ</m:t>
            </m:r>
          </m:e>
          <m:sub>
            <m:r>
              <m:t>k−1</m:t>
            </m:r>
          </m:sub>
        </m:sSub>
        <m:r>
          <m:t>)</m:t>
        </m:r>
      </m:oMath>
    </w:p>
    <w:p>
      <w:pPr>
        <w:spacing w:after="60" w:before="60" w:line="440" w:lineRule="exact"/>
        <w:jc w:val="center"/>
      </w:pPr>
      <m:oMath>
        <m:sSub>
          <m:sSubPr/>
          <m:e>
            <m:r>
              <m:t>σ</m:t>
            </m:r>
          </m:e>
          <m:sub>
            <m:r>
              <m:t>k</m:t>
            </m:r>
          </m:sub>
        </m:sSub>
        <m:r>
          <m:t> = </m:t>
        </m:r>
        <m:sSub>
          <m:sSubPr/>
          <m:e>
            <m:r>
              <m:t>σ</m:t>
            </m:r>
          </m:e>
          <m:sub>
            <m:r>
              <m:t>k−1</m:t>
            </m:r>
          </m:sub>
        </m:sSub>
        <m:r>
          <m:t> + β(|</m:t>
        </m:r>
        <m:sSub>
          <m:sSubPr/>
          <m:e>
            <m:r>
              <m:t>x</m:t>
            </m:r>
          </m:e>
          <m:sub>
            <m:r>
              <m:t>k</m:t>
            </m:r>
          </m:sub>
        </m:sSub>
        <m:r>
          <m:t> − </m:t>
        </m:r>
        <m:sSub>
          <m:sSubPr/>
          <m:e>
            <m:r>
              <m:t>μ</m:t>
            </m:r>
          </m:e>
          <m:sub>
            <m:r>
              <m:t>k−1</m:t>
            </m:r>
          </m:sub>
        </m:sSub>
        <m:r>
          <m:t>| − </m:t>
        </m:r>
        <m:sSub>
          <m:sSubPr/>
          <m:e>
            <m:r>
              <m:t>σ</m:t>
            </m:r>
          </m:e>
          <m:sub>
            <m:r>
              <m:t>k−1</m:t>
            </m:r>
          </m:sub>
        </m:sSub>
        <m:r>
          <m:t>)</m:t>
        </m:r>
      </m:oMath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取 α = 0.02、β = 0.05。学习率取小值使单个样本对中心的影响不超过 2%，正常昼夜漂移不会显著拖动基线。判定带为：</w:t>
      </w:r>
    </w:p>
    <w:p>
      <w:pPr>
        <w:spacing w:after="60" w:before="60" w:line="440" w:lineRule="exact"/>
        <w:jc w:val="center"/>
      </w:pPr>
      <m:oMath>
        <m:r>
          <m:t>[</m:t>
        </m:r>
        <m:sSub>
          <m:sSubPr/>
          <m:e>
            <m:r>
              <m:t>μ</m:t>
            </m:r>
          </m:e>
          <m:sub>
            <m:r>
              <m:t>k</m:t>
            </m:r>
          </m:sub>
        </m:sSub>
        <m:r>
          <m:t> − w, </m:t>
        </m:r>
        <m:sSub>
          <m:sSubPr/>
          <m:e>
            <m:r>
              <m:t>μ</m:t>
            </m:r>
          </m:e>
          <m:sub>
            <m:r>
              <m:t>k</m:t>
            </m:r>
          </m:sub>
        </m:sSub>
        <m:r>
          <m:t> + w],   w = clamp(3</m:t>
        </m:r>
        <m:sSub>
          <m:sSubPr/>
          <m:e>
            <m:r>
              <m:t>σ</m:t>
            </m:r>
          </m:e>
          <m:sub>
            <m:r>
              <m:t>k</m:t>
            </m:r>
          </m:sub>
        </m:sSub>
        <m:r>
          <m:t>, </m:t>
        </m:r>
        <m:sSub>
          <m:sSubPr/>
          <m:e>
            <m:r>
              <m:t>w</m:t>
            </m:r>
          </m:e>
          <m:sub>
            <m:r>
              <m:t>min</m:t>
            </m:r>
          </m:sub>
        </m:sSub>
        <m:r>
          <m:t>, </m:t>
        </m:r>
        <m:sSub>
          <m:sSubPr/>
          <m:e>
            <m:r>
              <m:t>w</m:t>
            </m:r>
          </m:e>
          <m:sub>
            <m:r>
              <m:t>max</m:t>
            </m:r>
          </m:sub>
        </m:sSub>
        <m:r>
          <m:t>)</m:t>
        </m:r>
      </m:oMath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温度取 w ∈ [1.5, 5.0] °C，湿度取 w ∈ [5, 15] %RH。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上界的必要性在于：无界的 3σ 在长期噪声下会持续扩张，最终接受任何输入。</w:t>
      </w:r>
    </w:p>
    <w:p>
      <w:pPr>
        <w:pStyle w:val="Heading2"/>
        <w:spacing w:after="80" w:before="160" w:line="440" w:lineRule="exact"/>
      </w:pPr>
      <w:r>
        <w:rPr>
          <w:rFonts w:ascii="Arial" w:eastAsia="SimHei" w:hAnsi="Arial"/>
          <w:b/>
          <w:bCs/>
          <w:sz w:val="24"/>
          <w:szCs w:val="24"/>
        </w:rPr>
        <w:t xml:space="preserve">2.2  有界性：学习不能放宽安全边界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设固定硬限为 [L, U]（温度 −10…45 °C，湿度 5…95 %RH），保护间隔 g（温度 0.5 °C，湿度 2 %RH）。实际判定带取：</w:t>
      </w:r>
    </w:p>
    <w:p>
      <w:pPr>
        <w:spacing w:after="60" w:before="60" w:line="440" w:lineRule="exact"/>
        <w:jc w:val="center"/>
      </w:pPr>
      <m:oMath>
        <m:r>
          <m:t>[max(μ − w, L + g),  min(μ + w, U − g)]</m:t>
        </m:r>
      </m:oMath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由该式直接得到：对任意学习历史，判定带上界恒有 μ + w ≤ U − g &lt; U。</w:t>
      </w:r>
      <w:r>
        <w:rPr>
          <w:rFonts w:ascii="Times New Roman" w:eastAsia="SimSun" w:hAnsi="Times New Roman"/>
          <w:b/>
          <w:bCs/>
          <w:sz w:val="24"/>
          <w:szCs w:val="24"/>
        </w:rPr>
        <w:t xml:space="preserve">即无论基线学到什么，都不可能把判定边界推到硬限之外。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更强的一条来自系统分层：告警阈值与硬限均为编译期常量，不参与任何学习过程，蜂鸣器由原始读数直接与其比较驱动。因此基线学习</w:t>
      </w:r>
      <w:r>
        <w:rPr>
          <w:rFonts w:ascii="Times New Roman" w:eastAsia="SimSun" w:hAnsi="Times New Roman"/>
          <w:b/>
          <w:bCs/>
          <w:sz w:val="24"/>
          <w:szCs w:val="24"/>
        </w:rPr>
        <w:t xml:space="preserve">只改变哪些读数被称为“模式偏移”，不改变哪些读数触发告警</w:t>
      </w:r>
      <w:r>
        <w:rPr>
          <w:rFonts w:ascii="Times New Roman" w:eastAsia="SimSun" w:hAnsi="Times New Roman"/>
          <w:sz w:val="24"/>
          <w:szCs w:val="24"/>
        </w:rPr>
        <w:t xml:space="preserve">。这使得允许基线移动这件事本身是安全的。</w:t>
      </w:r>
    </w:p>
    <w:p>
      <w:pPr>
        <w:pStyle w:val="Heading2"/>
        <w:spacing w:after="80" w:before="160" w:line="440" w:lineRule="exact"/>
      </w:pPr>
      <w:r>
        <w:rPr>
          <w:rFonts w:ascii="Arial" w:eastAsia="SimHei" w:hAnsi="Arial"/>
          <w:b/>
          <w:bCs/>
          <w:sz w:val="24"/>
          <w:szCs w:val="24"/>
        </w:rPr>
        <w:t xml:space="preserve">2.3  搬迁与异常的区分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带外样本不参与学习，可防止持续异常被同化为正常。但若仅有该规则，设备被迁至新环境后将出现：所有样本恒在带外，无学习，带永不移动，永久输出 BASELINE_SHIFT，且持久化路径因“无学习即无脏数据”而永不触发。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故引入判据：连续带外样本数 n ≥ N(r) 时判定为环境迁移，清零重新学习；任一带内样本使 n 归零。N(r) 不取常数，而由感知周期反推使其恒等于 1 小时（见 3.4 节），因此改变采样率不会改变“多久算持续偏离”这一语义。由 2.2 节结论，该机制不影响告警行为。</w:t>
      </w:r>
    </w:p>
    <w:p>
      <w:pPr>
        <w:pStyle w:val="Heading2"/>
        <w:spacing w:after="80" w:before="160" w:line="440" w:lineRule="exact"/>
      </w:pPr>
      <w:r>
        <w:rPr>
          <w:rFonts w:ascii="Arial" w:eastAsia="SimHei" w:hAnsi="Arial"/>
          <w:b/>
          <w:bCs/>
          <w:sz w:val="24"/>
          <w:szCs w:val="24"/>
        </w:rPr>
        <w:t xml:space="preserve">2.4  趋势速率判据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对 12 样本窗口首末样本，按分钟归一化：</w:t>
      </w:r>
    </w:p>
    <w:p>
      <w:pPr>
        <w:spacing w:after="60" w:before="60" w:line="440" w:lineRule="exact"/>
        <w:jc w:val="center"/>
      </w:pPr>
      <m:oMath>
        <m:r>
          <m:t>v = </m:t>
        </m:r>
        <m:f>
          <m:num>
            <m:r>
              <m:t>60(</m:t>
            </m:r>
            <m:sSub>
              <m:sSubPr/>
              <m:e>
                <m:r>
                  <m:t>x</m:t>
                </m:r>
              </m:e>
              <m:sub>
                <m:r>
                  <m:t>n−1</m:t>
                </m:r>
              </m:sub>
            </m:sSub>
            <m:r>
              <m:t> − </m:t>
            </m:r>
            <m:sSub>
              <m:sSubPr/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t>)</m:t>
            </m:r>
          </m:num>
          <m:den>
            <m:sSub>
              <m:sSubPr/>
              <m:e>
                <m:r>
                  <m:t>t</m:t>
                </m:r>
              </m:e>
              <m:sub>
                <m:r>
                  <m:t>n−1</m:t>
                </m:r>
              </m:sub>
            </m:sSub>
            <m:r>
              <m:t> − </m:t>
            </m:r>
            <m:sSub>
              <m:sSubPr/>
              <m:e>
                <m:r>
                  <m:t>t</m:t>
                </m:r>
              </m:e>
              <m:sub>
                <m:r>
                  <m:t>0</m:t>
                </m:r>
              </m:sub>
            </m:sSub>
          </m:den>
        </m:f>
      </m:oMath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取 v ≥ 1.2 °C/min 且净升 ≥ 0.8 °C 判为温度快升。按速率而非绝对变化量判定的原因是：8 °C 的变化在 1 小时内属常态，在 8 秒内对室内空气不具物理合理性，二者仅由速率区分。</w:t>
      </w:r>
    </w:p>
    <w:p>
      <w:pPr>
        <w:pStyle w:val="Heading2"/>
        <w:spacing w:after="80" w:before="160" w:line="440" w:lineRule="exact"/>
      </w:pPr>
      <w:r>
        <w:rPr>
          <w:rFonts w:ascii="Arial" w:eastAsia="SimHei" w:hAnsi="Arial"/>
          <w:b/>
          <w:bCs/>
          <w:sz w:val="24"/>
          <w:szCs w:val="24"/>
        </w:rPr>
        <w:t xml:space="preserve">2.5  告警时延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告警判据在 1 Hz 安全任务内求值，该任务在网络初始化之前创建，最坏时延为：</w:t>
      </w:r>
    </w:p>
    <w:p>
      <w:pPr>
        <w:spacing w:after="60" w:before="60" w:line="440" w:lineRule="exact"/>
        <w:jc w:val="center"/>
      </w:pPr>
      <m:oMath>
        <m:sSub>
          <m:sSubPr/>
          <m:e>
            <m:r>
              <m:t>t</m:t>
            </m:r>
          </m:e>
          <m:sub>
            <m:r>
              <m:t>max</m:t>
            </m:r>
          </m:sub>
        </m:sSub>
        <m:r>
          <m:t> = </m:t>
        </m:r>
        <m:sSub>
          <m:sSubPr/>
          <m:e>
            <m:r>
              <m:t>T</m:t>
            </m:r>
          </m:e>
          <m:sub>
            <m:r>
              <m:t>sample</m:t>
            </m:r>
          </m:sub>
        </m:sSub>
        <m:r>
          <m:t> + </m:t>
        </m:r>
        <m:sSub>
          <m:sSubPr/>
          <m:e>
            <m:r>
              <m:t>t</m:t>
            </m:r>
          </m:e>
          <m:sub>
            <m:r>
              <m:t>GPIO</m:t>
            </m:r>
          </m:sub>
        </m:sSub>
        <m:r>
          <m:t> ≈ 1 s</m:t>
        </m:r>
      </m:oMath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若将求值置于主循环，则须等待 setup() 中 Wi-Fi（超时 20 s）、NTP、MQTT 全部完成，最坏时延超过 30 s。二者差异已实测验证（4.3 节）。</w:t>
      </w:r>
    </w:p>
    <w:p>
      <w:pPr>
        <w:pStyle w:val="Heading1"/>
        <w:spacing w:after="120" w:before="240" w:line="440" w:lineRule="exact"/>
      </w:pPr>
      <w:r>
        <w:rPr>
          <w:rFonts w:ascii="Arial" w:eastAsia="SimHei" w:hAnsi="Arial"/>
          <w:b/>
          <w:bCs/>
          <w:sz w:val="28"/>
          <w:szCs w:val="28"/>
        </w:rPr>
        <w:t xml:space="preserve">3  电路与程序设计</w:t>
      </w:r>
    </w:p>
    <w:p>
      <w:pPr>
        <w:pStyle w:val="Heading2"/>
        <w:spacing w:after="80" w:before="160" w:line="440" w:lineRule="exact"/>
      </w:pPr>
      <w:r>
        <w:rPr>
          <w:rFonts w:ascii="Arial" w:eastAsia="SimHei" w:hAnsi="Arial"/>
          <w:b/>
          <w:bCs/>
          <w:sz w:val="24"/>
          <w:szCs w:val="24"/>
        </w:rPr>
        <w:t xml:space="preserve">3.1  硬件电路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2358"/>
        <w:gridCol w:w="2540"/>
        <w:gridCol w:w="1451"/>
      </w:tblGrid>
      <w:tr>
        <w:trPr>
          <w:tblHeader/>
        </w:trPr>
        <w:tc>
          <w:tcPr>
            <w:tcW w:type="dxa" w:w="2721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  <w:jc w:val="center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器件</w:t>
            </w:r>
          </w:p>
        </w:tc>
        <w:tc>
          <w:tcPr>
            <w:tcW w:type="dxa" w:w="2358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  <w:jc w:val="center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接口</w:t>
            </w:r>
          </w:p>
        </w:tc>
        <w:tc>
          <w:tcPr>
            <w:tcW w:type="dxa" w:w="254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  <w:jc w:val="center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引脚</w:t>
            </w:r>
          </w:p>
        </w:tc>
        <w:tc>
          <w:tcPr>
            <w:tcW w:type="dxa" w:w="1451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  <w:jc w:val="center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地址</w:t>
            </w:r>
          </w:p>
        </w:tc>
      </w:tr>
      <w:tr>
        <w:tc>
          <w:tcPr>
            <w:tcW w:type="dxa" w:w="27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SHT30 温湿度传感器</w:t>
            </w:r>
          </w:p>
        </w:tc>
        <w:tc>
          <w:tcPr>
            <w:tcW w:type="dxa" w:w="23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I²C 总线 0（Wire）</w:t>
            </w:r>
          </w:p>
        </w:tc>
        <w:tc>
          <w:tcPr>
            <w:tcW w:type="dxa" w:w="25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SDA 17 / SCL 18</w:t>
            </w:r>
          </w:p>
        </w:tc>
        <w:tc>
          <w:tcPr>
            <w:tcW w:type="dxa" w:w="145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0x44</w:t>
            </w:r>
          </w:p>
        </w:tc>
      </w:tr>
      <w:tr>
        <w:tc>
          <w:tcPr>
            <w:tcW w:type="dxa" w:w="27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OLED 128×64（SSD1315）</w:t>
            </w:r>
          </w:p>
        </w:tc>
        <w:tc>
          <w:tcPr>
            <w:tcW w:type="dxa" w:w="23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I²C 总线 1（Wire1）</w:t>
            </w:r>
          </w:p>
        </w:tc>
        <w:tc>
          <w:tcPr>
            <w:tcW w:type="dxa" w:w="25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SDA 38 / SCL 39</w:t>
            </w:r>
          </w:p>
        </w:tc>
        <w:tc>
          <w:tcPr>
            <w:tcW w:type="dxa" w:w="145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0x3C</w:t>
            </w:r>
          </w:p>
        </w:tc>
      </w:tr>
      <w:tr>
        <w:tc>
          <w:tcPr>
            <w:tcW w:type="dxa" w:w="27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蜂鸣器</w:t>
            </w:r>
          </w:p>
        </w:tc>
        <w:tc>
          <w:tcPr>
            <w:tcW w:type="dxa" w:w="23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GPIO</w:t>
            </w:r>
          </w:p>
        </w:tc>
        <w:tc>
          <w:tcPr>
            <w:tcW w:type="dxa" w:w="25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GPIO 4，低电平有效</w:t>
            </w:r>
          </w:p>
        </w:tc>
        <w:tc>
          <w:tcPr>
            <w:tcW w:type="dxa" w:w="145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type="dxa" w:w="27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翻页按键</w:t>
            </w:r>
          </w:p>
        </w:tc>
        <w:tc>
          <w:tcPr>
            <w:tcW w:type="dxa" w:w="23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GPIO</w:t>
            </w:r>
          </w:p>
        </w:tc>
        <w:tc>
          <w:tcPr>
            <w:tcW w:type="dxa" w:w="25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GPIO 0（板载 BOOT）</w:t>
            </w:r>
          </w:p>
        </w:tc>
        <w:tc>
          <w:tcPr>
            <w:tcW w:type="dxa" w:w="145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—</w:t>
            </w:r>
          </w:p>
        </w:tc>
      </w:tr>
    </w:tbl>
    <w:p>
      <w:pPr>
        <w:spacing w:line="120" w:lineRule="exact"/>
      </w:pPr>
      <w:r>
        <w:rPr>
          <w:sz w:val="12"/>
          <w:szCs w:val="12"/>
        </w:rPr>
        <w:t xml:space="preserve"/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b/>
          <w:bCs/>
          <w:sz w:val="24"/>
          <w:szCs w:val="24"/>
        </w:rPr>
        <w:t xml:space="preserve">两器件置于独立 I²C 总线</w:t>
      </w:r>
      <w:r>
        <w:rPr>
          <w:rFonts w:ascii="Times New Roman" w:eastAsia="SimSun" w:hAnsi="Times New Roman"/>
          <w:sz w:val="24"/>
          <w:szCs w:val="24"/>
        </w:rPr>
        <w:t xml:space="preserve">，而非共用一条。原因是显示器件在异常状态下可能长时间占用总线，若与传感器共用，将阻塞 1 Hz 安全采样。该分离使显示故障不能影响告警链路。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蜂鸣器由编译期开关控制，关闭时引脚置为高阻输入，任何远程命令都无法使其带电，以避免未经验证的电路被误驱动。</w:t>
      </w:r>
    </w:p>
    <w:p>
      <w:pPr>
        <w:pStyle w:val="Heading2"/>
        <w:spacing w:after="80" w:before="160" w:line="440" w:lineRule="exact"/>
      </w:pPr>
      <w:r>
        <w:rPr>
          <w:rFonts w:ascii="Arial" w:eastAsia="SimHei" w:hAnsi="Arial"/>
          <w:b/>
          <w:bCs/>
          <w:sz w:val="24"/>
          <w:szCs w:val="24"/>
        </w:rPr>
        <w:t xml:space="preserve">3.2  软件流程</w:t>
      </w:r>
    </w:p>
    <w:p>
      <w:pPr>
        <w:spacing w:after="0" w:before="60" w:line="240" w:lineRule="exact"/>
        <w:ind w:left="240"/>
      </w:pPr>
      <w:r>
        <w:rPr>
          <w:rFonts w:ascii="Consolas" w:eastAsia="SimSun" w:hAnsi="Consolas"/>
          <w:sz w:val="18"/>
          <w:szCs w:val="18"/>
        </w:rPr>
        <w:t xml:space="preserve">setup():  蜂鸣器静音 -&gt; OLED 清屏 + 自检 -&gt; 串口 -&gt; 基线载入(NVS)</w:t>
      </w:r>
    </w:p>
    <w:p>
      <w:pPr>
        <w:spacing w:after="0" w:before="0" w:line="240" w:lineRule="exact"/>
        <w:ind w:left="240"/>
      </w:pPr>
      <w:r>
        <w:rPr>
          <w:rFonts w:ascii="Consolas" w:eastAsia="SimSun" w:hAnsi="Consolas"/>
          <w:sz w:val="18"/>
          <w:szCs w:val="18"/>
        </w:rPr>
        <w:t xml:space="preserve">          -&gt; 创建 1 Hz 安全任务 (先于 Wi-Fi) -&gt; Wi-Fi/NTP/MQTTS</w:t>
      </w:r>
    </w:p>
    <w:p>
      <w:pPr>
        <w:spacing w:after="0" w:before="0" w:line="240" w:lineRule="exact"/>
        <w:ind w:left="240"/>
      </w:pPr>
      <w:r>
        <w:rPr>
          <w:rFonts w:ascii="Consolas" w:eastAsia="SimSun" w:hAnsi="Consolas"/>
          <w:sz w:val="18"/>
          <w:szCs w:val="18"/>
        </w:rPr>
        <w:t xml:space="preserve"> </w:t>
      </w:r>
    </w:p>
    <w:p>
      <w:pPr>
        <w:spacing w:after="0" w:before="0" w:line="240" w:lineRule="exact"/>
        <w:ind w:left="240"/>
      </w:pPr>
      <w:r>
        <w:rPr>
          <w:rFonts w:ascii="Consolas" w:eastAsia="SimSun" w:hAnsi="Consolas"/>
          <w:sz w:val="18"/>
          <w:szCs w:val="18"/>
        </w:rPr>
        <w:t xml:space="preserve">安全任务 (1 Hz, 独立于网络):</w:t>
      </w:r>
    </w:p>
    <w:p>
      <w:pPr>
        <w:spacing w:after="0" w:before="0" w:line="240" w:lineRule="exact"/>
        <w:ind w:left="240"/>
      </w:pPr>
      <w:r>
        <w:rPr>
          <w:rFonts w:ascii="Consolas" w:eastAsia="SimSun" w:hAnsi="Consolas"/>
          <w:sz w:val="18"/>
          <w:szCs w:val="18"/>
        </w:rPr>
        <w:t xml:space="preserve">  读 SHT30 -&gt; 物理有效性 -&gt; 硬限 -&gt; 告警阈值 -&gt; 蜂鸣器/OLED</w:t>
      </w:r>
    </w:p>
    <w:p>
      <w:pPr>
        <w:spacing w:after="0" w:before="0" w:line="240" w:lineRule="exact"/>
        <w:ind w:left="240"/>
      </w:pPr>
      <w:r>
        <w:rPr>
          <w:rFonts w:ascii="Consolas" w:eastAsia="SimSun" w:hAnsi="Consolas"/>
          <w:sz w:val="18"/>
          <w:szCs w:val="18"/>
        </w:rPr>
        <w:t xml:space="preserve"> </w:t>
      </w:r>
    </w:p>
    <w:p>
      <w:pPr>
        <w:spacing w:after="0" w:before="0" w:line="240" w:lineRule="exact"/>
        <w:ind w:left="240"/>
      </w:pPr>
      <w:r>
        <w:rPr>
          <w:rFonts w:ascii="Consolas" w:eastAsia="SimSun" w:hAnsi="Consolas"/>
          <w:sz w:val="18"/>
          <w:szCs w:val="18"/>
        </w:rPr>
        <w:t xml:space="preserve">主循环 (2 s):</w:t>
      </w:r>
    </w:p>
    <w:p>
      <w:pPr>
        <w:spacing w:after="0" w:before="0" w:line="240" w:lineRule="exact"/>
        <w:ind w:left="240"/>
      </w:pPr>
      <w:r>
        <w:rPr>
          <w:rFonts w:ascii="Consolas" w:eastAsia="SimSun" w:hAnsi="Consolas"/>
          <w:sz w:val="18"/>
          <w:szCs w:val="18"/>
        </w:rPr>
        <w:t xml:space="preserve">  取安全快照(超时 1.5 s 拒绝上报) -&gt; 中值滤波 -&gt; 基线 -&gt; 叠加</w:t>
      </w:r>
    </w:p>
    <w:p>
      <w:pPr>
        <w:spacing w:after="0" w:before="0" w:line="240" w:lineRule="exact"/>
        <w:ind w:left="240"/>
      </w:pPr>
      <w:r>
        <w:rPr>
          <w:rFonts w:ascii="Consolas" w:eastAsia="SimSun" w:hAnsi="Consolas"/>
          <w:sz w:val="18"/>
          <w:szCs w:val="18"/>
        </w:rPr>
        <w:t xml:space="preserve">  -&gt; OLED 刷新 -&gt; HTTP 上报 -&gt; 命令轮询</w:t>
      </w:r>
    </w:p>
    <w:p>
      <w:pPr>
        <w:spacing w:after="60" w:before="0" w:line="240" w:lineRule="exact"/>
        <w:ind w:left="240"/>
      </w:pPr>
      <w:r>
        <w:rPr>
          <w:rFonts w:ascii="Consolas" w:eastAsia="SimSun" w:hAnsi="Consolas"/>
          <w:sz w:val="18"/>
          <w:szCs w:val="18"/>
        </w:rPr>
        <w:t xml:space="preserve">  每 10 s 向 EdgeReasoner 输入样本；每 60 s 发一次 MQTTS</w:t>
      </w:r>
    </w:p>
    <w:p>
      <w:pPr>
        <w:pStyle w:val="Heading2"/>
        <w:spacing w:after="80" w:before="160" w:line="440" w:lineRule="exact"/>
      </w:pPr>
      <w:r>
        <w:rPr>
          <w:rFonts w:ascii="Arial" w:eastAsia="SimHei" w:hAnsi="Arial"/>
          <w:b/>
          <w:bCs/>
          <w:sz w:val="24"/>
          <w:szCs w:val="24"/>
        </w:rPr>
        <w:t xml:space="preserve">3.3  状态判据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EdgeReasoner 按顺序求值，首个命中者生效，完整判据见附录 A。依次为：读数不可信（UNSTABLE）、高温高湿并发、温度快升、湿度快升、温度偏高、湿度偏高，均不满足则为 NORMAL；样本不足 4 个时报 WARMUP。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UNSTABLE 置于首位是有意的：若信号本身不可信，由其导出的任何结论同样不可信，此时系统应当声明“读数不可信”，而非给出一个由噪声算出的确定结论。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自适应层叠加两个状态：HARD_LIMIT（覆盖一切）与 BASELINE_SHIFT（仅在固定层判为 NORMAL 时生效）。真实越限不会被降级为“模式偏移”。</w:t>
      </w:r>
    </w:p>
    <w:p>
      <w:pPr>
        <w:pStyle w:val="Heading2"/>
        <w:spacing w:after="80" w:before="160" w:line="440" w:lineRule="exact"/>
      </w:pPr>
      <w:r>
        <w:rPr>
          <w:rFonts w:ascii="Arial" w:eastAsia="SimHei" w:hAnsi="Arial"/>
          <w:b/>
          <w:bCs/>
          <w:sz w:val="24"/>
          <w:szCs w:val="24"/>
        </w:rPr>
        <w:t xml:space="preserve">3.4  采样与上报周期的分离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系统内共有四个速率，各自由其物理或经济约束决定，不合并为一个参数：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8"/>
        <w:gridCol w:w="907"/>
        <w:gridCol w:w="2721"/>
        <w:gridCol w:w="3084"/>
      </w:tblGrid>
      <w:tr>
        <w:trPr>
          <w:tblHeader/>
        </w:trPr>
        <w:tc>
          <w:tcPr>
            <w:tcW w:type="dxa" w:w="2358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  <w:jc w:val="center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周期</w:t>
            </w:r>
          </w:p>
        </w:tc>
        <w:tc>
          <w:tcPr>
            <w:tcW w:type="dxa" w:w="907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  <w:jc w:val="center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取值</w:t>
            </w:r>
          </w:p>
        </w:tc>
        <w:tc>
          <w:tcPr>
            <w:tcW w:type="dxa" w:w="2721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  <w:jc w:val="center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驱动</w:t>
            </w:r>
          </w:p>
        </w:tc>
        <w:tc>
          <w:tcPr>
            <w:tcW w:type="dxa" w:w="3084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  <w:jc w:val="center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约束来源</w:t>
            </w:r>
          </w:p>
        </w:tc>
      </w:tr>
      <w:tr>
        <w:tc>
          <w:tcPr>
            <w:tcW w:type="dxa" w:w="23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安全采样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1 s</w:t>
            </w:r>
          </w:p>
        </w:tc>
        <w:tc>
          <w:tcPr>
            <w:tcW w:type="dxa" w:w="27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硬限与告警阈值判定，驱动蜂鸣器</w:t>
            </w:r>
          </w:p>
        </w:tc>
        <w:tc>
          <w:tcPr>
            <w:tcW w:type="dxa" w:w="308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告警时延要求</w:t>
            </w:r>
          </w:p>
        </w:tc>
      </w:tr>
      <w:tr>
        <w:tc>
          <w:tcPr>
            <w:tcW w:type="dxa" w:w="23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SENSE_INTERVAL_MS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2 s</w:t>
            </w:r>
          </w:p>
        </w:tc>
        <w:tc>
          <w:tcPr>
            <w:tcW w:type="dxa" w:w="27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OLED 刷新、本地服务上报</w:t>
            </w:r>
          </w:p>
        </w:tc>
        <w:tc>
          <w:tcPr>
            <w:tcW w:type="dxa" w:w="308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SHT30 响应 τ63≈2 s，更快无新信息</w:t>
            </w:r>
          </w:p>
        </w:tc>
      </w:tr>
      <w:tr>
        <w:tc>
          <w:tcPr>
            <w:tcW w:type="dxa" w:w="23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EDGE_SAMPLE_INTERVAL_MS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10 s</w:t>
            </w:r>
          </w:p>
        </w:tc>
        <w:tc>
          <w:tcPr>
            <w:tcW w:type="dxa" w:w="27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向 EdgeReasoner 输入样本</w:t>
            </w:r>
          </w:p>
        </w:tc>
        <w:tc>
          <w:tcPr>
            <w:tcW w:type="dxa" w:w="308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12 样本 × 10 s = 2 min 趋势窗口</w:t>
            </w:r>
          </w:p>
        </w:tc>
      </w:tr>
      <w:tr>
        <w:tc>
          <w:tcPr>
            <w:tcW w:type="dxa" w:w="23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CLOUD_INTERVAL_MS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60 s</w:t>
            </w:r>
          </w:p>
        </w:tc>
        <w:tc>
          <w:tcPr>
            <w:tcW w:type="dxa" w:w="27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IoTDA 属性上报</w:t>
            </w:r>
          </w:p>
        </w:tc>
        <w:tc>
          <w:tcPr>
            <w:tcW w:type="dxa" w:w="308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云平台消息配额</w:t>
            </w:r>
          </w:p>
        </w:tc>
      </w:tr>
    </w:tbl>
    <w:p>
      <w:pPr>
        <w:spacing w:line="120" w:lineRule="exact"/>
      </w:pPr>
      <w:r>
        <w:rPr>
          <w:sz w:val="12"/>
          <w:szCs w:val="12"/>
        </w:rPr>
        <w:t xml:space="preserve"/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合并为单一参数将迫使这些约束相互妥协。以感知与上报为例：缩短单一参数可提升显示响应，但云端消息量同比上升。分离后每日上报 1 440 条，占免费额度（10 000 条/日）的 14%，同一额度可支撑约 6 台设备；若取 10 s，单台即占用 86%，第二台设备便会超限。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推理输入之所以另设一档，是因为 EdgeReasoner 的窗口按</w:t>
      </w:r>
      <w:r>
        <w:rPr>
          <w:rFonts w:ascii="Times New Roman" w:eastAsia="SimSun" w:hAnsi="Times New Roman"/>
          <w:b/>
          <w:bCs/>
          <w:sz w:val="24"/>
          <w:szCs w:val="24"/>
        </w:rPr>
        <w:t xml:space="preserve">样本数</w:t>
      </w:r>
      <w:r>
        <w:rPr>
          <w:rFonts w:ascii="Times New Roman" w:eastAsia="SimSun" w:hAnsi="Times New Roman"/>
          <w:sz w:val="24"/>
          <w:szCs w:val="24"/>
        </w:rPr>
        <w:t xml:space="preserve">固定为 12，而其阈值是按 </w:t>
      </w:r>
      <w:r>
        <w:rPr>
          <w:rFonts w:ascii="Times New Roman" w:eastAsia="SimSun" w:hAnsi="Times New Roman"/>
          <w:b/>
          <w:bCs/>
          <w:sz w:val="24"/>
          <w:szCs w:val="24"/>
        </w:rPr>
        <w:t xml:space="preserve">2 分钟</w:t>
      </w:r>
      <w:r>
        <w:rPr>
          <w:rFonts w:ascii="Times New Roman" w:eastAsia="SimSun" w:hAnsi="Times New Roman"/>
          <w:sz w:val="24"/>
          <w:szCs w:val="24"/>
        </w:rPr>
        <w:t xml:space="preserve">窗口整定的。若直接按感知周期输入，把感知周期由 10 s 缩至 2 s 即等于把窗口缩至 24 s：阈值未变而含义已变——净升条件将取代速率条件成为实际门槛，判定“快速上升”所需的斜率反而由 1.2 °C/min 抬高至约 2 °C/min。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同理，基线的预热样本数与重学判据在实现上按样本计数，其语义却是时长，二者均由感知周期反推得出（预热 4 min、重学 1 h），从而在感知周期改变时保持不变。</w:t>
      </w:r>
    </w:p>
    <w:p>
      <w:pPr>
        <w:pStyle w:val="Heading2"/>
        <w:spacing w:after="80" w:before="160" w:line="440" w:lineRule="exact"/>
      </w:pPr>
      <w:r>
        <w:rPr>
          <w:rFonts w:ascii="Arial" w:eastAsia="SimHei" w:hAnsi="Arial"/>
          <w:b/>
          <w:bCs/>
          <w:sz w:val="24"/>
          <w:szCs w:val="24"/>
        </w:rPr>
        <w:t xml:space="preserve">3.5  云端接口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设备按 IoTDA 官方主题与 JSON 结构上报，单条消息含两个 service：Environment 承载 temperature 与 humidity，EdgeReasoning 承载 state、severity、confidence 与 reason_code。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EdgeReasoning 即设备自身的判决结论。云端与本地服务均</w:t>
      </w:r>
      <w:r>
        <w:rPr>
          <w:rFonts w:ascii="Times New Roman" w:eastAsia="SimSun" w:hAnsi="Times New Roman"/>
          <w:b/>
          <w:bCs/>
          <w:sz w:val="24"/>
          <w:szCs w:val="24"/>
        </w:rPr>
        <w:t xml:space="preserve">原样存储与展示，不重新计算</w:t>
      </w:r>
      <w:r>
        <w:rPr>
          <w:rFonts w:ascii="Times New Roman" w:eastAsia="SimSun" w:hAnsi="Times New Roman"/>
          <w:sz w:val="24"/>
          <w:szCs w:val="24"/>
        </w:rPr>
        <w:t xml:space="preserve">——设备掌握云端不具备的传感历史与学习基线，若云端独立判决并与之不一致，将导致现场显示与远程显示相互矛盾。</w:t>
      </w:r>
    </w:p>
    <w:p>
      <w:pPr>
        <w:pStyle w:val="Heading1"/>
        <w:spacing w:after="120" w:before="240" w:line="440" w:lineRule="exact"/>
      </w:pPr>
      <w:r>
        <w:rPr>
          <w:rFonts w:ascii="Arial" w:eastAsia="SimHei" w:hAnsi="Arial"/>
          <w:b/>
          <w:bCs/>
          <w:sz w:val="28"/>
          <w:szCs w:val="28"/>
        </w:rPr>
        <w:t xml:space="preserve">4  测试方案与测试结果</w:t>
      </w:r>
    </w:p>
    <w:p>
      <w:pPr>
        <w:pStyle w:val="Heading2"/>
        <w:spacing w:after="80" w:before="160" w:line="440" w:lineRule="exact"/>
      </w:pPr>
      <w:r>
        <w:rPr>
          <w:rFonts w:ascii="Arial" w:eastAsia="SimHei" w:hAnsi="Arial"/>
          <w:b/>
          <w:bCs/>
          <w:sz w:val="24"/>
          <w:szCs w:val="24"/>
        </w:rPr>
        <w:t xml:space="preserve">4.1  测试条件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室温 24–27 °C，相对湿度 43–48 %RH；告警阈值 30 °C / 70 %RH；感知周期 2 s，云端上报周期 60 s。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激励方式：手掌包覆传感器。需说明的是，掌面接近饱和湿度，包覆后</w:t>
      </w:r>
      <w:r>
        <w:rPr>
          <w:rFonts w:ascii="Times New Roman" w:eastAsia="SimSun" w:hAnsi="Times New Roman"/>
          <w:b/>
          <w:bCs/>
          <w:sz w:val="24"/>
          <w:szCs w:val="24"/>
        </w:rPr>
        <w:t xml:space="preserve">湿度先于温度越限</w:t>
      </w:r>
      <w:r>
        <w:rPr>
          <w:rFonts w:ascii="Times New Roman" w:eastAsia="SimSun" w:hAnsi="Times New Roman"/>
          <w:sz w:val="24"/>
          <w:szCs w:val="24"/>
        </w:rPr>
        <w:t xml:space="preserve">——SHT30 湿度响应 τ63 ≈ 8 s，温度 τ63 ≈ 2 s，但掌内空气湿度在数秒内即达 80 %RH 以上，而热量需经外壳传导。故常温下该激励触发的是湿度告警。若需触发温度告警，改用热源置于传感器 1–2 cm 外（给热不给水汽）。</w:t>
      </w:r>
    </w:p>
    <w:p>
      <w:pPr>
        <w:pStyle w:val="Heading2"/>
        <w:spacing w:after="80" w:before="160" w:line="440" w:lineRule="exact"/>
      </w:pPr>
      <w:r>
        <w:rPr>
          <w:rFonts w:ascii="Arial" w:eastAsia="SimHei" w:hAnsi="Arial"/>
          <w:b/>
          <w:bCs/>
          <w:sz w:val="24"/>
          <w:szCs w:val="24"/>
        </w:rPr>
        <w:t xml:space="preserve">4.2  单元测试（主机）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自适应基线逻辑不含 Arduino 依赖，可在主机直接编译运行。七项断言全部通过：学习与带宽上下界、首样本异常不污染基线、持久化往返与写入节流、复位后强制持久化、窄配置与 millis 回绕、持续偏离触发重学而短暂偏离不触发、重学后硬限仍然有效。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后端 HTTP 接口另有冒烟测试，覆盖设备白名单、量程校验、判决结论往返存取、命令鉴权与参数区间、叙述触发条件，全部通过。</w:t>
      </w:r>
    </w:p>
    <w:p>
      <w:pPr>
        <w:pStyle w:val="Heading2"/>
        <w:spacing w:after="80" w:before="160" w:line="440" w:lineRule="exact"/>
      </w:pPr>
      <w:r>
        <w:rPr>
          <w:rFonts w:ascii="Arial" w:eastAsia="SimHei" w:hAnsi="Arial"/>
          <w:b/>
          <w:bCs/>
          <w:sz w:val="24"/>
          <w:szCs w:val="24"/>
        </w:rPr>
        <w:t xml:space="preserve">4.3  系统联试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b/>
          <w:bCs/>
          <w:sz w:val="24"/>
          <w:szCs w:val="24"/>
        </w:rPr>
        <w:t xml:space="preserve">告警功能与网络无关性。</w:t>
      </w:r>
      <w:r>
        <w:rPr>
          <w:rFonts w:ascii="Times New Roman" w:eastAsia="SimSun" w:hAnsi="Times New Roman"/>
          <w:sz w:val="24"/>
          <w:szCs w:val="24"/>
        </w:rPr>
        <w:t xml:space="preserve"> 关闭 Wi-Fi 后施加激励，蜂鸣器与 OLED 行为与联网时无差异。为在室温下复现“冷启动即越限”这一最不利工况，将告警阈值临时下调至 20 °C（低于当时室温 24.2 °C）后复位设备，串口输出为：</w:t>
      </w:r>
    </w:p>
    <w:p>
      <w:pPr>
        <w:spacing w:after="0" w:before="60" w:line="240" w:lineRule="exact"/>
        <w:ind w:left="240"/>
      </w:pPr>
      <w:r>
        <w:rPr>
          <w:rFonts w:ascii="Consolas" w:eastAsia="SimSun" w:hAnsi="Consolas"/>
          <w:sz w:val="18"/>
          <w:szCs w:val="18"/>
        </w:rPr>
        <w:t xml:space="preserve">[SAFETY] Dedicated 1 Hz task started</w:t>
      </w:r>
    </w:p>
    <w:p>
      <w:pPr>
        <w:spacing w:after="0" w:before="0" w:line="240" w:lineRule="exact"/>
        <w:ind w:left="240"/>
      </w:pPr>
      <w:r>
        <w:rPr>
          <w:rFonts w:ascii="Consolas" w:eastAsia="SimSun" w:hAnsi="Consolas"/>
          <w:sz w:val="18"/>
          <w:szCs w:val="18"/>
        </w:rPr>
        <w:t xml:space="preserve">[WiFi] Connecting to ...</w:t>
      </w:r>
    </w:p>
    <w:p>
      <w:pPr>
        <w:spacing w:after="0" w:before="0" w:line="240" w:lineRule="exact"/>
        <w:ind w:left="240"/>
      </w:pPr>
      <w:r>
        <w:rPr>
          <w:rFonts w:ascii="Consolas" w:eastAsia="SimSun" w:hAnsi="Consolas"/>
          <w:sz w:val="18"/>
          <w:szCs w:val="18"/>
        </w:rPr>
        <w:t xml:space="preserve">[ALARM] buzzer on, OLED: ALARM  TEMP 24.2C LIMIT 20.0C   &lt;- 网络尚未连通</w:t>
      </w:r>
    </w:p>
    <w:p>
      <w:pPr>
        <w:spacing w:after="60" w:before="0" w:line="240" w:lineRule="exact"/>
        <w:ind w:left="240"/>
      </w:pPr>
      <w:r>
        <w:rPr>
          <w:rFonts w:ascii="Consolas" w:eastAsia="SimSun" w:hAnsi="Consolas"/>
          <w:sz w:val="18"/>
          <w:szCs w:val="18"/>
        </w:rPr>
        <w:t xml:space="preserve">[WiFi] Connected!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告警发生在 Wi-Fi 连接完成之前。作为对照，将同一判据置于主循环的版本中，该行出现在 [MQTT] Connected 之后，即需额外等待 Wi-Fi、NTP、MQTT 三段连接。验证后阈值已复原为 30 °C。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b/>
          <w:bCs/>
          <w:sz w:val="24"/>
          <w:szCs w:val="24"/>
        </w:rPr>
        <w:t xml:space="preserve">云端上报。</w:t>
      </w:r>
      <w:r>
        <w:rPr>
          <w:rFonts w:ascii="Times New Roman" w:eastAsia="SimSun" w:hAnsi="Times New Roman"/>
          <w:sz w:val="24"/>
          <w:szCs w:val="24"/>
        </w:rPr>
        <w:t xml:space="preserve"> 设备经 MQTTS(8883) 接入 IoTDA，控制台可见两个 service 的属性数据，串口对应输出 [IoTDA] Combined publish OK。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b/>
          <w:bCs/>
          <w:sz w:val="24"/>
          <w:szCs w:val="24"/>
        </w:rPr>
        <w:t xml:space="preserve">存储行为。</w:t>
      </w:r>
      <w:r>
        <w:rPr>
          <w:rFonts w:ascii="Times New Roman" w:eastAsia="SimSun" w:hAnsi="Times New Roman"/>
          <w:sz w:val="24"/>
          <w:szCs w:val="24"/>
        </w:rPr>
        <w:t xml:space="preserve"> 设备每个感知周期上报一次判决，而 edge_assessments 表仅记录状态变迁：实测 8 次上报产生 3 行记录，每行时间戳即该状态的起始时刻。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b/>
          <w:bCs/>
          <w:sz w:val="24"/>
          <w:szCs w:val="24"/>
        </w:rPr>
        <w:t xml:space="preserve">降级行为。</w:t>
      </w:r>
      <w:r>
        <w:rPr>
          <w:rFonts w:ascii="Times New Roman" w:eastAsia="SimSun" w:hAnsi="Times New Roman"/>
          <w:sz w:val="24"/>
          <w:szCs w:val="24"/>
        </w:rPr>
        <w:t xml:space="preserve"> 本地服务不可达时按指数退避重试（10 s 起，倍增至 5 min 封顶），推理、告警与云端上报均不受影响，且不在 OLED 上呈现——本地服务是验证夹具而非数据链路的一环，把它的缺席显示为设备状态会错误传达故障位置。传感器读数无效或快照超过 1.5 s 时阻断上报，而非发送陈旧值。</w:t>
      </w:r>
    </w:p>
    <w:p>
      <w:pPr>
        <w:pStyle w:val="Heading2"/>
        <w:spacing w:after="80" w:before="160" w:line="440" w:lineRule="exact"/>
      </w:pPr>
      <w:r>
        <w:rPr>
          <w:rFonts w:ascii="Arial" w:eastAsia="SimHei" w:hAnsi="Arial"/>
          <w:b/>
          <w:bCs/>
          <w:sz w:val="24"/>
          <w:szCs w:val="24"/>
        </w:rPr>
        <w:t xml:space="preserve">4.4  资源占用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构建工具链接后直接给出（数值可由 pio run 复现）：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1"/>
        <w:gridCol w:w="3809"/>
        <w:gridCol w:w="1361"/>
        <w:gridCol w:w="1361"/>
        <w:gridCol w:w="1088"/>
      </w:tblGrid>
      <w:tr>
        <w:trPr>
          <w:tblHeader/>
        </w:trPr>
        <w:tc>
          <w:tcPr>
            <w:tcW w:type="dxa" w:w="1451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  <w:jc w:val="center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项目</w:t>
            </w:r>
          </w:p>
        </w:tc>
        <w:tc>
          <w:tcPr>
            <w:tcW w:type="dxa" w:w="3809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  <w:jc w:val="center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主要构成</w:t>
            </w:r>
          </w:p>
        </w:tc>
        <w:tc>
          <w:tcPr>
            <w:tcW w:type="dxa" w:w="1361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  <w:jc w:val="center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占用</w:t>
            </w:r>
          </w:p>
        </w:tc>
        <w:tc>
          <w:tcPr>
            <w:tcW w:type="dxa" w:w="1361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  <w:jc w:val="center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容量</w:t>
            </w:r>
          </w:p>
        </w:tc>
        <w:tc>
          <w:tcPr>
            <w:tcW w:type="dxa" w:w="1088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  <w:jc w:val="center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比例</w:t>
            </w:r>
          </w:p>
        </w:tc>
      </w:tr>
      <w:tr>
        <w:tc>
          <w:tcPr>
            <w:tcW w:type="dxa" w:w="145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RAM（静态）</w:t>
            </w:r>
          </w:p>
        </w:tc>
        <w:tc>
          <w:tcPr>
            <w:tcW w:type="dxa" w:w="38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.dram0.data + .dram0.bss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47 372 B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327 680 B</w:t>
            </w:r>
          </w:p>
        </w:tc>
        <w:tc>
          <w:tcPr>
            <w:tcW w:type="dxa" w:w="10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14.5 %</w:t>
            </w:r>
          </w:p>
        </w:tc>
      </w:tr>
      <w:tr>
        <w:tc>
          <w:tcPr>
            <w:tcW w:type="dxa" w:w="145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Flash</w:t>
            </w:r>
          </w:p>
        </w:tc>
        <w:tc>
          <w:tcPr>
            <w:tcW w:type="dxa" w:w="380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.flash.text + .flash.rodata + .iram0.text + .dram0.data + 向量表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963 673 B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6 553 600 B</w:t>
            </w:r>
          </w:p>
        </w:tc>
        <w:tc>
          <w:tcPr>
            <w:tcW w:type="dxa" w:w="10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14.7 %</w:t>
            </w:r>
          </w:p>
        </w:tc>
      </w:tr>
    </w:tbl>
    <w:p>
      <w:pPr>
        <w:spacing w:line="120" w:lineRule="exact"/>
      </w:pPr>
      <w:r>
        <w:rPr>
          <w:sz w:val="12"/>
          <w:szCs w:val="12"/>
        </w:rPr>
        <w:t xml:space="preserve"/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两点须说明：RAM 一列为</w:t>
      </w:r>
      <w:r>
        <w:rPr>
          <w:rFonts w:ascii="Times New Roman" w:eastAsia="SimSun" w:hAnsi="Times New Roman"/>
          <w:b/>
          <w:bCs/>
          <w:sz w:val="24"/>
          <w:szCs w:val="24"/>
        </w:rPr>
        <w:t xml:space="preserve">链接期静态分配</w:t>
      </w:r>
      <w:r>
        <w:rPr>
          <w:rFonts w:ascii="Times New Roman" w:eastAsia="SimSun" w:hAnsi="Times New Roman"/>
          <w:sz w:val="24"/>
          <w:szCs w:val="24"/>
        </w:rPr>
        <w:t xml:space="preserve">，不含运行时堆与任务栈（安全任务栈另计 4 KB）；Flash 分母为分区表 default_16MB.csv 中 app0 分区容量 0x640000 = 6.25 MB，而非 16 MB 整片。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推理本身的增量开销可单独估计：12 样本环形缓冲共 12 × (2 × float + uint32) = 144 B，自适应基线状态 6 个 float 加计数器不足 40 B，合计不到 0.2 KB，其余占用来自 Wi-Fi/TLS/MQTT 协议栈。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单设备每日产生 43 200 次本地判决（2 s 周期），全部在设备上完成，无计费开销；上行云端消息 1 440 条，占免费额度 14%。</w:t>
      </w:r>
    </w:p>
    <w:p>
      <w:pPr>
        <w:pStyle w:val="Heading1"/>
        <w:spacing w:after="120" w:before="240" w:line="440" w:lineRule="exact"/>
      </w:pPr>
      <w:r>
        <w:rPr>
          <w:rFonts w:ascii="Arial" w:eastAsia="SimHei" w:hAnsi="Arial"/>
          <w:b/>
          <w:bCs/>
          <w:sz w:val="28"/>
          <w:szCs w:val="28"/>
        </w:rPr>
        <w:t xml:space="preserve">5  结果分析与结论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实测表明，将判决下沉至 MCU 的方案达到了设计目标。</w:t>
      </w:r>
      <w:r>
        <w:rPr>
          <w:rFonts w:ascii="Times New Roman" w:eastAsia="SimSun" w:hAnsi="Times New Roman"/>
          <w:b/>
          <w:bCs/>
          <w:sz w:val="24"/>
          <w:szCs w:val="24"/>
        </w:rPr>
        <w:t xml:space="preserve">告警可用性与网络解耦</w:t>
      </w:r>
      <w:r>
        <w:rPr>
          <w:rFonts w:ascii="Times New Roman" w:eastAsia="SimSun" w:hAnsi="Times New Roman"/>
          <w:sz w:val="24"/>
          <w:szCs w:val="24"/>
        </w:rPr>
        <w:t xml:space="preserve">：断网、云端不可达、冷启动进入异常环境三种条件下，告警时延与联网时一致（≤ 1 s）；这一性质来自架构而非补救，判决路径中不存在网络调用。</w:t>
      </w:r>
      <w:r>
        <w:rPr>
          <w:rFonts w:ascii="Times New Roman" w:eastAsia="SimSun" w:hAnsi="Times New Roman"/>
          <w:b/>
          <w:bCs/>
          <w:sz w:val="24"/>
          <w:szCs w:val="24"/>
        </w:rPr>
        <w:t xml:space="preserve">适应性与安全性可以共存</w:t>
      </w:r>
      <w:r>
        <w:rPr>
          <w:rFonts w:ascii="Times New Roman" w:eastAsia="SimSun" w:hAnsi="Times New Roman"/>
          <w:sz w:val="24"/>
          <w:szCs w:val="24"/>
        </w:rPr>
        <w:t xml:space="preserve">：自适应带被钳制在固定硬限内侧，且告警阈值不参与学习，因此允许基线随环境移动不会削弱任何安全保证——会自适应的部分与提供保证的部分被显式分开，且前者被后者约束。</w:t>
      </w:r>
      <w:r>
        <w:rPr>
          <w:rFonts w:ascii="Times New Roman" w:eastAsia="SimSun" w:hAnsi="Times New Roman"/>
          <w:b/>
          <w:bCs/>
          <w:sz w:val="24"/>
          <w:szCs w:val="24"/>
        </w:rPr>
        <w:t xml:space="preserve">开销可忽略</w:t>
      </w:r>
      <w:r>
        <w:rPr>
          <w:rFonts w:ascii="Times New Roman" w:eastAsia="SimSun" w:hAnsi="Times New Roman"/>
          <w:sz w:val="24"/>
          <w:szCs w:val="24"/>
        </w:rPr>
        <w:t xml:space="preserve">：RAM 与 Flash 占用均低于 15%，其中推理本身不足 0.2 KB。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尚未完成的部分如实列出：经 IoTDA 应用侧接口下发命令尚未实现（当前命令由本地服务队列下发，设备侧接收与回执已实现并验证）；可视化仅有本地网页，尚未部署至云端；设备侧 Wi-Fi、MQTT、NTP 状态仅在 OLED 显示，未纳入上报报文；系统按单设备设计，数据模型虽以设备号为键，但无分组与告警分级策略。</w:t>
      </w:r>
    </w:p>
    <w:p>
      <w:pPr>
        <w:spacing w:after="0" w:before="0" w:line="440" w:lineRule="exact"/>
        <w:ind w:firstLine="480"/>
      </w:pPr>
      <w:r>
        <w:rPr>
          <w:rFonts w:ascii="Times New Roman" w:eastAsia="SimSun" w:hAnsi="Times New Roman"/>
          <w:sz w:val="24"/>
          <w:szCs w:val="24"/>
        </w:rPr>
        <w:t xml:space="preserve">后续工作方向：将 IoTDA 转发接入云端看板以摆脱同网段依赖；补齐应用侧命令下发；扩展多设备管理与告警分级；将开发板与模块整合为单块印制板，以消除接线引入的故障点。</w:t>
      </w:r>
    </w:p>
    <w:p>
      <w:r>
        <w:br w:type="page"/>
      </w:r>
    </w:p>
    <w:p>
      <w:pPr>
        <w:pStyle w:val="Heading1"/>
        <w:spacing w:after="120" w:before="240" w:line="440" w:lineRule="exact"/>
      </w:pPr>
      <w:r>
        <w:rPr>
          <w:rFonts w:ascii="Arial" w:eastAsia="SimHei" w:hAnsi="Arial"/>
          <w:b/>
          <w:bCs/>
          <w:sz w:val="28"/>
          <w:szCs w:val="28"/>
        </w:rPr>
        <w:t xml:space="preserve">附录 A  判据与主要参数</w:t>
      </w:r>
    </w:p>
    <w:p>
      <w:pPr>
        <w:spacing w:after="0" w:before="0" w:line="440" w:lineRule="exact"/>
      </w:pPr>
      <w:r>
        <w:rPr>
          <w:rFonts w:ascii="Times New Roman" w:eastAsia="SimSun" w:hAnsi="Times New Roman"/>
          <w:sz w:val="24"/>
          <w:szCs w:val="24"/>
        </w:rPr>
        <w:t xml:space="preserve">EdgeReasoner 状态判据（按顺序求值，首个命中生效）：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1270"/>
        <w:gridCol w:w="5079"/>
      </w:tblGrid>
      <w:tr>
        <w:trPr>
          <w:tblHeader/>
        </w:trPr>
        <w:tc>
          <w:tcPr>
            <w:tcW w:type="dxa" w:w="2721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  <w:jc w:val="center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状态</w:t>
            </w:r>
          </w:p>
        </w:tc>
        <w:tc>
          <w:tcPr>
            <w:tcW w:type="dxa" w:w="1270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  <w:jc w:val="center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严重度</w:t>
            </w:r>
          </w:p>
        </w:tc>
        <w:tc>
          <w:tcPr>
            <w:tcW w:type="dxa" w:w="5079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  <w:jc w:val="center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条件</w:t>
            </w:r>
          </w:p>
        </w:tc>
      </w:tr>
      <w:tr>
        <w:tc>
          <w:tcPr>
            <w:tcW w:type="dxa" w:w="27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WARMUP</w:t>
            </w:r>
          </w:p>
        </w:tc>
        <w:tc>
          <w:tcPr>
            <w:tcW w:type="dxa" w:w="12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info</w:t>
            </w:r>
          </w:p>
        </w:tc>
        <w:tc>
          <w:tcPr>
            <w:tcW w:type="dxa" w:w="5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样本 &lt; 4</w:t>
            </w:r>
          </w:p>
        </w:tc>
      </w:tr>
      <w:tr>
        <w:tc>
          <w:tcPr>
            <w:tcW w:type="dxa" w:w="27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UNSTABLE</w:t>
            </w:r>
          </w:p>
        </w:tc>
        <w:tc>
          <w:tcPr>
            <w:tcW w:type="dxa" w:w="12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warning</w:t>
            </w:r>
          </w:p>
        </w:tc>
        <w:tc>
          <w:tcPr>
            <w:tcW w:type="dxa" w:w="5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窗口极差 ≥ 4 °C 或 ≥ 15 %RH，或相邻步进 ≥ 2.5 °C 或 ≥ 10 %RH</w:t>
            </w:r>
          </w:p>
        </w:tc>
      </w:tr>
      <w:tr>
        <w:tc>
          <w:tcPr>
            <w:tcW w:type="dxa" w:w="27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HEAT_HUMID_RISK</w:t>
            </w:r>
          </w:p>
        </w:tc>
        <w:tc>
          <w:tcPr>
            <w:tcW w:type="dxa" w:w="12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warning</w:t>
            </w:r>
          </w:p>
        </w:tc>
        <w:tc>
          <w:tcPr>
            <w:tcW w:type="dxa" w:w="5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≥ 30 °C 且 ≥ 70 %RH</w:t>
            </w:r>
          </w:p>
        </w:tc>
      </w:tr>
      <w:tr>
        <w:tc>
          <w:tcPr>
            <w:tcW w:type="dxa" w:w="27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TEMP_RISING</w:t>
            </w:r>
          </w:p>
        </w:tc>
        <w:tc>
          <w:tcPr>
            <w:tcW w:type="dxa" w:w="12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warning</w:t>
            </w:r>
          </w:p>
        </w:tc>
        <w:tc>
          <w:tcPr>
            <w:tcW w:type="dxa" w:w="5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≥ 1.2 °C/min 且净升 ≥ 0.8 °C</w:t>
            </w:r>
          </w:p>
        </w:tc>
      </w:tr>
      <w:tr>
        <w:tc>
          <w:tcPr>
            <w:tcW w:type="dxa" w:w="27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HUMIDITY_RISING</w:t>
            </w:r>
          </w:p>
        </w:tc>
        <w:tc>
          <w:tcPr>
            <w:tcW w:type="dxa" w:w="12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warning</w:t>
            </w:r>
          </w:p>
        </w:tc>
        <w:tc>
          <w:tcPr>
            <w:tcW w:type="dxa" w:w="5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≥ 4 %RH/min 且净升 ≥ 3 %RH</w:t>
            </w:r>
          </w:p>
        </w:tc>
      </w:tr>
      <w:tr>
        <w:tc>
          <w:tcPr>
            <w:tcW w:type="dxa" w:w="27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HIGH_TEMPERATURE / HIGH_HUMIDITY</w:t>
            </w:r>
          </w:p>
        </w:tc>
        <w:tc>
          <w:tcPr>
            <w:tcW w:type="dxa" w:w="12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watch</w:t>
            </w:r>
          </w:p>
        </w:tc>
        <w:tc>
          <w:tcPr>
            <w:tcW w:type="dxa" w:w="5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≥ 30 °C / ≥ 70 %RH</w:t>
            </w:r>
          </w:p>
        </w:tc>
      </w:tr>
      <w:tr>
        <w:tc>
          <w:tcPr>
            <w:tcW w:type="dxa" w:w="27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NORMAL</w:t>
            </w:r>
          </w:p>
        </w:tc>
        <w:tc>
          <w:tcPr>
            <w:tcW w:type="dxa" w:w="127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info</w:t>
            </w:r>
          </w:p>
        </w:tc>
        <w:tc>
          <w:tcPr>
            <w:tcW w:type="dxa" w:w="5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以上均不满足</w:t>
            </w:r>
          </w:p>
        </w:tc>
      </w:tr>
    </w:tbl>
    <w:p>
      <w:pPr>
        <w:spacing w:line="120" w:lineRule="exact"/>
      </w:pPr>
      <w:r>
        <w:rPr>
          <w:sz w:val="12"/>
          <w:szCs w:val="12"/>
        </w:rPr>
        <w:t xml:space="preserve"/>
      </w:r>
    </w:p>
    <w:p>
      <w:pPr>
        <w:spacing w:after="0" w:before="0" w:line="440" w:lineRule="exact"/>
      </w:pPr>
      <w:r>
        <w:rPr>
          <w:rFonts w:ascii="Times New Roman" w:eastAsia="SimSun" w:hAnsi="Times New Roman"/>
          <w:sz w:val="24"/>
          <w:szCs w:val="24"/>
        </w:rPr>
        <w:t xml:space="preserve">主要参数：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2902"/>
        <w:gridCol w:w="3447"/>
      </w:tblGrid>
      <w:tr>
        <w:trPr>
          <w:tblHeader/>
        </w:trPr>
        <w:tc>
          <w:tcPr>
            <w:tcW w:type="dxa" w:w="2721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  <w:jc w:val="center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参数</w:t>
            </w:r>
          </w:p>
        </w:tc>
        <w:tc>
          <w:tcPr>
            <w:tcW w:type="dxa" w:w="2902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  <w:jc w:val="center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取值</w:t>
            </w:r>
          </w:p>
        </w:tc>
        <w:tc>
          <w:tcPr>
            <w:tcW w:type="dxa" w:w="3447"/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  <w:jc w:val="center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位置</w:t>
            </w:r>
          </w:p>
        </w:tc>
      </w:tr>
      <w:tr>
        <w:tc>
          <w:tcPr>
            <w:tcW w:type="dxa" w:w="27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安全采样 / 感知 / 推理输入 / 云端上报</w:t>
            </w:r>
          </w:p>
        </w:tc>
        <w:tc>
          <w:tcPr>
            <w:tcW w:type="dxa" w:w="290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1 s / 2 s / 10 s / 60 s</w:t>
            </w:r>
          </w:p>
        </w:tc>
        <w:tc>
          <w:tcPr>
            <w:tcW w:type="dxa" w:w="3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SENSE_ 与 CLOUD_INTERVAL_MS 等</w:t>
            </w:r>
          </w:p>
        </w:tc>
      </w:tr>
      <w:tr>
        <w:tc>
          <w:tcPr>
            <w:tcW w:type="dxa" w:w="27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快照最大陈旧时间</w:t>
            </w:r>
          </w:p>
        </w:tc>
        <w:tc>
          <w:tcPr>
            <w:tcW w:type="dxa" w:w="290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1.5 s</w:t>
            </w:r>
          </w:p>
        </w:tc>
        <w:tc>
          <w:tcPr>
            <w:tcW w:type="dxa" w:w="3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SAFETY_SAMPLE_MAX_AGE_MS</w:t>
            </w:r>
          </w:p>
        </w:tc>
      </w:tr>
      <w:tr>
        <w:tc>
          <w:tcPr>
            <w:tcW w:type="dxa" w:w="27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推理窗口</w:t>
            </w:r>
          </w:p>
        </w:tc>
        <w:tc>
          <w:tcPr>
            <w:tcW w:type="dxa" w:w="290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12 样本（跨 2 min）</w:t>
            </w:r>
          </w:p>
        </w:tc>
        <w:tc>
          <w:tcPr>
            <w:tcW w:type="dxa" w:w="3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WINDOW_SIZE</w:t>
            </w:r>
          </w:p>
        </w:tc>
      </w:tr>
      <w:tr>
        <w:tc>
          <w:tcPr>
            <w:tcW w:type="dxa" w:w="27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基线预热 / 重学判据</w:t>
            </w:r>
          </w:p>
        </w:tc>
        <w:tc>
          <w:tcPr>
            <w:tcW w:type="dxa" w:w="290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4 min / 连续带外 1 h</w:t>
            </w:r>
          </w:p>
        </w:tc>
        <w:tc>
          <w:tcPr>
            <w:tcW w:type="dxa" w:w="3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按感知周期折算样本数</w:t>
            </w:r>
          </w:p>
        </w:tc>
      </w:tr>
      <w:tr>
        <w:tc>
          <w:tcPr>
            <w:tcW w:type="dxa" w:w="27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学习率（中心 / 偏差）</w:t>
            </w:r>
          </w:p>
        </w:tc>
        <w:tc>
          <w:tcPr>
            <w:tcW w:type="dxa" w:w="290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0.02 / 0.05</w:t>
            </w:r>
          </w:p>
        </w:tc>
        <w:tc>
          <w:tcPr>
            <w:tcW w:type="dxa" w:w="3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centerLearningRate 等</w:t>
            </w:r>
          </w:p>
        </w:tc>
      </w:tr>
      <w:tr>
        <w:tc>
          <w:tcPr>
            <w:tcW w:type="dxa" w:w="27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告警阈值</w:t>
            </w:r>
          </w:p>
        </w:tc>
        <w:tc>
          <w:tcPr>
            <w:tcW w:type="dxa" w:w="290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30 °C / 70 %RH</w:t>
            </w:r>
          </w:p>
        </w:tc>
        <w:tc>
          <w:tcPr>
            <w:tcW w:type="dxa" w:w="3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ALARM_TEMP_C 等</w:t>
            </w:r>
          </w:p>
        </w:tc>
      </w:tr>
      <w:tr>
        <w:tc>
          <w:tcPr>
            <w:tcW w:type="dxa" w:w="27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固定硬限 / 保护间隔</w:t>
            </w:r>
          </w:p>
        </w:tc>
        <w:tc>
          <w:tcPr>
            <w:tcW w:type="dxa" w:w="290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−10…45 °C、5…95 %RH / 0.5 °C、2 %RH</w:t>
            </w:r>
          </w:p>
        </w:tc>
        <w:tc>
          <w:tcPr>
            <w:tcW w:type="dxa" w:w="34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60" w:lineRule="exact"/>
            </w:pPr>
            <w:r>
              <w:rPr>
                <w:rFonts w:ascii="Times New Roman" w:eastAsia="SimSun" w:hAnsi="Times New Roman"/>
                <w:sz w:val="21"/>
                <w:szCs w:val="21"/>
              </w:rPr>
              <w:t xml:space="preserve">hardTempLowerC 等</w:t>
            </w:r>
          </w:p>
        </w:tc>
      </w:tr>
    </w:tbl>
    <w:p>
      <w:pPr>
        <w:pStyle w:val="Heading1"/>
        <w:spacing w:after="120" w:before="240" w:line="440" w:lineRule="exact"/>
      </w:pPr>
      <w:r>
        <w:rPr>
          <w:rFonts w:ascii="Arial" w:eastAsia="SimHei" w:hAnsi="Arial"/>
          <w:b/>
          <w:bCs/>
          <w:sz w:val="28"/>
          <w:szCs w:val="28"/>
        </w:rPr>
        <w:t xml:space="preserve">附录 B  参考文献</w:t>
      </w:r>
    </w:p>
    <w:p>
      <w:pPr>
        <w:spacing w:after="0" w:before="0" w:line="440" w:lineRule="exact"/>
      </w:pPr>
      <w:r>
        <w:rPr>
          <w:rFonts w:ascii="Times New Roman" w:eastAsia="SimSun" w:hAnsi="Times New Roman"/>
          <w:sz w:val="24"/>
          <w:szCs w:val="24"/>
        </w:rPr>
        <w:t xml:space="preserve">[1] 华为云 IoTDA 设备属性上报接口文档.</w:t>
      </w:r>
    </w:p>
    <w:p>
      <w:pPr>
        <w:spacing w:after="0" w:before="0" w:line="440" w:lineRule="exact"/>
      </w:pPr>
      <w:r>
        <w:rPr>
          <w:rFonts w:ascii="Times New Roman" w:eastAsia="SimSun" w:hAnsi="Times New Roman"/>
          <w:sz w:val="24"/>
          <w:szCs w:val="24"/>
        </w:rPr>
        <w:t xml:space="preserve">[2] Sensirion. SHT3x-DIS Datasheet.</w:t>
      </w:r>
    </w:p>
    <w:p>
      <w:pPr>
        <w:spacing w:after="0" w:before="0" w:line="440" w:lineRule="exact"/>
      </w:pPr>
      <w:r>
        <w:rPr>
          <w:rFonts w:ascii="Times New Roman" w:eastAsia="SimSun" w:hAnsi="Times New Roman"/>
          <w:sz w:val="24"/>
          <w:szCs w:val="24"/>
        </w:rPr>
        <w:t xml:space="preserve">[3] Solomon Systech. SSD1315 Datasheet.</w:t>
      </w:r>
    </w:p>
    <w:p>
      <w:pPr>
        <w:spacing w:after="0" w:before="0" w:line="440" w:lineRule="exact"/>
      </w:pPr>
      <w:r>
        <w:rPr>
          <w:rFonts w:ascii="Times New Roman" w:eastAsia="SimSun" w:hAnsi="Times New Roman"/>
          <w:sz w:val="24"/>
          <w:szCs w:val="24"/>
        </w:rPr>
        <w:t xml:space="preserve">[4] Espressif. ESP32-S3 Technical Reference Manual.</w:t>
      </w:r>
    </w:p>
    <w:sectPr>
      <w:footerReference w:type="default" r:id="rId7"/>
      <w:pgSz w:w="11906" w:h="16838" w:orient="portrait"/>
      <w:pgMar w:top="1701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imes New Roman" w:eastAsia="SimSun" w:hAnsi="Times New Roman"/>
        <w:sz w:val="21"/>
        <w:szCs w:val="21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b8174ff07c0f12fb6f1f721d0ef5f75bdde0caa3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2026-09-03T10:29:09.884Z</dcterms:created>
  <dcterms:modified xsi:type="dcterms:W3CDTF">2026-09-03T10:29:09.885Z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