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line="520" w:lineRule="exact"/>
        <w:jc w:val="center"/>
      </w:pPr>
      <w:r>
        <w:rPr>
          <w:rFonts w:ascii="Arial" w:eastAsia="SimHei" w:hAnsi="Arial"/>
          <w:b/>
          <w:bCs/>
          <w:sz w:val="36"/>
          <w:szCs w:val="36"/>
        </w:rPr>
        <w:t xml:space="preserve">边缘智能环境监测与报警系统</w:t>
      </w:r>
    </w:p>
    <w:p>
      <w:pPr>
        <w:spacing w:after="60" w:line="440" w:lineRule="exact"/>
      </w:pPr>
      <w:r>
        <w:rPr>
          <w:rFonts w:ascii="Arial" w:eastAsia="SimHei" w:hAnsi="Arial"/>
          <w:b/>
          <w:bCs/>
          <w:sz w:val="24"/>
          <w:szCs w:val="24"/>
        </w:rPr>
        <w:t xml:space="preserve">摘要</w:t>
      </w:r>
    </w:p>
    <w:p>
      <w:pPr>
        <w:spacing w:after="0" w:before="0" w:line="440" w:lineRule="exact"/>
        <w:ind w:firstLine="480"/>
      </w:pPr>
      <w:r>
        <w:rPr>
          <w:rFonts w:ascii="Times New Roman" w:eastAsia="SimSun" w:hAnsi="Times New Roman"/>
          <w:sz w:val="24"/>
          <w:szCs w:val="24"/>
        </w:rPr>
        <w:t xml:space="preserve">针对环境监测的两类失效——固定阈值不适应现场本底环境、云端判决在断网时失去告警能力——本系统将判决逻辑完整下沉至 ESP32-S3。设备以 1 Hz 独立任务采样 SHT30，由自适应基线学习安装现场的正常范围，与 12 样本窗口的固定阈值及趋势速率共同给出状态、严重度、置信度与原因码；越限时蜂鸣器与 OLED 在 1 秒内本地告警，判决路径无任何网络调用。同一结论再经 MQTTS 上报华为云 IoTDA 并存入本地 SQLite。自适应带被钳制在固定安全限内侧，学习只能收窄关注范围，不能放宽安全边界。实测断网与冷启动下告警不受影响，占用 RAM 14.5%、Flash 14.7%。</w:t>
      </w:r>
    </w:p>
    <w:p>
      <w:pPr>
        <w:spacing w:line="120" w:lineRule="exact"/>
      </w:pPr>
      <w:r>
        <w:rPr>
          <w:sz w:val="12"/>
          <w:szCs w:val="12"/>
        </w:rPr>
        <w:t xml:space="preserve"/>
      </w:r>
    </w:p>
    <w:p>
      <w:pPr>
        <w:spacing w:after="0" w:before="0" w:line="440" w:lineRule="exact"/>
      </w:pPr>
      <w:r>
        <w:rPr>
          <w:rFonts w:ascii="Times New Roman" w:eastAsia="SimSun" w:hAnsi="Times New Roman"/>
          <w:sz w:val="24"/>
          <w:szCs w:val="24"/>
        </w:rPr>
        <w:t xml:space="preserve">关键词：边缘计算；自适应基线；确定性告警；ESP32-S3；华为云 IoTDA</w:t>
      </w:r>
    </w:p>
    <w:p>
      <w:pPr>
        <w:pStyle w:val="Heading1"/>
        <w:spacing w:after="120" w:before="240" w:line="440" w:lineRule="exact"/>
      </w:pPr>
      <w:r>
        <w:rPr>
          <w:rFonts w:ascii="Arial" w:eastAsia="SimHei" w:hAnsi="Arial"/>
          <w:b/>
          <w:bCs/>
          <w:sz w:val="28"/>
          <w:szCs w:val="28"/>
        </w:rPr>
        <w:t xml:space="preserve">1  方案设计与论证</w:t>
      </w:r>
    </w:p>
    <w:p>
      <w:pPr>
        <w:pStyle w:val="Heading2"/>
        <w:spacing w:after="80" w:before="160" w:line="440" w:lineRule="exact"/>
      </w:pPr>
      <w:r>
        <w:rPr>
          <w:rFonts w:ascii="Arial" w:eastAsia="SimHei" w:hAnsi="Arial"/>
          <w:b/>
          <w:bCs/>
          <w:sz w:val="24"/>
          <w:szCs w:val="24"/>
        </w:rPr>
        <w:t xml:space="preserve">1.1  问题分析</w:t>
      </w:r>
    </w:p>
    <w:p>
      <w:pPr>
        <w:spacing w:after="0" w:before="0" w:line="440" w:lineRule="exact"/>
        <w:ind w:firstLine="480"/>
      </w:pPr>
      <w:r>
        <w:rPr>
          <w:rFonts w:ascii="Times New Roman" w:eastAsia="SimSun" w:hAnsi="Times New Roman"/>
          <w:sz w:val="24"/>
          <w:szCs w:val="24"/>
        </w:rPr>
        <w:t xml:space="preserve">温湿度监测的告警环节存在两个独立的失效模式。其一，</w:t>
      </w:r>
      <w:r>
        <w:rPr>
          <w:rFonts w:ascii="Times New Roman" w:eastAsia="SimSun" w:hAnsi="Times New Roman"/>
          <w:b/>
          <w:bCs/>
          <w:sz w:val="24"/>
          <w:szCs w:val="24"/>
        </w:rPr>
        <w:t xml:space="preserve">固定阈值不具备场所适应性</w:t>
      </w:r>
      <w:r>
        <w:rPr>
          <w:rFonts w:ascii="Times New Roman" w:eastAsia="SimSun" w:hAnsi="Times New Roman"/>
          <w:sz w:val="24"/>
          <w:szCs w:val="24"/>
        </w:rPr>
        <w:t xml:space="preserve">：同一套阈值用于常温机房与锅炉房，前者误报、后者漏报，而设备无法预先知道安装现场的本底环境。其二，</w:t>
      </w:r>
      <w:r>
        <w:rPr>
          <w:rFonts w:ascii="Times New Roman" w:eastAsia="SimSun" w:hAnsi="Times New Roman"/>
          <w:b/>
          <w:bCs/>
          <w:sz w:val="24"/>
          <w:szCs w:val="24"/>
        </w:rPr>
        <w:t xml:space="preserve">判决依赖网络则在断网时失效</w:t>
      </w:r>
      <w:r>
        <w:rPr>
          <w:rFonts w:ascii="Times New Roman" w:eastAsia="SimSun" w:hAnsi="Times New Roman"/>
          <w:sz w:val="24"/>
          <w:szCs w:val="24"/>
        </w:rPr>
        <w:t xml:space="preserve">，而断网恰恰与供电异常、设备故障等需要告警的场景高度相关——系统最需要工作的时刻，正是它最可能失效的时刻。</w:t>
      </w:r>
    </w:p>
    <w:p>
      <w:pPr>
        <w:spacing w:after="0" w:before="0" w:line="440" w:lineRule="exact"/>
        <w:ind w:firstLine="480"/>
      </w:pPr>
      <w:r>
        <w:rPr>
          <w:rFonts w:ascii="Times New Roman" w:eastAsia="SimSun" w:hAnsi="Times New Roman"/>
          <w:sz w:val="24"/>
          <w:szCs w:val="24"/>
        </w:rPr>
        <w:t xml:space="preserve">近年常见的“云端大模型分析”方案同时继承了这两个问题：每一次判决都依赖连通性、API 配额，以及模型返回可解析结构化输出的能力。</w:t>
      </w:r>
    </w:p>
    <w:p>
      <w:pPr>
        <w:pStyle w:val="Heading2"/>
        <w:spacing w:after="80" w:before="160" w:line="440" w:lineRule="exact"/>
      </w:pPr>
      <w:r>
        <w:rPr>
          <w:rFonts w:ascii="Arial" w:eastAsia="SimHei" w:hAnsi="Arial"/>
          <w:b/>
          <w:bCs/>
          <w:sz w:val="24"/>
          <w:szCs w:val="24"/>
        </w:rPr>
        <w:t xml:space="preserve">1.2  方案比较与选择</w:t>
      </w:r>
    </w:p>
    <w:p>
      <w:pPr>
        <w:spacing w:after="0" w:before="0" w:line="440" w:lineRule="exact"/>
        <w:ind w:firstLine="480"/>
      </w:pPr>
      <w:r>
        <w:rPr>
          <w:rFonts w:ascii="Times New Roman" w:eastAsia="SimSun" w:hAnsi="Times New Roman"/>
          <w:sz w:val="24"/>
          <w:szCs w:val="24"/>
        </w:rPr>
        <w:t xml:space="preserve">围绕“判决在哪里做”，比较三种方案：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28"/>
        <w:gridCol w:w="2375"/>
        <w:gridCol w:w="2160"/>
        <w:gridCol w:w="2807"/>
      </w:tblGrid>
      <w:tr>
        <w:trPr>
          <w:tblHeader/>
        </w:trPr>
        <w:tc>
          <w:tcPr>
            <w:tcW w:type="dxa" w:w="1728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 w:lineRule="exact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对比项</w:t>
            </w:r>
          </w:p>
        </w:tc>
        <w:tc>
          <w:tcPr>
            <w:tcW w:type="dxa" w:w="2375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 w:lineRule="exact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方案一：云端判决</w:t>
            </w:r>
          </w:p>
        </w:tc>
        <w:tc>
          <w:tcPr>
            <w:tcW w:type="dxa" w:w="216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 w:lineRule="exact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方案二：纯固定阈值</w:t>
            </w:r>
          </w:p>
        </w:tc>
        <w:tc>
          <w:tcPr>
            <w:tcW w:type="dxa" w:w="2807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 w:lineRule="exact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方案三：片上自适应判决</w:t>
            </w:r>
          </w:p>
        </w:tc>
      </w:tr>
      <w:tr>
        <w:tc>
          <w:tcPr>
            <w:tcW w:type="dxa" w:w="172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 w:lineRule="exact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断网可用</w:t>
            </w:r>
          </w:p>
        </w:tc>
        <w:tc>
          <w:tcPr>
            <w:tcW w:type="dxa" w:w="237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 w:lineRule="exact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否</w:t>
            </w:r>
          </w:p>
        </w:tc>
        <w:tc>
          <w:tcPr>
            <w:tcW w:type="dxa" w:w="2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 w:lineRule="exact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是</w:t>
            </w:r>
          </w:p>
        </w:tc>
        <w:tc>
          <w:tcPr>
            <w:tcW w:type="dxa" w:w="280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 w:lineRule="exact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是</w:t>
            </w:r>
          </w:p>
        </w:tc>
      </w:tr>
      <w:tr>
        <w:tc>
          <w:tcPr>
            <w:tcW w:type="dxa" w:w="172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 w:lineRule="exact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场所适应性</w:t>
            </w:r>
          </w:p>
        </w:tc>
        <w:tc>
          <w:tcPr>
            <w:tcW w:type="dxa" w:w="237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 w:lineRule="exact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依赖提示词</w:t>
            </w:r>
          </w:p>
        </w:tc>
        <w:tc>
          <w:tcPr>
            <w:tcW w:type="dxa" w:w="2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 w:lineRule="exact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无</w:t>
            </w:r>
          </w:p>
        </w:tc>
        <w:tc>
          <w:tcPr>
            <w:tcW w:type="dxa" w:w="280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 w:lineRule="exact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有，且有界</w:t>
            </w:r>
          </w:p>
        </w:tc>
      </w:tr>
      <w:tr>
        <w:tc>
          <w:tcPr>
            <w:tcW w:type="dxa" w:w="172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 w:lineRule="exact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告警时延</w:t>
            </w:r>
          </w:p>
        </w:tc>
        <w:tc>
          <w:tcPr>
            <w:tcW w:type="dxa" w:w="237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 w:lineRule="exact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往返 + 推理，不可控</w:t>
            </w:r>
          </w:p>
        </w:tc>
        <w:tc>
          <w:tcPr>
            <w:tcW w:type="dxa" w:w="2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 w:lineRule="exact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&lt; 1 s</w:t>
            </w:r>
          </w:p>
        </w:tc>
        <w:tc>
          <w:tcPr>
            <w:tcW w:type="dxa" w:w="280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 w:lineRule="exact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&lt; 1 s</w:t>
            </w:r>
          </w:p>
        </w:tc>
      </w:tr>
      <w:tr>
        <w:tc>
          <w:tcPr>
            <w:tcW w:type="dxa" w:w="172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 w:lineRule="exact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单次判决成本</w:t>
            </w:r>
          </w:p>
        </w:tc>
        <w:tc>
          <w:tcPr>
            <w:tcW w:type="dxa" w:w="237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 w:lineRule="exact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按 API 计费</w:t>
            </w:r>
          </w:p>
        </w:tc>
        <w:tc>
          <w:tcPr>
            <w:tcW w:type="dxa" w:w="2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 w:lineRule="exact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0</w:t>
            </w:r>
          </w:p>
        </w:tc>
        <w:tc>
          <w:tcPr>
            <w:tcW w:type="dxa" w:w="280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 w:lineRule="exact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0</w:t>
            </w:r>
          </w:p>
        </w:tc>
      </w:tr>
      <w:tr>
        <w:tc>
          <w:tcPr>
            <w:tcW w:type="dxa" w:w="172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 w:lineRule="exact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误报抑制</w:t>
            </w:r>
          </w:p>
        </w:tc>
        <w:tc>
          <w:tcPr>
            <w:tcW w:type="dxa" w:w="237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 w:lineRule="exact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依赖模型</w:t>
            </w:r>
          </w:p>
        </w:tc>
        <w:tc>
          <w:tcPr>
            <w:tcW w:type="dxa" w:w="2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 w:lineRule="exact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无</w:t>
            </w:r>
          </w:p>
        </w:tc>
        <w:tc>
          <w:tcPr>
            <w:tcW w:type="dxa" w:w="280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 w:lineRule="exact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趋势 + 迟滞 + 不可信判定</w:t>
            </w:r>
          </w:p>
        </w:tc>
      </w:tr>
    </w:tbl>
    <w:p>
      <w:pPr>
        <w:spacing w:line="120" w:lineRule="exact"/>
      </w:pPr>
      <w:r>
        <w:rPr>
          <w:sz w:val="12"/>
          <w:szCs w:val="12"/>
        </w:rPr>
        <w:t xml:space="preserve"/>
      </w:r>
    </w:p>
    <w:p>
      <w:pPr>
        <w:spacing w:after="0" w:before="0" w:line="440" w:lineRule="exact"/>
        <w:ind w:firstLine="480"/>
      </w:pPr>
      <w:r>
        <w:rPr>
          <w:rFonts w:ascii="Times New Roman" w:eastAsia="SimSun" w:hAnsi="Times New Roman"/>
          <w:sz w:val="24"/>
          <w:szCs w:val="24"/>
        </w:rPr>
        <w:t xml:space="preserve">方案一在演示中效果好，但把告警的可用性绑定在三个外部条件上；方案二可靠但不解决适应性问题。</w:t>
      </w:r>
    </w:p>
    <w:p>
      <w:pPr>
        <w:spacing w:after="0" w:before="0" w:line="440" w:lineRule="exact"/>
        <w:ind w:firstLine="480"/>
      </w:pPr>
      <w:r>
        <w:rPr>
          <w:rFonts w:ascii="Times New Roman" w:eastAsia="SimSun" w:hAnsi="Times New Roman"/>
          <w:b/>
          <w:bCs/>
          <w:sz w:val="24"/>
          <w:szCs w:val="24"/>
        </w:rPr>
        <w:t xml:space="preserve">本系统选择方案三</w:t>
      </w:r>
      <w:r>
        <w:rPr>
          <w:rFonts w:ascii="Times New Roman" w:eastAsia="SimSun" w:hAnsi="Times New Roman"/>
          <w:sz w:val="24"/>
          <w:szCs w:val="24"/>
        </w:rPr>
        <w:t xml:space="preserve">：判决全部由 MCU 上的确定性代码完成，网络只负责把已经得出的结论送出去，从不参与产生结论。这一选择的代价是设备端计算与存储开销，实测该开销可忽略（4.4 节）。</w:t>
      </w:r>
    </w:p>
    <w:p>
      <w:pPr>
        <w:spacing w:after="0" w:before="0" w:line="440" w:lineRule="exact"/>
        <w:ind w:firstLine="480"/>
      </w:pPr>
      <w:r>
        <w:rPr>
          <w:rFonts w:ascii="Times New Roman" w:eastAsia="SimSun" w:hAnsi="Times New Roman"/>
          <w:sz w:val="24"/>
          <w:szCs w:val="24"/>
        </w:rPr>
        <w:t xml:space="preserve">本系统仍保留一个大语言模型接口，但其职责被严格限定为把状态变化翻译成人类可读的语句。代码中不存在任何将模型输出转换为告警或控制指令的路径，该功能默认关闭，关闭后系统监测与告警功能完整。</w:t>
      </w:r>
    </w:p>
    <w:p>
      <w:pPr>
        <w:pStyle w:val="Heading2"/>
        <w:spacing w:after="80" w:before="160" w:line="440" w:lineRule="exact"/>
      </w:pPr>
      <w:r>
        <w:rPr>
          <w:rFonts w:ascii="Arial" w:eastAsia="SimHei" w:hAnsi="Arial"/>
          <w:b/>
          <w:bCs/>
          <w:sz w:val="24"/>
          <w:szCs w:val="24"/>
        </w:rPr>
        <w:t xml:space="preserve">1.3  系统总体方案</w:t>
      </w:r>
    </w:p>
    <w:p>
      <w:pPr>
        <w:spacing w:after="0" w:before="0" w:line="440" w:lineRule="exact"/>
        <w:ind w:firstLine="480"/>
      </w:pPr>
      <w:r>
        <w:rPr>
          <w:rFonts w:ascii="Times New Roman" w:eastAsia="SimSun" w:hAnsi="Times New Roman"/>
          <w:sz w:val="24"/>
          <w:szCs w:val="24"/>
        </w:rPr>
        <w:t xml:space="preserve">系统总体结构如图 1 所示。虚线框内为 ESP32-S3 片上决策域，采样、滤波、基线学习、限值判定与告警输出全部在框内闭环；虚线框右侧的云平台与本地服务只接收框内已经得出的结论，不参与任何判定。</w:t>
      </w:r>
    </w:p>
    <w:p>
      <w:pPr>
        <w:spacing w:after="60" w:before="120" w:line="240" w:lineRule="auto"/>
        <w:jc w:val="center"/>
      </w:pPr>
      <w:r>
        <w:drawing>
          <wp:inline distT="0" distB="0" distL="0" distR="0">
            <wp:extent cx="5762625" cy="4743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474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 w:line="440" w:lineRule="exact"/>
        <w:jc w:val="center"/>
      </w:pPr>
      <w:r>
        <w:rPr>
          <w:rFonts w:ascii="Times New Roman" w:eastAsia="SimSun" w:hAnsi="Times New Roman"/>
          <w:sz w:val="21"/>
          <w:szCs w:val="21"/>
        </w:rPr>
        <w:t xml:space="preserve">图 1  系统总体方框图</w:t>
      </w:r>
    </w:p>
    <w:p>
      <w:pPr>
        <w:spacing w:after="0" w:before="0" w:line="440" w:lineRule="exact"/>
        <w:ind w:firstLine="480"/>
      </w:pPr>
      <w:r>
        <w:rPr>
          <w:rFonts w:ascii="Times New Roman" w:eastAsia="SimSun" w:hAnsi="Times New Roman"/>
          <w:sz w:val="24"/>
          <w:szCs w:val="24"/>
        </w:rPr>
        <w:t xml:space="preserve">判决与记录严格分离：蜂鸣器响起时，后两条通路尚未开始工作；两条通路任一失效或同时失效，均不影响已经发生的告警。</w:t>
      </w:r>
    </w:p>
    <w:p>
      <w:pPr>
        <w:pStyle w:val="Heading1"/>
        <w:spacing w:after="120" w:before="240" w:line="440" w:lineRule="exact"/>
      </w:pPr>
      <w:r>
        <w:rPr>
          <w:rFonts w:ascii="Arial" w:eastAsia="SimHei" w:hAnsi="Arial"/>
          <w:b/>
          <w:bCs/>
          <w:sz w:val="28"/>
          <w:szCs w:val="28"/>
        </w:rPr>
        <w:t xml:space="preserve">2  理论分析与计算</w:t>
      </w:r>
    </w:p>
    <w:p>
      <w:pPr>
        <w:pStyle w:val="Heading2"/>
        <w:spacing w:after="80" w:before="160" w:line="440" w:lineRule="exact"/>
      </w:pPr>
      <w:r>
        <w:rPr>
          <w:rFonts w:ascii="Arial" w:eastAsia="SimHei" w:hAnsi="Arial"/>
          <w:b/>
          <w:bCs/>
          <w:sz w:val="24"/>
          <w:szCs w:val="24"/>
        </w:rPr>
        <w:t xml:space="preserve">2.1  自适应基线的带宽计算</w:t>
      </w:r>
    </w:p>
    <w:p>
      <w:pPr>
        <w:spacing w:after="0" w:before="0" w:line="440" w:lineRule="exact"/>
        <w:ind w:firstLine="480"/>
      </w:pPr>
      <w:r>
        <w:rPr>
          <w:rFonts w:ascii="Times New Roman" w:eastAsia="SimSun" w:hAnsi="Times New Roman"/>
          <w:sz w:val="24"/>
          <w:szCs w:val="24"/>
        </w:rPr>
        <w:t xml:space="preserve">设第 k 个被接受样本为 x(k)，中心 μ 与平均偏差 σ 按指数移动平均递推：</w:t>
      </w:r>
    </w:p>
    <w:p>
      <w:pPr>
        <w:spacing w:after="120" w:before="120" w:line="440" w:lineRule="auto"/>
        <w:jc w:val="center"/>
      </w:pPr>
      <m:oMath>
        <m:sSub>
          <m:sSubPr/>
          <m:e>
            <m:r>
              <m:t>μ</m:t>
            </m:r>
          </m:e>
          <m:sub>
            <m:r>
              <m:t>k</m:t>
            </m:r>
          </m:sub>
        </m:sSub>
        <m:r>
          <m:t> = </m:t>
        </m:r>
        <m:sSub>
          <m:sSubPr/>
          <m:e>
            <m:r>
              <m:t>μ</m:t>
            </m:r>
          </m:e>
          <m:sub>
            <m:r>
              <m:t>k−1</m:t>
            </m:r>
          </m:sub>
        </m:sSub>
        <m:r>
          <m:t> + α(</m:t>
        </m:r>
        <m:sSub>
          <m:sSubPr/>
          <m:e>
            <m:r>
              <m:t>x</m:t>
            </m:r>
          </m:e>
          <m:sub>
            <m:r>
              <m:t>k</m:t>
            </m:r>
          </m:sub>
        </m:sSub>
        <m:r>
          <m:t> − </m:t>
        </m:r>
        <m:sSub>
          <m:sSubPr/>
          <m:e>
            <m:r>
              <m:t>μ</m:t>
            </m:r>
          </m:e>
          <m:sub>
            <m:r>
              <m:t>k−1</m:t>
            </m:r>
          </m:sub>
        </m:sSub>
        <m:r>
          <m:t>)</m:t>
        </m:r>
      </m:oMath>
    </w:p>
    <w:p>
      <w:pPr>
        <w:spacing w:after="120" w:before="120" w:line="440" w:lineRule="auto"/>
        <w:jc w:val="center"/>
      </w:pPr>
      <m:oMath>
        <m:sSub>
          <m:sSubPr/>
          <m:e>
            <m:r>
              <m:t>σ</m:t>
            </m:r>
          </m:e>
          <m:sub>
            <m:r>
              <m:t>k</m:t>
            </m:r>
          </m:sub>
        </m:sSub>
        <m:r>
          <m:t> = </m:t>
        </m:r>
        <m:sSub>
          <m:sSubPr/>
          <m:e>
            <m:r>
              <m:t>σ</m:t>
            </m:r>
          </m:e>
          <m:sub>
            <m:r>
              <m:t>k−1</m:t>
            </m:r>
          </m:sub>
        </m:sSub>
        <m:r>
          <m:t> + β(|</m:t>
        </m:r>
        <m:sSub>
          <m:sSubPr/>
          <m:e>
            <m:r>
              <m:t>x</m:t>
            </m:r>
          </m:e>
          <m:sub>
            <m:r>
              <m:t>k</m:t>
            </m:r>
          </m:sub>
        </m:sSub>
        <m:r>
          <m:t> − </m:t>
        </m:r>
        <m:sSub>
          <m:sSubPr/>
          <m:e>
            <m:r>
              <m:t>μ</m:t>
            </m:r>
          </m:e>
          <m:sub>
            <m:r>
              <m:t>k−1</m:t>
            </m:r>
          </m:sub>
        </m:sSub>
        <m:r>
          <m:t>| − </m:t>
        </m:r>
        <m:sSub>
          <m:sSubPr/>
          <m:e>
            <m:r>
              <m:t>σ</m:t>
            </m:r>
          </m:e>
          <m:sub>
            <m:r>
              <m:t>k−1</m:t>
            </m:r>
          </m:sub>
        </m:sSub>
        <m:r>
          <m:t>)</m:t>
        </m:r>
      </m:oMath>
    </w:p>
    <w:p>
      <w:pPr>
        <w:spacing w:after="0" w:before="0" w:line="440" w:lineRule="exact"/>
        <w:ind w:firstLine="480"/>
      </w:pPr>
      <w:r>
        <w:rPr>
          <w:rFonts w:ascii="Times New Roman" w:eastAsia="SimSun" w:hAnsi="Times New Roman"/>
          <w:sz w:val="24"/>
          <w:szCs w:val="24"/>
        </w:rPr>
        <w:t xml:space="preserve">取 α = 0.02、β = 0.05。学习率取小值使单个样本对中心的影响不超过 2%，正常昼夜漂移不会显著拖动基线。判定带为：</w:t>
      </w:r>
    </w:p>
    <w:p>
      <w:pPr>
        <w:spacing w:after="120" w:before="120" w:line="440" w:lineRule="auto"/>
        <w:jc w:val="center"/>
      </w:pPr>
      <m:oMath>
        <m:r>
          <m:t>[</m:t>
        </m:r>
        <m:sSub>
          <m:sSubPr/>
          <m:e>
            <m:r>
              <m:t>μ</m:t>
            </m:r>
          </m:e>
          <m:sub>
            <m:r>
              <m:t>k</m:t>
            </m:r>
          </m:sub>
        </m:sSub>
        <m:r>
          <m:t> − w, </m:t>
        </m:r>
        <m:sSub>
          <m:sSubPr/>
          <m:e>
            <m:r>
              <m:t>μ</m:t>
            </m:r>
          </m:e>
          <m:sub>
            <m:r>
              <m:t>k</m:t>
            </m:r>
          </m:sub>
        </m:sSub>
        <m:r>
          <m:t> + w],   w = clamp(3</m:t>
        </m:r>
        <m:sSub>
          <m:sSubPr/>
          <m:e>
            <m:r>
              <m:t>σ</m:t>
            </m:r>
          </m:e>
          <m:sub>
            <m:r>
              <m:t>k</m:t>
            </m:r>
          </m:sub>
        </m:sSub>
        <m:r>
          <m:t>, </m:t>
        </m:r>
        <m:sSub>
          <m:sSubPr/>
          <m:e>
            <m:r>
              <m:t>w</m:t>
            </m:r>
          </m:e>
          <m:sub>
            <m:r>
              <m:t>min</m:t>
            </m:r>
          </m:sub>
        </m:sSub>
        <m:r>
          <m:t>, </m:t>
        </m:r>
        <m:sSub>
          <m:sSubPr/>
          <m:e>
            <m:r>
              <m:t>w</m:t>
            </m:r>
          </m:e>
          <m:sub>
            <m:r>
              <m:t>max</m:t>
            </m:r>
          </m:sub>
        </m:sSub>
        <m:r>
          <m:t>)</m:t>
        </m:r>
      </m:oMath>
    </w:p>
    <w:p>
      <w:pPr>
        <w:spacing w:after="0" w:before="0" w:line="440" w:lineRule="exact"/>
        <w:ind w:firstLine="480"/>
      </w:pPr>
      <w:r>
        <w:rPr>
          <w:rFonts w:ascii="Times New Roman" w:eastAsia="SimSun" w:hAnsi="Times New Roman"/>
          <w:sz w:val="24"/>
          <w:szCs w:val="24"/>
        </w:rPr>
        <w:t xml:space="preserve">温度取 w ∈ [1.5, 5.0] °C，湿度取 w ∈ [5, 15] %RH。</w:t>
      </w:r>
    </w:p>
    <w:p>
      <w:pPr>
        <w:spacing w:after="0" w:before="0" w:line="440" w:lineRule="exact"/>
        <w:ind w:firstLine="480"/>
      </w:pPr>
      <w:r>
        <w:rPr>
          <w:rFonts w:ascii="Times New Roman" w:eastAsia="SimSun" w:hAnsi="Times New Roman"/>
          <w:sz w:val="24"/>
          <w:szCs w:val="24"/>
        </w:rPr>
        <w:t xml:space="preserve">上界的必要性在于：无界的 3σ 在长期噪声下会持续扩张，最终接受任何输入。</w:t>
      </w:r>
    </w:p>
    <w:p>
      <w:pPr>
        <w:pStyle w:val="Heading2"/>
        <w:spacing w:after="80" w:before="160" w:line="440" w:lineRule="exact"/>
      </w:pPr>
      <w:r>
        <w:rPr>
          <w:rFonts w:ascii="Arial" w:eastAsia="SimHei" w:hAnsi="Arial"/>
          <w:b/>
          <w:bCs/>
          <w:sz w:val="24"/>
          <w:szCs w:val="24"/>
        </w:rPr>
        <w:t xml:space="preserve">2.2  有界性：学习不能放宽安全边界</w:t>
      </w:r>
    </w:p>
    <w:p>
      <w:pPr>
        <w:spacing w:after="0" w:before="0" w:line="440" w:lineRule="exact"/>
        <w:ind w:firstLine="480"/>
      </w:pPr>
      <w:r>
        <w:rPr>
          <w:rFonts w:ascii="Times New Roman" w:eastAsia="SimSun" w:hAnsi="Times New Roman"/>
          <w:sz w:val="24"/>
          <w:szCs w:val="24"/>
        </w:rPr>
        <w:t xml:space="preserve">设固定硬限为 [L, U]（温度 −10…45 °C，湿度 5…95 %RH），保护间隔 g（温度 0.5 °C，湿度 2 %RH）。实际判定带取：</w:t>
      </w:r>
    </w:p>
    <w:p>
      <w:pPr>
        <w:spacing w:after="120" w:before="120" w:line="440" w:lineRule="auto"/>
        <w:jc w:val="center"/>
      </w:pPr>
      <m:oMath>
        <m:r>
          <m:t>[max(μ − w, L + g),  min(μ + w, U − g)]</m:t>
        </m:r>
      </m:oMath>
    </w:p>
    <w:p>
      <w:pPr>
        <w:spacing w:after="0" w:before="0" w:line="440" w:lineRule="exact"/>
        <w:ind w:firstLine="480"/>
      </w:pPr>
      <w:r>
        <w:rPr>
          <w:rFonts w:ascii="Times New Roman" w:eastAsia="SimSun" w:hAnsi="Times New Roman"/>
          <w:sz w:val="24"/>
          <w:szCs w:val="24"/>
        </w:rPr>
        <w:t xml:space="preserve">由该式直接得到：对任意学习历史，判定带上界恒有 μ + w ≤ U − g &lt; U。</w:t>
      </w:r>
      <w:r>
        <w:rPr>
          <w:rFonts w:ascii="Times New Roman" w:eastAsia="SimSun" w:hAnsi="Times New Roman"/>
          <w:b/>
          <w:bCs/>
          <w:sz w:val="24"/>
          <w:szCs w:val="24"/>
        </w:rPr>
        <w:t xml:space="preserve">即无论基线学到什么，都不可能把判定边界推到硬限之外。</w:t>
      </w:r>
    </w:p>
    <w:p>
      <w:pPr>
        <w:spacing w:after="0" w:before="0" w:line="440" w:lineRule="exact"/>
        <w:ind w:firstLine="480"/>
      </w:pPr>
      <w:r>
        <w:rPr>
          <w:rFonts w:ascii="Times New Roman" w:eastAsia="SimSun" w:hAnsi="Times New Roman"/>
          <w:sz w:val="24"/>
          <w:szCs w:val="24"/>
        </w:rPr>
        <w:t xml:space="preserve">更强的一条来自系统分层：告警阈值与硬限均为编译期常量，不参与任何学习过程，蜂鸣器由原始读数直接与其比较驱动。因此基线学习</w:t>
      </w:r>
      <w:r>
        <w:rPr>
          <w:rFonts w:ascii="Times New Roman" w:eastAsia="SimSun" w:hAnsi="Times New Roman"/>
          <w:b/>
          <w:bCs/>
          <w:sz w:val="24"/>
          <w:szCs w:val="24"/>
        </w:rPr>
        <w:t xml:space="preserve">只改变哪些读数被称为“模式偏移”，不改变哪些读数触发告警</w:t>
      </w:r>
      <w:r>
        <w:rPr>
          <w:rFonts w:ascii="Times New Roman" w:eastAsia="SimSun" w:hAnsi="Times New Roman"/>
          <w:sz w:val="24"/>
          <w:szCs w:val="24"/>
        </w:rPr>
        <w:t xml:space="preserve">。这使得允许基线移动这件事本身是安全的。</w:t>
      </w:r>
    </w:p>
    <w:p>
      <w:pPr>
        <w:pStyle w:val="Heading2"/>
        <w:spacing w:after="80" w:before="160" w:line="440" w:lineRule="exact"/>
      </w:pPr>
      <w:r>
        <w:rPr>
          <w:rFonts w:ascii="Arial" w:eastAsia="SimHei" w:hAnsi="Arial"/>
          <w:b/>
          <w:bCs/>
          <w:sz w:val="24"/>
          <w:szCs w:val="24"/>
        </w:rPr>
        <w:t xml:space="preserve">2.3  搬迁与异常的区分</w:t>
      </w:r>
    </w:p>
    <w:p>
      <w:pPr>
        <w:spacing w:after="0" w:before="0" w:line="440" w:lineRule="exact"/>
        <w:ind w:firstLine="480"/>
      </w:pPr>
      <w:r>
        <w:rPr>
          <w:rFonts w:ascii="Times New Roman" w:eastAsia="SimSun" w:hAnsi="Times New Roman"/>
          <w:sz w:val="24"/>
          <w:szCs w:val="24"/>
        </w:rPr>
        <w:t xml:space="preserve">带外样本不参与学习，可防止持续异常被同化为正常。但若仅有该规则，设备被迁至新环境后将出现：所有样本恒在带外，无学习，带永不移动，永久输出 BASELINE_SHIFT，且持久化路径因“无学习即无脏数据”而永不触发。</w:t>
      </w:r>
    </w:p>
    <w:p>
      <w:pPr>
        <w:spacing w:after="0" w:before="0" w:line="440" w:lineRule="exact"/>
        <w:ind w:firstLine="480"/>
      </w:pPr>
      <w:r>
        <w:rPr>
          <w:rFonts w:ascii="Times New Roman" w:eastAsia="SimSun" w:hAnsi="Times New Roman"/>
          <w:sz w:val="24"/>
          <w:szCs w:val="24"/>
        </w:rPr>
        <w:t xml:space="preserve">故引入判据：连续带外样本数 n ≥ N(r) 时判定为环境迁移，清零重新学习；任一带内样本使 n 归零。N(r) 不取常数，而由感知周期反推使其恒等于 1 小时（见 3.4 节），因此改变采样率不会改变“多久算持续偏离”这一语义。由 2.2 节结论，该机制不影响告警行为。</w:t>
      </w:r>
    </w:p>
    <w:p>
      <w:pPr>
        <w:pStyle w:val="Heading2"/>
        <w:spacing w:after="80" w:before="160" w:line="440" w:lineRule="exact"/>
      </w:pPr>
      <w:r>
        <w:rPr>
          <w:rFonts w:ascii="Arial" w:eastAsia="SimHei" w:hAnsi="Arial"/>
          <w:b/>
          <w:bCs/>
          <w:sz w:val="24"/>
          <w:szCs w:val="24"/>
        </w:rPr>
        <w:t xml:space="preserve">2.4  趋势速率判据</w:t>
      </w:r>
    </w:p>
    <w:p>
      <w:pPr>
        <w:spacing w:after="0" w:before="0" w:line="440" w:lineRule="exact"/>
        <w:ind w:firstLine="480"/>
      </w:pPr>
      <w:r>
        <w:rPr>
          <w:rFonts w:ascii="Times New Roman" w:eastAsia="SimSun" w:hAnsi="Times New Roman"/>
          <w:sz w:val="24"/>
          <w:szCs w:val="24"/>
        </w:rPr>
        <w:t xml:space="preserve">对 12 样本窗口首末样本，按分钟归一化：</w:t>
      </w:r>
    </w:p>
    <w:p>
      <w:pPr>
        <w:spacing w:after="120" w:before="120" w:line="440" w:lineRule="auto"/>
        <w:jc w:val="center"/>
      </w:pPr>
      <m:oMath>
        <m:r>
          <m:t>v = </m:t>
        </m:r>
        <m:f>
          <m:num>
            <m:r>
              <m:t>60(</m:t>
            </m:r>
            <m:sSub>
              <m:sSubPr/>
              <m:e>
                <m:r>
                  <m:t>x</m:t>
                </m:r>
              </m:e>
              <m:sub>
                <m:r>
                  <m:t>n−1</m:t>
                </m:r>
              </m:sub>
            </m:sSub>
            <m:r>
              <m:t> − </m:t>
            </m:r>
            <m:sSub>
              <m:sSubPr/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t>)</m:t>
            </m:r>
          </m:num>
          <m:den>
            <m:sSub>
              <m:sSubPr/>
              <m:e>
                <m:r>
                  <m:t>t</m:t>
                </m:r>
              </m:e>
              <m:sub>
                <m:r>
                  <m:t>n−1</m:t>
                </m:r>
              </m:sub>
            </m:sSub>
            <m:r>
              <m:t> − </m:t>
            </m:r>
            <m:sSub>
              <m:sSubPr/>
              <m:e>
                <m:r>
                  <m:t>t</m:t>
                </m:r>
              </m:e>
              <m:sub>
                <m:r>
                  <m:t>0</m:t>
                </m:r>
              </m:sub>
            </m:sSub>
          </m:den>
        </m:f>
      </m:oMath>
    </w:p>
    <w:p>
      <w:pPr>
        <w:spacing w:after="0" w:before="0" w:line="440" w:lineRule="exact"/>
        <w:ind w:firstLine="480"/>
      </w:pPr>
      <w:r>
        <w:rPr>
          <w:rFonts w:ascii="Times New Roman" w:eastAsia="SimSun" w:hAnsi="Times New Roman"/>
          <w:sz w:val="24"/>
          <w:szCs w:val="24"/>
        </w:rPr>
        <w:t xml:space="preserve">取 v ≥ 1.2 °C/min 且净升 ≥ 0.8 °C 判为温度快升。按速率而非绝对变化量判定的原因是：8 °C 的变化在 1 小时内属常态，在 8 秒内对室内空气不具物理合理性，二者仅由速率区分。</w:t>
      </w:r>
    </w:p>
    <w:p>
      <w:pPr>
        <w:pStyle w:val="Heading2"/>
        <w:spacing w:after="80" w:before="160" w:line="440" w:lineRule="exact"/>
      </w:pPr>
      <w:r>
        <w:rPr>
          <w:rFonts w:ascii="Arial" w:eastAsia="SimHei" w:hAnsi="Arial"/>
          <w:b/>
          <w:bCs/>
          <w:sz w:val="24"/>
          <w:szCs w:val="24"/>
        </w:rPr>
        <w:t xml:space="preserve">2.5  告警时延</w:t>
      </w:r>
    </w:p>
    <w:p>
      <w:pPr>
        <w:spacing w:after="0" w:before="0" w:line="440" w:lineRule="exact"/>
        <w:ind w:firstLine="480"/>
      </w:pPr>
      <w:r>
        <w:rPr>
          <w:rFonts w:ascii="Times New Roman" w:eastAsia="SimSun" w:hAnsi="Times New Roman"/>
          <w:sz w:val="24"/>
          <w:szCs w:val="24"/>
        </w:rPr>
        <w:t xml:space="preserve">告警判据在 1 Hz 安全任务内求值，该任务在网络初始化之前创建，最坏时延为：</w:t>
      </w:r>
    </w:p>
    <w:p>
      <w:pPr>
        <w:spacing w:after="120" w:before="120" w:line="440" w:lineRule="auto"/>
        <w:jc w:val="center"/>
      </w:pPr>
      <m:oMath>
        <m:sSub>
          <m:sSubPr/>
          <m:e>
            <m:r>
              <m:t>t</m:t>
            </m:r>
          </m:e>
          <m:sub>
            <m:r>
              <m:t>max</m:t>
            </m:r>
          </m:sub>
        </m:sSub>
        <m:r>
          <m:t> = </m:t>
        </m:r>
        <m:sSub>
          <m:sSubPr/>
          <m:e>
            <m:r>
              <m:t>T</m:t>
            </m:r>
          </m:e>
          <m:sub>
            <m:r>
              <m:t>sample</m:t>
            </m:r>
          </m:sub>
        </m:sSub>
        <m:r>
          <m:t> + </m:t>
        </m:r>
        <m:sSub>
          <m:sSubPr/>
          <m:e>
            <m:r>
              <m:t>t</m:t>
            </m:r>
          </m:e>
          <m:sub>
            <m:r>
              <m:t>GPIO</m:t>
            </m:r>
          </m:sub>
        </m:sSub>
        <m:r>
          <m:t> ≈ 1 s</m:t>
        </m:r>
      </m:oMath>
    </w:p>
    <w:p>
      <w:pPr>
        <w:spacing w:after="0" w:before="0" w:line="440" w:lineRule="exact"/>
        <w:ind w:firstLine="480"/>
      </w:pPr>
      <w:r>
        <w:rPr>
          <w:rFonts w:ascii="Times New Roman" w:eastAsia="SimSun" w:hAnsi="Times New Roman"/>
          <w:sz w:val="24"/>
          <w:szCs w:val="24"/>
        </w:rPr>
        <w:t xml:space="preserve">若将求值置于主循环，则须等待 setup() 中 Wi-Fi（超时 20 s）、NTP、MQTT 全部完成，最坏时延超过 30 s。二者差异已实测验证（4.3 节）。</w:t>
      </w:r>
    </w:p>
    <w:p>
      <w:pPr>
        <w:pStyle w:val="Heading1"/>
        <w:spacing w:after="120" w:before="240" w:line="440" w:lineRule="exact"/>
      </w:pPr>
      <w:r>
        <w:rPr>
          <w:rFonts w:ascii="Arial" w:eastAsia="SimHei" w:hAnsi="Arial"/>
          <w:b/>
          <w:bCs/>
          <w:sz w:val="28"/>
          <w:szCs w:val="28"/>
        </w:rPr>
        <w:t xml:space="preserve">3  电路与程序设计</w:t>
      </w:r>
    </w:p>
    <w:p>
      <w:pPr>
        <w:pStyle w:val="Heading2"/>
        <w:spacing w:after="80" w:before="160" w:line="440" w:lineRule="exact"/>
      </w:pPr>
      <w:r>
        <w:rPr>
          <w:rFonts w:ascii="Arial" w:eastAsia="SimHei" w:hAnsi="Arial"/>
          <w:b/>
          <w:bCs/>
          <w:sz w:val="24"/>
          <w:szCs w:val="24"/>
        </w:rPr>
        <w:t xml:space="preserve">3.1  硬件电路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21"/>
        <w:gridCol w:w="2358"/>
        <w:gridCol w:w="2540"/>
        <w:gridCol w:w="1451"/>
      </w:tblGrid>
      <w:tr>
        <w:trPr>
          <w:tblHeader/>
        </w:trPr>
        <w:tc>
          <w:tcPr>
            <w:tcW w:type="dxa" w:w="2721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 w:lineRule="exact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器件</w:t>
            </w:r>
          </w:p>
        </w:tc>
        <w:tc>
          <w:tcPr>
            <w:tcW w:type="dxa" w:w="2358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 w:lineRule="exact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接口</w:t>
            </w:r>
          </w:p>
        </w:tc>
        <w:tc>
          <w:tcPr>
            <w:tcW w:type="dxa" w:w="254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 w:lineRule="exact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引脚</w:t>
            </w:r>
          </w:p>
        </w:tc>
        <w:tc>
          <w:tcPr>
            <w:tcW w:type="dxa" w:w="1451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 w:lineRule="exact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地址</w:t>
            </w:r>
          </w:p>
        </w:tc>
      </w:tr>
      <w:tr>
        <w:tc>
          <w:tcPr>
            <w:tcW w:type="dxa" w:w="272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 w:lineRule="exact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SHT30 温湿度传感器</w:t>
            </w:r>
          </w:p>
        </w:tc>
        <w:tc>
          <w:tcPr>
            <w:tcW w:type="dxa" w:w="235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 w:lineRule="exact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I²C 总线 0（Wire）</w:t>
            </w:r>
          </w:p>
        </w:tc>
        <w:tc>
          <w:tcPr>
            <w:tcW w:type="dxa" w:w="25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 w:lineRule="exact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SDA 17 / SCL 18</w:t>
            </w:r>
          </w:p>
        </w:tc>
        <w:tc>
          <w:tcPr>
            <w:tcW w:type="dxa" w:w="145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 w:lineRule="exact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0x44</w:t>
            </w:r>
          </w:p>
        </w:tc>
      </w:tr>
      <w:tr>
        <w:tc>
          <w:tcPr>
            <w:tcW w:type="dxa" w:w="272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 w:lineRule="exact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OLED 128×64（SSD1315）</w:t>
            </w:r>
          </w:p>
        </w:tc>
        <w:tc>
          <w:tcPr>
            <w:tcW w:type="dxa" w:w="235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 w:lineRule="exact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I²C 总线 1（Wire1）</w:t>
            </w:r>
          </w:p>
        </w:tc>
        <w:tc>
          <w:tcPr>
            <w:tcW w:type="dxa" w:w="25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 w:lineRule="exact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SDA 38 / SCL 39</w:t>
            </w:r>
          </w:p>
        </w:tc>
        <w:tc>
          <w:tcPr>
            <w:tcW w:type="dxa" w:w="145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 w:lineRule="exact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0x3C</w:t>
            </w:r>
          </w:p>
        </w:tc>
      </w:tr>
      <w:tr>
        <w:tc>
          <w:tcPr>
            <w:tcW w:type="dxa" w:w="272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 w:lineRule="exact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蜂鸣器</w:t>
            </w:r>
          </w:p>
        </w:tc>
        <w:tc>
          <w:tcPr>
            <w:tcW w:type="dxa" w:w="235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 w:lineRule="exact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GPIO</w:t>
            </w:r>
          </w:p>
        </w:tc>
        <w:tc>
          <w:tcPr>
            <w:tcW w:type="dxa" w:w="25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 w:lineRule="exact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GPIO 4，低电平有效</w:t>
            </w:r>
          </w:p>
        </w:tc>
        <w:tc>
          <w:tcPr>
            <w:tcW w:type="dxa" w:w="145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 w:lineRule="exact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—</w:t>
            </w:r>
          </w:p>
        </w:tc>
      </w:tr>
      <w:tr>
        <w:tc>
          <w:tcPr>
            <w:tcW w:type="dxa" w:w="272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 w:lineRule="exact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翻页按键</w:t>
            </w:r>
          </w:p>
        </w:tc>
        <w:tc>
          <w:tcPr>
            <w:tcW w:type="dxa" w:w="235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 w:lineRule="exact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GPIO</w:t>
            </w:r>
          </w:p>
        </w:tc>
        <w:tc>
          <w:tcPr>
            <w:tcW w:type="dxa" w:w="25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 w:lineRule="exact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GPIO 0（板载 BOOT）</w:t>
            </w:r>
          </w:p>
        </w:tc>
        <w:tc>
          <w:tcPr>
            <w:tcW w:type="dxa" w:w="145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 w:lineRule="exact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—</w:t>
            </w:r>
          </w:p>
        </w:tc>
      </w:tr>
    </w:tbl>
    <w:p>
      <w:pPr>
        <w:spacing w:line="120" w:lineRule="exact"/>
      </w:pPr>
      <w:r>
        <w:rPr>
          <w:sz w:val="12"/>
          <w:szCs w:val="12"/>
        </w:rPr>
        <w:t xml:space="preserve"/>
      </w:r>
    </w:p>
    <w:p>
      <w:pPr>
        <w:spacing w:after="0" w:before="0" w:line="440" w:lineRule="exact"/>
        <w:ind w:firstLine="480"/>
      </w:pPr>
      <w:r>
        <w:rPr>
          <w:rFonts w:ascii="Times New Roman" w:eastAsia="SimSun" w:hAnsi="Times New Roman"/>
          <w:b/>
          <w:bCs/>
          <w:sz w:val="24"/>
          <w:szCs w:val="24"/>
        </w:rPr>
        <w:t xml:space="preserve">两器件置于独立 I²C 总线</w:t>
      </w:r>
      <w:r>
        <w:rPr>
          <w:rFonts w:ascii="Times New Roman" w:eastAsia="SimSun" w:hAnsi="Times New Roman"/>
          <w:sz w:val="24"/>
          <w:szCs w:val="24"/>
        </w:rPr>
        <w:t xml:space="preserve">，而非共用一条。原因是显示器件在异常状态下可能长时间占用总线，若与传感器共用，将阻塞 1 Hz 安全采样。该分离使显示故障不能影响告警链路。</w:t>
      </w:r>
    </w:p>
    <w:p>
      <w:pPr>
        <w:spacing w:after="0" w:before="0" w:line="440" w:lineRule="exact"/>
        <w:ind w:firstLine="480"/>
      </w:pPr>
      <w:r>
        <w:rPr>
          <w:rFonts w:ascii="Times New Roman" w:eastAsia="SimSun" w:hAnsi="Times New Roman"/>
          <w:sz w:val="24"/>
          <w:szCs w:val="24"/>
        </w:rPr>
        <w:t xml:space="preserve">蜂鸣器由编译期开关控制，关闭时引脚置为高阻输入，任何远程命令都无法使其带电，以避免未经验证的电路被误驱动。</w:t>
      </w:r>
    </w:p>
    <w:p>
      <w:pPr>
        <w:pStyle w:val="Heading2"/>
        <w:spacing w:after="80" w:before="160" w:line="440" w:lineRule="exact"/>
      </w:pPr>
      <w:r>
        <w:rPr>
          <w:rFonts w:ascii="Arial" w:eastAsia="SimHei" w:hAnsi="Arial"/>
          <w:b/>
          <w:bCs/>
          <w:sz w:val="24"/>
          <w:szCs w:val="24"/>
        </w:rPr>
        <w:t xml:space="preserve">3.2  软件流程</w:t>
      </w:r>
    </w:p>
    <w:p>
      <w:pPr>
        <w:spacing w:after="0" w:before="60" w:line="240" w:lineRule="exact"/>
        <w:ind w:left="240"/>
      </w:pPr>
      <w:r>
        <w:rPr>
          <w:rFonts w:ascii="Consolas" w:eastAsia="SimSun" w:hAnsi="Consolas"/>
          <w:sz w:val="18"/>
          <w:szCs w:val="18"/>
        </w:rPr>
        <w:t xml:space="preserve">setup():  蜂鸣器静音 -&gt; OLED 清屏 + 自检 -&gt; 串口 -&gt; 基线载入(NVS)</w:t>
      </w:r>
    </w:p>
    <w:p>
      <w:pPr>
        <w:spacing w:after="0" w:before="0" w:line="240" w:lineRule="exact"/>
        <w:ind w:left="240"/>
      </w:pPr>
      <w:r>
        <w:rPr>
          <w:rFonts w:ascii="Consolas" w:eastAsia="SimSun" w:hAnsi="Consolas"/>
          <w:sz w:val="18"/>
          <w:szCs w:val="18"/>
        </w:rPr>
        <w:t xml:space="preserve">          -&gt; 创建 1 Hz 安全任务 (先于 Wi-Fi) -&gt; Wi-Fi/NTP/MQTTS</w:t>
      </w:r>
    </w:p>
    <w:p>
      <w:pPr>
        <w:spacing w:after="0" w:before="0" w:line="240" w:lineRule="exact"/>
        <w:ind w:left="240"/>
      </w:pPr>
      <w:r>
        <w:rPr>
          <w:rFonts w:ascii="Consolas" w:eastAsia="SimSun" w:hAnsi="Consolas"/>
          <w:sz w:val="18"/>
          <w:szCs w:val="18"/>
        </w:rPr>
        <w:t xml:space="preserve"> </w:t>
      </w:r>
    </w:p>
    <w:p>
      <w:pPr>
        <w:spacing w:after="0" w:before="0" w:line="240" w:lineRule="exact"/>
        <w:ind w:left="240"/>
      </w:pPr>
      <w:r>
        <w:rPr>
          <w:rFonts w:ascii="Consolas" w:eastAsia="SimSun" w:hAnsi="Consolas"/>
          <w:sz w:val="18"/>
          <w:szCs w:val="18"/>
        </w:rPr>
        <w:t xml:space="preserve">安全任务 (1 Hz, 独立于网络):</w:t>
      </w:r>
    </w:p>
    <w:p>
      <w:pPr>
        <w:spacing w:after="0" w:before="0" w:line="240" w:lineRule="exact"/>
        <w:ind w:left="240"/>
      </w:pPr>
      <w:r>
        <w:rPr>
          <w:rFonts w:ascii="Consolas" w:eastAsia="SimSun" w:hAnsi="Consolas"/>
          <w:sz w:val="18"/>
          <w:szCs w:val="18"/>
        </w:rPr>
        <w:t xml:space="preserve">  读 SHT30 -&gt; 物理有效性 -&gt; 硬限 -&gt; 告警阈值 -&gt; 蜂鸣器/OLED</w:t>
      </w:r>
    </w:p>
    <w:p>
      <w:pPr>
        <w:spacing w:after="0" w:before="0" w:line="240" w:lineRule="exact"/>
        <w:ind w:left="240"/>
      </w:pPr>
      <w:r>
        <w:rPr>
          <w:rFonts w:ascii="Consolas" w:eastAsia="SimSun" w:hAnsi="Consolas"/>
          <w:sz w:val="18"/>
          <w:szCs w:val="18"/>
        </w:rPr>
        <w:t xml:space="preserve"> </w:t>
      </w:r>
    </w:p>
    <w:p>
      <w:pPr>
        <w:spacing w:after="0" w:before="0" w:line="240" w:lineRule="exact"/>
        <w:ind w:left="240"/>
      </w:pPr>
      <w:r>
        <w:rPr>
          <w:rFonts w:ascii="Consolas" w:eastAsia="SimSun" w:hAnsi="Consolas"/>
          <w:sz w:val="18"/>
          <w:szCs w:val="18"/>
        </w:rPr>
        <w:t xml:space="preserve">主循环 (2 s):</w:t>
      </w:r>
    </w:p>
    <w:p>
      <w:pPr>
        <w:spacing w:after="0" w:before="0" w:line="240" w:lineRule="exact"/>
        <w:ind w:left="240"/>
      </w:pPr>
      <w:r>
        <w:rPr>
          <w:rFonts w:ascii="Consolas" w:eastAsia="SimSun" w:hAnsi="Consolas"/>
          <w:sz w:val="18"/>
          <w:szCs w:val="18"/>
        </w:rPr>
        <w:t xml:space="preserve">  取安全快照(超时 1.5 s 拒绝上报) -&gt; 中值滤波 -&gt; 基线 -&gt; 叠加</w:t>
      </w:r>
    </w:p>
    <w:p>
      <w:pPr>
        <w:spacing w:after="0" w:before="0" w:line="240" w:lineRule="exact"/>
        <w:ind w:left="240"/>
      </w:pPr>
      <w:r>
        <w:rPr>
          <w:rFonts w:ascii="Consolas" w:eastAsia="SimSun" w:hAnsi="Consolas"/>
          <w:sz w:val="18"/>
          <w:szCs w:val="18"/>
        </w:rPr>
        <w:t xml:space="preserve">  -&gt; OLED 刷新 -&gt; HTTP 上报 -&gt; 命令轮询</w:t>
      </w:r>
    </w:p>
    <w:p>
      <w:pPr>
        <w:spacing w:after="60" w:before="0" w:line="240" w:lineRule="exact"/>
        <w:ind w:left="240"/>
      </w:pPr>
      <w:r>
        <w:rPr>
          <w:rFonts w:ascii="Consolas" w:eastAsia="SimSun" w:hAnsi="Consolas"/>
          <w:sz w:val="18"/>
          <w:szCs w:val="18"/>
        </w:rPr>
        <w:t xml:space="preserve">  每 10 s 向 EdgeReasoner 输入样本；每 60 s 发一次 MQTTS</w:t>
      </w:r>
    </w:p>
    <w:p>
      <w:pPr>
        <w:pStyle w:val="Heading2"/>
        <w:spacing w:after="80" w:before="160" w:line="440" w:lineRule="exact"/>
      </w:pPr>
      <w:r>
        <w:rPr>
          <w:rFonts w:ascii="Arial" w:eastAsia="SimHei" w:hAnsi="Arial"/>
          <w:b/>
          <w:bCs/>
          <w:sz w:val="24"/>
          <w:szCs w:val="24"/>
        </w:rPr>
        <w:t xml:space="preserve">3.3  状态判据</w:t>
      </w:r>
    </w:p>
    <w:p>
      <w:pPr>
        <w:spacing w:after="0" w:before="0" w:line="440" w:lineRule="exact"/>
        <w:ind w:firstLine="480"/>
      </w:pPr>
      <w:r>
        <w:rPr>
          <w:rFonts w:ascii="Times New Roman" w:eastAsia="SimSun" w:hAnsi="Times New Roman"/>
          <w:sz w:val="24"/>
          <w:szCs w:val="24"/>
        </w:rPr>
        <w:t xml:space="preserve">EdgeReasoner 按顺序求值，首个命中者生效，完整判据见附录 A。依次为：读数不可信（UNSTABLE）、高温高湿并发、温度快升、湿度快升、温度偏高、湿度偏高，均不满足则为 NORMAL；样本不足 4 个时报 WARMUP。</w:t>
      </w:r>
    </w:p>
    <w:p>
      <w:pPr>
        <w:spacing w:after="0" w:before="0" w:line="440" w:lineRule="exact"/>
        <w:ind w:firstLine="480"/>
      </w:pPr>
      <w:r>
        <w:rPr>
          <w:rFonts w:ascii="Times New Roman" w:eastAsia="SimSun" w:hAnsi="Times New Roman"/>
          <w:sz w:val="24"/>
          <w:szCs w:val="24"/>
        </w:rPr>
        <w:t xml:space="preserve">UNSTABLE 置于首位是有意的：若信号本身不可信，由其导出的任何结论同样不可信，此时系统应当声明“读数不可信”，而非给出一个由噪声算出的确定结论。</w:t>
      </w:r>
    </w:p>
    <w:p>
      <w:pPr>
        <w:spacing w:after="0" w:before="0" w:line="440" w:lineRule="exact"/>
        <w:ind w:firstLine="480"/>
      </w:pPr>
      <w:r>
        <w:rPr>
          <w:rFonts w:ascii="Times New Roman" w:eastAsia="SimSun" w:hAnsi="Times New Roman"/>
          <w:sz w:val="24"/>
          <w:szCs w:val="24"/>
        </w:rPr>
        <w:t xml:space="preserve">自适应层叠加两个状态：HARD_LIMIT（覆盖一切）与 BASELINE_SHIFT（仅在固定层判为 NORMAL 时生效）。真实越限不会被降级为“模式偏移”。</w:t>
      </w:r>
    </w:p>
    <w:p>
      <w:pPr>
        <w:pStyle w:val="Heading2"/>
        <w:spacing w:after="80" w:before="160" w:line="440" w:lineRule="exact"/>
      </w:pPr>
      <w:r>
        <w:rPr>
          <w:rFonts w:ascii="Arial" w:eastAsia="SimHei" w:hAnsi="Arial"/>
          <w:b/>
          <w:bCs/>
          <w:sz w:val="24"/>
          <w:szCs w:val="24"/>
        </w:rPr>
        <w:t xml:space="preserve">3.4  采样与上报周期的分离</w:t>
      </w:r>
    </w:p>
    <w:p>
      <w:pPr>
        <w:spacing w:after="0" w:before="0" w:line="440" w:lineRule="exact"/>
        <w:ind w:firstLine="480"/>
      </w:pPr>
      <w:r>
        <w:rPr>
          <w:rFonts w:ascii="Times New Roman" w:eastAsia="SimSun" w:hAnsi="Times New Roman"/>
          <w:sz w:val="24"/>
          <w:szCs w:val="24"/>
        </w:rPr>
        <w:t xml:space="preserve">系统内共有四个速率，各自由其物理或经济约束决定，不合并为一个参数：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8"/>
        <w:gridCol w:w="907"/>
        <w:gridCol w:w="2721"/>
        <w:gridCol w:w="3084"/>
      </w:tblGrid>
      <w:tr>
        <w:trPr>
          <w:tblHeader/>
        </w:trPr>
        <w:tc>
          <w:tcPr>
            <w:tcW w:type="dxa" w:w="2358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 w:lineRule="exact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周期</w:t>
            </w:r>
          </w:p>
        </w:tc>
        <w:tc>
          <w:tcPr>
            <w:tcW w:type="dxa" w:w="907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 w:lineRule="exact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取值</w:t>
            </w:r>
          </w:p>
        </w:tc>
        <w:tc>
          <w:tcPr>
            <w:tcW w:type="dxa" w:w="2721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 w:lineRule="exact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驱动</w:t>
            </w:r>
          </w:p>
        </w:tc>
        <w:tc>
          <w:tcPr>
            <w:tcW w:type="dxa" w:w="3084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 w:lineRule="exact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约束来源</w:t>
            </w:r>
          </w:p>
        </w:tc>
      </w:tr>
      <w:tr>
        <w:tc>
          <w:tcPr>
            <w:tcW w:type="dxa" w:w="235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 w:lineRule="exact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安全采样</w:t>
            </w:r>
          </w:p>
        </w:tc>
        <w:tc>
          <w:tcPr>
            <w:tcW w:type="dxa" w:w="90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 w:lineRule="exact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1 s</w:t>
            </w:r>
          </w:p>
        </w:tc>
        <w:tc>
          <w:tcPr>
            <w:tcW w:type="dxa" w:w="272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 w:lineRule="exact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硬限与告警阈值判定，驱动蜂鸣器</w:t>
            </w:r>
          </w:p>
        </w:tc>
        <w:tc>
          <w:tcPr>
            <w:tcW w:type="dxa" w:w="308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 w:lineRule="exact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告警时延要求</w:t>
            </w:r>
          </w:p>
        </w:tc>
      </w:tr>
      <w:tr>
        <w:tc>
          <w:tcPr>
            <w:tcW w:type="dxa" w:w="235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 w:lineRule="exact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SENSE_INTERVAL_MS</w:t>
            </w:r>
          </w:p>
        </w:tc>
        <w:tc>
          <w:tcPr>
            <w:tcW w:type="dxa" w:w="90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 w:lineRule="exact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2 s</w:t>
            </w:r>
          </w:p>
        </w:tc>
        <w:tc>
          <w:tcPr>
            <w:tcW w:type="dxa" w:w="272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 w:lineRule="exact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OLED 刷新、本地服务上报</w:t>
            </w:r>
          </w:p>
        </w:tc>
        <w:tc>
          <w:tcPr>
            <w:tcW w:type="dxa" w:w="308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 w:lineRule="exact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SHT30 响应 τ63≈2 s，更快无新信息</w:t>
            </w:r>
          </w:p>
        </w:tc>
      </w:tr>
      <w:tr>
        <w:tc>
          <w:tcPr>
            <w:tcW w:type="dxa" w:w="235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 w:lineRule="exact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EDGE_SAMPLE_INTERVAL_MS</w:t>
            </w:r>
          </w:p>
        </w:tc>
        <w:tc>
          <w:tcPr>
            <w:tcW w:type="dxa" w:w="90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 w:lineRule="exact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10 s</w:t>
            </w:r>
          </w:p>
        </w:tc>
        <w:tc>
          <w:tcPr>
            <w:tcW w:type="dxa" w:w="272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 w:lineRule="exact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向 EdgeReasoner 输入样本</w:t>
            </w:r>
          </w:p>
        </w:tc>
        <w:tc>
          <w:tcPr>
            <w:tcW w:type="dxa" w:w="308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 w:lineRule="exact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12 样本 × 10 s = 2 min 趋势窗口</w:t>
            </w:r>
          </w:p>
        </w:tc>
      </w:tr>
      <w:tr>
        <w:tc>
          <w:tcPr>
            <w:tcW w:type="dxa" w:w="235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 w:lineRule="exact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CLOUD_INTERVAL_MS</w:t>
            </w:r>
          </w:p>
        </w:tc>
        <w:tc>
          <w:tcPr>
            <w:tcW w:type="dxa" w:w="90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 w:lineRule="exact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60 s</w:t>
            </w:r>
          </w:p>
        </w:tc>
        <w:tc>
          <w:tcPr>
            <w:tcW w:type="dxa" w:w="272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 w:lineRule="exact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IoTDA 属性上报</w:t>
            </w:r>
          </w:p>
        </w:tc>
        <w:tc>
          <w:tcPr>
            <w:tcW w:type="dxa" w:w="308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 w:lineRule="exact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云平台消息配额</w:t>
            </w:r>
          </w:p>
        </w:tc>
      </w:tr>
    </w:tbl>
    <w:p>
      <w:pPr>
        <w:spacing w:line="120" w:lineRule="exact"/>
      </w:pPr>
      <w:r>
        <w:rPr>
          <w:sz w:val="12"/>
          <w:szCs w:val="12"/>
        </w:rPr>
        <w:t xml:space="preserve"/>
      </w:r>
    </w:p>
    <w:p>
      <w:pPr>
        <w:spacing w:after="0" w:before="0" w:line="440" w:lineRule="exact"/>
        <w:ind w:firstLine="480"/>
      </w:pPr>
      <w:r>
        <w:rPr>
          <w:rFonts w:ascii="Times New Roman" w:eastAsia="SimSun" w:hAnsi="Times New Roman"/>
          <w:sz w:val="24"/>
          <w:szCs w:val="24"/>
        </w:rPr>
        <w:t xml:space="preserve">合并为单一参数将迫使这些约束相互妥协。以感知与上报为例：缩短单一参数可提升显示响应，但云端消息量同比上升。分离后每日上报 1 440 条，占免费额度（10 000 条/日）的 14%，同一额度可支撑约 6 台设备；若取 10 s，单台即占用 86%，第二台设备便会超限。</w:t>
      </w:r>
    </w:p>
    <w:p>
      <w:pPr>
        <w:spacing w:after="0" w:before="0" w:line="440" w:lineRule="exact"/>
        <w:ind w:firstLine="480"/>
      </w:pPr>
      <w:r>
        <w:rPr>
          <w:rFonts w:ascii="Times New Roman" w:eastAsia="SimSun" w:hAnsi="Times New Roman"/>
          <w:sz w:val="24"/>
          <w:szCs w:val="24"/>
        </w:rPr>
        <w:t xml:space="preserve">推理输入之所以另设一档，是因为 EdgeReasoner 的窗口按</w:t>
      </w:r>
      <w:r>
        <w:rPr>
          <w:rFonts w:ascii="Times New Roman" w:eastAsia="SimSun" w:hAnsi="Times New Roman"/>
          <w:b/>
          <w:bCs/>
          <w:sz w:val="24"/>
          <w:szCs w:val="24"/>
        </w:rPr>
        <w:t xml:space="preserve">样本数</w:t>
      </w:r>
      <w:r>
        <w:rPr>
          <w:rFonts w:ascii="Times New Roman" w:eastAsia="SimSun" w:hAnsi="Times New Roman"/>
          <w:sz w:val="24"/>
          <w:szCs w:val="24"/>
        </w:rPr>
        <w:t xml:space="preserve">固定为 12，而其阈值是按 </w:t>
      </w:r>
      <w:r>
        <w:rPr>
          <w:rFonts w:ascii="Times New Roman" w:eastAsia="SimSun" w:hAnsi="Times New Roman"/>
          <w:b/>
          <w:bCs/>
          <w:sz w:val="24"/>
          <w:szCs w:val="24"/>
        </w:rPr>
        <w:t xml:space="preserve">2 分钟</w:t>
      </w:r>
      <w:r>
        <w:rPr>
          <w:rFonts w:ascii="Times New Roman" w:eastAsia="SimSun" w:hAnsi="Times New Roman"/>
          <w:sz w:val="24"/>
          <w:szCs w:val="24"/>
        </w:rPr>
        <w:t xml:space="preserve">窗口整定的。若直接按感知周期输入，把感知周期由 10 s 缩至 2 s 即等于把窗口缩至 24 s：阈值未变而含义已变——净升条件将取代速率条件成为实际门槛，判定“快速上升”所需的斜率反而由 1.2 °C/min 抬高至约 2 °C/min。</w:t>
      </w:r>
    </w:p>
    <w:p>
      <w:pPr>
        <w:spacing w:after="0" w:before="0" w:line="440" w:lineRule="exact"/>
        <w:ind w:firstLine="480"/>
      </w:pPr>
      <w:r>
        <w:rPr>
          <w:rFonts w:ascii="Times New Roman" w:eastAsia="SimSun" w:hAnsi="Times New Roman"/>
          <w:sz w:val="24"/>
          <w:szCs w:val="24"/>
        </w:rPr>
        <w:t xml:space="preserve">同理，基线的预热样本数与重学判据在实现上按样本计数，其语义却是时长，二者均由感知周期反推得出（预热 4 min、重学 1 h），从而在感知周期改变时保持不变。</w:t>
      </w:r>
    </w:p>
    <w:p>
      <w:pPr>
        <w:pStyle w:val="Heading2"/>
        <w:spacing w:after="80" w:before="160" w:line="440" w:lineRule="exact"/>
      </w:pPr>
      <w:r>
        <w:rPr>
          <w:rFonts w:ascii="Arial" w:eastAsia="SimHei" w:hAnsi="Arial"/>
          <w:b/>
          <w:bCs/>
          <w:sz w:val="24"/>
          <w:szCs w:val="24"/>
        </w:rPr>
        <w:t xml:space="preserve">3.5  云端接口</w:t>
      </w:r>
    </w:p>
    <w:p>
      <w:pPr>
        <w:spacing w:after="0" w:before="0" w:line="440" w:lineRule="exact"/>
        <w:ind w:firstLine="480"/>
      </w:pPr>
      <w:r>
        <w:rPr>
          <w:rFonts w:ascii="Times New Roman" w:eastAsia="SimSun" w:hAnsi="Times New Roman"/>
          <w:sz w:val="24"/>
          <w:szCs w:val="24"/>
        </w:rPr>
        <w:t xml:space="preserve">设备按 IoTDA 官方主题与 JSON 结构上报，单条消息含两个 service：Environment 承载 temperature 与 humidity，EdgeReasoning 承载 state、severity、confidence 与 reason_code。</w:t>
      </w:r>
    </w:p>
    <w:p>
      <w:pPr>
        <w:spacing w:after="0" w:before="0" w:line="440" w:lineRule="exact"/>
        <w:ind w:firstLine="480"/>
      </w:pPr>
      <w:r>
        <w:rPr>
          <w:rFonts w:ascii="Times New Roman" w:eastAsia="SimSun" w:hAnsi="Times New Roman"/>
          <w:sz w:val="24"/>
          <w:szCs w:val="24"/>
        </w:rPr>
        <w:t xml:space="preserve">EdgeReasoning 即设备自身的判决结论。云端与本地服务均</w:t>
      </w:r>
      <w:r>
        <w:rPr>
          <w:rFonts w:ascii="Times New Roman" w:eastAsia="SimSun" w:hAnsi="Times New Roman"/>
          <w:b/>
          <w:bCs/>
          <w:sz w:val="24"/>
          <w:szCs w:val="24"/>
        </w:rPr>
        <w:t xml:space="preserve">原样存储与展示，不重新计算</w:t>
      </w:r>
      <w:r>
        <w:rPr>
          <w:rFonts w:ascii="Times New Roman" w:eastAsia="SimSun" w:hAnsi="Times New Roman"/>
          <w:sz w:val="24"/>
          <w:szCs w:val="24"/>
        </w:rPr>
        <w:t xml:space="preserve">——设备掌握云端不具备的传感历史与学习基线，若云端独立判决并与之不一致，将导致现场显示与远程显示相互矛盾。</w:t>
      </w:r>
    </w:p>
    <w:p>
      <w:pPr>
        <w:pStyle w:val="Heading1"/>
        <w:spacing w:after="120" w:before="240" w:line="440" w:lineRule="exact"/>
      </w:pPr>
      <w:r>
        <w:rPr>
          <w:rFonts w:ascii="Arial" w:eastAsia="SimHei" w:hAnsi="Arial"/>
          <w:b/>
          <w:bCs/>
          <w:sz w:val="28"/>
          <w:szCs w:val="28"/>
        </w:rPr>
        <w:t xml:space="preserve">4  测试方案与测试结果</w:t>
      </w:r>
    </w:p>
    <w:p>
      <w:pPr>
        <w:pStyle w:val="Heading2"/>
        <w:spacing w:after="80" w:before="160" w:line="440" w:lineRule="exact"/>
      </w:pPr>
      <w:r>
        <w:rPr>
          <w:rFonts w:ascii="Arial" w:eastAsia="SimHei" w:hAnsi="Arial"/>
          <w:b/>
          <w:bCs/>
          <w:sz w:val="24"/>
          <w:szCs w:val="24"/>
        </w:rPr>
        <w:t xml:space="preserve">4.1  测试条件</w:t>
      </w:r>
    </w:p>
    <w:p>
      <w:pPr>
        <w:spacing w:after="0" w:before="0" w:line="440" w:lineRule="exact"/>
        <w:ind w:firstLine="480"/>
      </w:pPr>
      <w:r>
        <w:rPr>
          <w:rFonts w:ascii="Times New Roman" w:eastAsia="SimSun" w:hAnsi="Times New Roman"/>
          <w:sz w:val="24"/>
          <w:szCs w:val="24"/>
        </w:rPr>
        <w:t xml:space="preserve">室温 24–27 °C，相对湿度 43–48 %RH；告警阈值 30 °C / 70 %RH；感知周期 2 s，云端上报周期 60 s。</w:t>
      </w:r>
    </w:p>
    <w:p>
      <w:pPr>
        <w:spacing w:after="0" w:before="0" w:line="440" w:lineRule="exact"/>
        <w:ind w:firstLine="480"/>
      </w:pPr>
      <w:r>
        <w:rPr>
          <w:rFonts w:ascii="Times New Roman" w:eastAsia="SimSun" w:hAnsi="Times New Roman"/>
          <w:sz w:val="24"/>
          <w:szCs w:val="24"/>
        </w:rPr>
        <w:t xml:space="preserve">激励方式：手掌包覆传感器。需说明的是，掌面接近饱和湿度，包覆后</w:t>
      </w:r>
      <w:r>
        <w:rPr>
          <w:rFonts w:ascii="Times New Roman" w:eastAsia="SimSun" w:hAnsi="Times New Roman"/>
          <w:b/>
          <w:bCs/>
          <w:sz w:val="24"/>
          <w:szCs w:val="24"/>
        </w:rPr>
        <w:t xml:space="preserve">湿度先于温度越限</w:t>
      </w:r>
      <w:r>
        <w:rPr>
          <w:rFonts w:ascii="Times New Roman" w:eastAsia="SimSun" w:hAnsi="Times New Roman"/>
          <w:sz w:val="24"/>
          <w:szCs w:val="24"/>
        </w:rPr>
        <w:t xml:space="preserve">——SHT30 湿度响应 τ63 ≈ 8 s，温度 τ63 ≈ 2 s，但掌内空气湿度在数秒内即达 80 %RH 以上，而热量需经外壳传导。故常温下该激励触发的是湿度告警。若需触发温度告警，改用热源置于传感器 1–2 cm 外（给热不给水汽）。</w:t>
      </w:r>
    </w:p>
    <w:p>
      <w:pPr>
        <w:pStyle w:val="Heading2"/>
        <w:spacing w:after="80" w:before="160" w:line="440" w:lineRule="exact"/>
      </w:pPr>
      <w:r>
        <w:rPr>
          <w:rFonts w:ascii="Arial" w:eastAsia="SimHei" w:hAnsi="Arial"/>
          <w:b/>
          <w:bCs/>
          <w:sz w:val="24"/>
          <w:szCs w:val="24"/>
        </w:rPr>
        <w:t xml:space="preserve">4.2  单元测试（主机）</w:t>
      </w:r>
    </w:p>
    <w:p>
      <w:pPr>
        <w:spacing w:after="0" w:before="0" w:line="440" w:lineRule="exact"/>
        <w:ind w:firstLine="480"/>
      </w:pPr>
      <w:r>
        <w:rPr>
          <w:rFonts w:ascii="Times New Roman" w:eastAsia="SimSun" w:hAnsi="Times New Roman"/>
          <w:sz w:val="24"/>
          <w:szCs w:val="24"/>
        </w:rPr>
        <w:t xml:space="preserve">自适应基线逻辑不含 Arduino 依赖，可在主机直接编译运行。七项断言全部通过：学习与带宽上下界、首样本异常不污染基线、持久化往返与写入节流、复位后强制持久化、窄配置与 millis 回绕、持续偏离触发重学而短暂偏离不触发、重学后硬限仍然有效。</w:t>
      </w:r>
    </w:p>
    <w:p>
      <w:pPr>
        <w:spacing w:after="0" w:before="0" w:line="440" w:lineRule="exact"/>
        <w:ind w:firstLine="480"/>
      </w:pPr>
      <w:r>
        <w:rPr>
          <w:rFonts w:ascii="Times New Roman" w:eastAsia="SimSun" w:hAnsi="Times New Roman"/>
          <w:sz w:val="24"/>
          <w:szCs w:val="24"/>
        </w:rPr>
        <w:t xml:space="preserve">后端 HTTP 接口另有冒烟测试，覆盖设备白名单、量程校验、判决结论往返存取、命令鉴权与参数区间、叙述触发条件，全部通过。</w:t>
      </w:r>
    </w:p>
    <w:p>
      <w:pPr>
        <w:pStyle w:val="Heading2"/>
        <w:spacing w:after="80" w:before="160" w:line="440" w:lineRule="exact"/>
      </w:pPr>
      <w:r>
        <w:rPr>
          <w:rFonts w:ascii="Arial" w:eastAsia="SimHei" w:hAnsi="Arial"/>
          <w:b/>
          <w:bCs/>
          <w:sz w:val="24"/>
          <w:szCs w:val="24"/>
        </w:rPr>
        <w:t xml:space="preserve">4.3  系统联试</w:t>
      </w:r>
    </w:p>
    <w:p>
      <w:pPr>
        <w:spacing w:after="0" w:before="0" w:line="440" w:lineRule="exact"/>
        <w:ind w:firstLine="480"/>
      </w:pPr>
      <w:r>
        <w:rPr>
          <w:rFonts w:ascii="Times New Roman" w:eastAsia="SimSun" w:hAnsi="Times New Roman"/>
          <w:b/>
          <w:bCs/>
          <w:sz w:val="24"/>
          <w:szCs w:val="24"/>
        </w:rPr>
        <w:t xml:space="preserve">告警功能与网络无关性。</w:t>
      </w:r>
      <w:r>
        <w:rPr>
          <w:rFonts w:ascii="Times New Roman" w:eastAsia="SimSun" w:hAnsi="Times New Roman"/>
          <w:sz w:val="24"/>
          <w:szCs w:val="24"/>
        </w:rPr>
        <w:t xml:space="preserve"> 关闭 Wi-Fi 后施加激励，蜂鸣器与 OLED 行为与联网时无差异。为在室温下复现“冷启动即越限”这一最不利工况，将告警阈值临时下调至 20 °C（低于当时室温 24.2 °C）后复位设备，串口输出为：</w:t>
      </w:r>
    </w:p>
    <w:p>
      <w:pPr>
        <w:spacing w:after="0" w:before="60" w:line="240" w:lineRule="exact"/>
        <w:ind w:left="240"/>
      </w:pPr>
      <w:r>
        <w:rPr>
          <w:rFonts w:ascii="Consolas" w:eastAsia="SimSun" w:hAnsi="Consolas"/>
          <w:sz w:val="18"/>
          <w:szCs w:val="18"/>
        </w:rPr>
        <w:t xml:space="preserve">[SAFETY] Dedicated 1 Hz task started</w:t>
      </w:r>
    </w:p>
    <w:p>
      <w:pPr>
        <w:spacing w:after="0" w:before="0" w:line="240" w:lineRule="exact"/>
        <w:ind w:left="240"/>
      </w:pPr>
      <w:r>
        <w:rPr>
          <w:rFonts w:ascii="Consolas" w:eastAsia="SimSun" w:hAnsi="Consolas"/>
          <w:sz w:val="18"/>
          <w:szCs w:val="18"/>
        </w:rPr>
        <w:t xml:space="preserve">[WiFi] Connecting to ...</w:t>
      </w:r>
    </w:p>
    <w:p>
      <w:pPr>
        <w:spacing w:after="0" w:before="0" w:line="240" w:lineRule="exact"/>
        <w:ind w:left="240"/>
      </w:pPr>
      <w:r>
        <w:rPr>
          <w:rFonts w:ascii="Consolas" w:eastAsia="SimSun" w:hAnsi="Consolas"/>
          <w:sz w:val="18"/>
          <w:szCs w:val="18"/>
        </w:rPr>
        <w:t xml:space="preserve">[ALARM] buzzer on, OLED: ALARM  TEMP 24.2C LIMIT 20.0C   &lt;- 网络尚未连通</w:t>
      </w:r>
    </w:p>
    <w:p>
      <w:pPr>
        <w:spacing w:after="60" w:before="0" w:line="240" w:lineRule="exact"/>
        <w:ind w:left="240"/>
      </w:pPr>
      <w:r>
        <w:rPr>
          <w:rFonts w:ascii="Consolas" w:eastAsia="SimSun" w:hAnsi="Consolas"/>
          <w:sz w:val="18"/>
          <w:szCs w:val="18"/>
        </w:rPr>
        <w:t xml:space="preserve">[WiFi] Connected!</w:t>
      </w:r>
    </w:p>
    <w:p>
      <w:pPr>
        <w:spacing w:after="0" w:before="0" w:line="440" w:lineRule="exact"/>
        <w:ind w:firstLine="480"/>
      </w:pPr>
      <w:r>
        <w:rPr>
          <w:rFonts w:ascii="Times New Roman" w:eastAsia="SimSun" w:hAnsi="Times New Roman"/>
          <w:sz w:val="24"/>
          <w:szCs w:val="24"/>
        </w:rPr>
        <w:t xml:space="preserve">告警发生在 Wi-Fi 连接完成之前。作为对照，将同一判据置于主循环的版本中，该行出现在 [MQTT] Connected 之后，即需额外等待 Wi-Fi、NTP、MQTT 三段连接。验证后阈值已复原为 30 °C。</w:t>
      </w:r>
    </w:p>
    <w:p>
      <w:pPr>
        <w:spacing w:after="0" w:before="0" w:line="440" w:lineRule="exact"/>
        <w:ind w:firstLine="480"/>
      </w:pPr>
      <w:r>
        <w:rPr>
          <w:rFonts w:ascii="Times New Roman" w:eastAsia="SimSun" w:hAnsi="Times New Roman"/>
          <w:b/>
          <w:bCs/>
          <w:sz w:val="24"/>
          <w:szCs w:val="24"/>
        </w:rPr>
        <w:t xml:space="preserve">云端上报。</w:t>
      </w:r>
      <w:r>
        <w:rPr>
          <w:rFonts w:ascii="Times New Roman" w:eastAsia="SimSun" w:hAnsi="Times New Roman"/>
          <w:sz w:val="24"/>
          <w:szCs w:val="24"/>
        </w:rPr>
        <w:t xml:space="preserve"> 设备经 MQTTS(8883) 接入 IoTDA，控制台可见两个 service 的属性数据，串口对应输出 [IoTDA] Combined publish OK。</w:t>
      </w:r>
    </w:p>
    <w:p>
      <w:pPr>
        <w:spacing w:after="0" w:before="0" w:line="440" w:lineRule="exact"/>
        <w:ind w:firstLine="480"/>
      </w:pPr>
      <w:r>
        <w:rPr>
          <w:rFonts w:ascii="Times New Roman" w:eastAsia="SimSun" w:hAnsi="Times New Roman"/>
          <w:b/>
          <w:bCs/>
          <w:sz w:val="24"/>
          <w:szCs w:val="24"/>
        </w:rPr>
        <w:t xml:space="preserve">存储行为。</w:t>
      </w:r>
      <w:r>
        <w:rPr>
          <w:rFonts w:ascii="Times New Roman" w:eastAsia="SimSun" w:hAnsi="Times New Roman"/>
          <w:sz w:val="24"/>
          <w:szCs w:val="24"/>
        </w:rPr>
        <w:t xml:space="preserve"> 设备每个感知周期上报一次判决，而 edge_assessments 表仅记录状态变迁：实测 8 次上报产生 3 行记录，每行时间戳即该状态的起始时刻。</w:t>
      </w:r>
    </w:p>
    <w:p>
      <w:pPr>
        <w:spacing w:after="0" w:before="0" w:line="440" w:lineRule="exact"/>
        <w:ind w:firstLine="480"/>
      </w:pPr>
      <w:r>
        <w:rPr>
          <w:rFonts w:ascii="Times New Roman" w:eastAsia="SimSun" w:hAnsi="Times New Roman"/>
          <w:b/>
          <w:bCs/>
          <w:sz w:val="24"/>
          <w:szCs w:val="24"/>
        </w:rPr>
        <w:t xml:space="preserve">降级行为。</w:t>
      </w:r>
      <w:r>
        <w:rPr>
          <w:rFonts w:ascii="Times New Roman" w:eastAsia="SimSun" w:hAnsi="Times New Roman"/>
          <w:sz w:val="24"/>
          <w:szCs w:val="24"/>
        </w:rPr>
        <w:t xml:space="preserve"> 本地服务不可达时按指数退避重试（10 s 起，倍增至 5 min 封顶），推理、告警与云端上报均不受影响，且不在 OLED 上呈现——本地服务是验证夹具而非数据链路的一环，把它的缺席显示为设备状态会错误传达故障位置。传感器读数无效或快照超过 1.5 s 时阻断上报，而非发送陈旧值。</w:t>
      </w:r>
    </w:p>
    <w:p>
      <w:pPr>
        <w:pStyle w:val="Heading2"/>
        <w:spacing w:after="80" w:before="160" w:line="440" w:lineRule="exact"/>
      </w:pPr>
      <w:r>
        <w:rPr>
          <w:rFonts w:ascii="Arial" w:eastAsia="SimHei" w:hAnsi="Arial"/>
          <w:b/>
          <w:bCs/>
          <w:sz w:val="24"/>
          <w:szCs w:val="24"/>
        </w:rPr>
        <w:t xml:space="preserve">4.4  资源占用</w:t>
      </w:r>
    </w:p>
    <w:p>
      <w:pPr>
        <w:spacing w:after="0" w:before="0" w:line="440" w:lineRule="exact"/>
        <w:ind w:firstLine="480"/>
      </w:pPr>
      <w:r>
        <w:rPr>
          <w:rFonts w:ascii="Times New Roman" w:eastAsia="SimSun" w:hAnsi="Times New Roman"/>
          <w:sz w:val="24"/>
          <w:szCs w:val="24"/>
        </w:rPr>
        <w:t xml:space="preserve">构建工具链接后直接给出（数值可由 pio run 复现）：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1"/>
        <w:gridCol w:w="3809"/>
        <w:gridCol w:w="1361"/>
        <w:gridCol w:w="1361"/>
        <w:gridCol w:w="1088"/>
      </w:tblGrid>
      <w:tr>
        <w:trPr>
          <w:tblHeader/>
        </w:trPr>
        <w:tc>
          <w:tcPr>
            <w:tcW w:type="dxa" w:w="1451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 w:lineRule="exact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项目</w:t>
            </w:r>
          </w:p>
        </w:tc>
        <w:tc>
          <w:tcPr>
            <w:tcW w:type="dxa" w:w="3809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 w:lineRule="exact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主要构成</w:t>
            </w:r>
          </w:p>
        </w:tc>
        <w:tc>
          <w:tcPr>
            <w:tcW w:type="dxa" w:w="1361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 w:lineRule="exact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占用</w:t>
            </w:r>
          </w:p>
        </w:tc>
        <w:tc>
          <w:tcPr>
            <w:tcW w:type="dxa" w:w="1361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 w:lineRule="exact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容量</w:t>
            </w:r>
          </w:p>
        </w:tc>
        <w:tc>
          <w:tcPr>
            <w:tcW w:type="dxa" w:w="1088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 w:lineRule="exact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比例</w:t>
            </w:r>
          </w:p>
        </w:tc>
      </w:tr>
      <w:tr>
        <w:tc>
          <w:tcPr>
            <w:tcW w:type="dxa" w:w="145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 w:lineRule="exact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RAM（静态）</w:t>
            </w:r>
          </w:p>
        </w:tc>
        <w:tc>
          <w:tcPr>
            <w:tcW w:type="dxa" w:w="38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 w:lineRule="exact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.dram0.data + .dram0.bss</w:t>
            </w:r>
          </w:p>
        </w:tc>
        <w:tc>
          <w:tcPr>
            <w:tcW w:type="dxa" w:w="136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 w:lineRule="exact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47 372 B</w:t>
            </w:r>
          </w:p>
        </w:tc>
        <w:tc>
          <w:tcPr>
            <w:tcW w:type="dxa" w:w="136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 w:lineRule="exact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327 680 B</w:t>
            </w:r>
          </w:p>
        </w:tc>
        <w:tc>
          <w:tcPr>
            <w:tcW w:type="dxa" w:w="108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 w:lineRule="exact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14.5 %</w:t>
            </w:r>
          </w:p>
        </w:tc>
      </w:tr>
      <w:tr>
        <w:tc>
          <w:tcPr>
            <w:tcW w:type="dxa" w:w="145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 w:lineRule="exact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Flash</w:t>
            </w:r>
          </w:p>
        </w:tc>
        <w:tc>
          <w:tcPr>
            <w:tcW w:type="dxa" w:w="38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 w:lineRule="exact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.flash.text + .flash.rodata + .iram0.text + .dram0.data + 向量表</w:t>
            </w:r>
          </w:p>
        </w:tc>
        <w:tc>
          <w:tcPr>
            <w:tcW w:type="dxa" w:w="136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 w:lineRule="exact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963 673 B</w:t>
            </w:r>
          </w:p>
        </w:tc>
        <w:tc>
          <w:tcPr>
            <w:tcW w:type="dxa" w:w="136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 w:lineRule="exact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6 553 600 B</w:t>
            </w:r>
          </w:p>
        </w:tc>
        <w:tc>
          <w:tcPr>
            <w:tcW w:type="dxa" w:w="108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 w:lineRule="exact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14.7 %</w:t>
            </w:r>
          </w:p>
        </w:tc>
      </w:tr>
    </w:tbl>
    <w:p>
      <w:pPr>
        <w:spacing w:line="120" w:lineRule="exact"/>
      </w:pPr>
      <w:r>
        <w:rPr>
          <w:sz w:val="12"/>
          <w:szCs w:val="12"/>
        </w:rPr>
        <w:t xml:space="preserve"/>
      </w:r>
    </w:p>
    <w:p>
      <w:pPr>
        <w:spacing w:after="0" w:before="0" w:line="440" w:lineRule="exact"/>
        <w:ind w:firstLine="480"/>
      </w:pPr>
      <w:r>
        <w:rPr>
          <w:rFonts w:ascii="Times New Roman" w:eastAsia="SimSun" w:hAnsi="Times New Roman"/>
          <w:sz w:val="24"/>
          <w:szCs w:val="24"/>
        </w:rPr>
        <w:t xml:space="preserve">两点须说明：RAM 一列为</w:t>
      </w:r>
      <w:r>
        <w:rPr>
          <w:rFonts w:ascii="Times New Roman" w:eastAsia="SimSun" w:hAnsi="Times New Roman"/>
          <w:b/>
          <w:bCs/>
          <w:sz w:val="24"/>
          <w:szCs w:val="24"/>
        </w:rPr>
        <w:t xml:space="preserve">链接期静态分配</w:t>
      </w:r>
      <w:r>
        <w:rPr>
          <w:rFonts w:ascii="Times New Roman" w:eastAsia="SimSun" w:hAnsi="Times New Roman"/>
          <w:sz w:val="24"/>
          <w:szCs w:val="24"/>
        </w:rPr>
        <w:t xml:space="preserve">，不含运行时堆与任务栈（安全任务栈另计 4 KB）；Flash 分母为分区表 default_16MB.csv 中 app0 分区容量 0x640000 = 6.25 MB，而非 16 MB 整片。</w:t>
      </w:r>
    </w:p>
    <w:p>
      <w:pPr>
        <w:spacing w:after="0" w:before="0" w:line="440" w:lineRule="exact"/>
        <w:ind w:firstLine="480"/>
      </w:pPr>
      <w:r>
        <w:rPr>
          <w:rFonts w:ascii="Times New Roman" w:eastAsia="SimSun" w:hAnsi="Times New Roman"/>
          <w:sz w:val="24"/>
          <w:szCs w:val="24"/>
        </w:rPr>
        <w:t xml:space="preserve">推理本身的增量开销可单独估计：12 样本环形缓冲共 12 × (2 × float + uint32) = 144 B，自适应基线状态 6 个 float 加计数器不足 40 B，合计不到 0.2 KB，其余占用来自 Wi-Fi/TLS/MQTT 协议栈。</w:t>
      </w:r>
    </w:p>
    <w:p>
      <w:pPr>
        <w:spacing w:after="0" w:before="0" w:line="440" w:lineRule="exact"/>
        <w:ind w:firstLine="480"/>
      </w:pPr>
      <w:r>
        <w:rPr>
          <w:rFonts w:ascii="Times New Roman" w:eastAsia="SimSun" w:hAnsi="Times New Roman"/>
          <w:sz w:val="24"/>
          <w:szCs w:val="24"/>
        </w:rPr>
        <w:t xml:space="preserve">单设备每日产生 43 200 次本地判决（2 s 周期），全部在设备上完成，无计费开销；上行云端消息 1 440 条，占免费额度 14%。</w:t>
      </w:r>
    </w:p>
    <w:p>
      <w:pPr>
        <w:pStyle w:val="Heading1"/>
        <w:spacing w:after="120" w:before="240" w:line="440" w:lineRule="exact"/>
      </w:pPr>
      <w:r>
        <w:rPr>
          <w:rFonts w:ascii="Arial" w:eastAsia="SimHei" w:hAnsi="Arial"/>
          <w:b/>
          <w:bCs/>
          <w:sz w:val="28"/>
          <w:szCs w:val="28"/>
        </w:rPr>
        <w:t xml:space="preserve">5  结果分析与结论</w:t>
      </w:r>
    </w:p>
    <w:p>
      <w:pPr>
        <w:spacing w:after="0" w:before="0" w:line="440" w:lineRule="exact"/>
        <w:ind w:firstLine="480"/>
      </w:pPr>
      <w:r>
        <w:rPr>
          <w:rFonts w:ascii="Times New Roman" w:eastAsia="SimSun" w:hAnsi="Times New Roman"/>
          <w:sz w:val="24"/>
          <w:szCs w:val="24"/>
        </w:rPr>
        <w:t xml:space="preserve">实测表明，将判决下沉至 MCU 的方案达到了设计目标。</w:t>
      </w:r>
      <w:r>
        <w:rPr>
          <w:rFonts w:ascii="Times New Roman" w:eastAsia="SimSun" w:hAnsi="Times New Roman"/>
          <w:b/>
          <w:bCs/>
          <w:sz w:val="24"/>
          <w:szCs w:val="24"/>
        </w:rPr>
        <w:t xml:space="preserve">告警可用性与网络解耦</w:t>
      </w:r>
      <w:r>
        <w:rPr>
          <w:rFonts w:ascii="Times New Roman" w:eastAsia="SimSun" w:hAnsi="Times New Roman"/>
          <w:sz w:val="24"/>
          <w:szCs w:val="24"/>
        </w:rPr>
        <w:t xml:space="preserve">：断网、云端不可达、冷启动进入异常环境三种条件下，告警时延与联网时一致（≤ 1 s）；这一性质来自架构而非补救，判决路径中不存在网络调用。</w:t>
      </w:r>
      <w:r>
        <w:rPr>
          <w:rFonts w:ascii="Times New Roman" w:eastAsia="SimSun" w:hAnsi="Times New Roman"/>
          <w:b/>
          <w:bCs/>
          <w:sz w:val="24"/>
          <w:szCs w:val="24"/>
        </w:rPr>
        <w:t xml:space="preserve">适应性与安全性可以共存</w:t>
      </w:r>
      <w:r>
        <w:rPr>
          <w:rFonts w:ascii="Times New Roman" w:eastAsia="SimSun" w:hAnsi="Times New Roman"/>
          <w:sz w:val="24"/>
          <w:szCs w:val="24"/>
        </w:rPr>
        <w:t xml:space="preserve">：自适应带被钳制在固定硬限内侧，且告警阈值不参与学习，因此允许基线随环境移动不会削弱任何安全保证——会自适应的部分与提供保证的部分被显式分开，且前者被后者约束。</w:t>
      </w:r>
      <w:r>
        <w:rPr>
          <w:rFonts w:ascii="Times New Roman" w:eastAsia="SimSun" w:hAnsi="Times New Roman"/>
          <w:b/>
          <w:bCs/>
          <w:sz w:val="24"/>
          <w:szCs w:val="24"/>
        </w:rPr>
        <w:t xml:space="preserve">开销可忽略</w:t>
      </w:r>
      <w:r>
        <w:rPr>
          <w:rFonts w:ascii="Times New Roman" w:eastAsia="SimSun" w:hAnsi="Times New Roman"/>
          <w:sz w:val="24"/>
          <w:szCs w:val="24"/>
        </w:rPr>
        <w:t xml:space="preserve">：RAM 与 Flash 占用均低于 15%，其中推理本身不足 0.2 KB。</w:t>
      </w:r>
    </w:p>
    <w:p>
      <w:pPr>
        <w:spacing w:after="0" w:before="0" w:line="440" w:lineRule="exact"/>
        <w:ind w:firstLine="480"/>
      </w:pPr>
      <w:r>
        <w:rPr>
          <w:rFonts w:ascii="Times New Roman" w:eastAsia="SimSun" w:hAnsi="Times New Roman"/>
          <w:sz w:val="24"/>
          <w:szCs w:val="24"/>
        </w:rPr>
        <w:t xml:space="preserve">尚未完成的部分如实列出：经 IoTDA 应用侧接口下发命令尚未实现（当前命令由本地服务队列下发，设备侧接收与回执已实现并验证）；可视化仅有本地网页，尚未部署至云端；设备侧 Wi-Fi、MQTT、NTP 状态仅在 OLED 显示，未纳入上报报文；系统按单设备设计，数据模型虽以设备号为键，但无分组与告警分级策略。</w:t>
      </w:r>
    </w:p>
    <w:p>
      <w:pPr>
        <w:spacing w:after="0" w:before="0" w:line="440" w:lineRule="exact"/>
        <w:ind w:firstLine="480"/>
      </w:pPr>
      <w:r>
        <w:rPr>
          <w:rFonts w:ascii="Times New Roman" w:eastAsia="SimSun" w:hAnsi="Times New Roman"/>
          <w:sz w:val="24"/>
          <w:szCs w:val="24"/>
        </w:rPr>
        <w:t xml:space="preserve">后续工作方向：将 IoTDA 转发接入云端看板以摆脱同网段依赖；补齐应用侧命令下发；扩展多设备管理与告警分级；将开发板与模块整合为单块印制板，以消除接线引入的故障点。</w:t>
      </w:r>
    </w:p>
    <w:p>
      <w:r>
        <w:br w:type="page"/>
      </w:r>
    </w:p>
    <w:p>
      <w:pPr>
        <w:pStyle w:val="Heading1"/>
        <w:spacing w:after="120" w:before="240" w:line="440" w:lineRule="exact"/>
      </w:pPr>
      <w:r>
        <w:rPr>
          <w:rFonts w:ascii="Arial" w:eastAsia="SimHei" w:hAnsi="Arial"/>
          <w:b/>
          <w:bCs/>
          <w:sz w:val="28"/>
          <w:szCs w:val="28"/>
        </w:rPr>
        <w:t xml:space="preserve">附录 A  判据与主要参数</w:t>
      </w:r>
    </w:p>
    <w:p>
      <w:pPr>
        <w:spacing w:after="0" w:before="0" w:line="440" w:lineRule="exact"/>
      </w:pPr>
      <w:r>
        <w:rPr>
          <w:rFonts w:ascii="Times New Roman" w:eastAsia="SimSun" w:hAnsi="Times New Roman"/>
          <w:sz w:val="24"/>
          <w:szCs w:val="24"/>
        </w:rPr>
        <w:t xml:space="preserve">EdgeReasoner 状态判据（按顺序求值，首个命中生效）：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21"/>
        <w:gridCol w:w="1270"/>
        <w:gridCol w:w="5079"/>
      </w:tblGrid>
      <w:tr>
        <w:trPr>
          <w:tblHeader/>
        </w:trPr>
        <w:tc>
          <w:tcPr>
            <w:tcW w:type="dxa" w:w="2721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 w:lineRule="exact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状态</w:t>
            </w:r>
          </w:p>
        </w:tc>
        <w:tc>
          <w:tcPr>
            <w:tcW w:type="dxa" w:w="127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 w:lineRule="exact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严重度</w:t>
            </w:r>
          </w:p>
        </w:tc>
        <w:tc>
          <w:tcPr>
            <w:tcW w:type="dxa" w:w="5079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 w:lineRule="exact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条件</w:t>
            </w:r>
          </w:p>
        </w:tc>
      </w:tr>
      <w:tr>
        <w:tc>
          <w:tcPr>
            <w:tcW w:type="dxa" w:w="272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 w:lineRule="exact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WARMUP</w:t>
            </w:r>
          </w:p>
        </w:tc>
        <w:tc>
          <w:tcPr>
            <w:tcW w:type="dxa" w:w="12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 w:lineRule="exact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info</w:t>
            </w:r>
          </w:p>
        </w:tc>
        <w:tc>
          <w:tcPr>
            <w:tcW w:type="dxa" w:w="507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 w:lineRule="exact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样本 &lt; 4</w:t>
            </w:r>
          </w:p>
        </w:tc>
      </w:tr>
      <w:tr>
        <w:tc>
          <w:tcPr>
            <w:tcW w:type="dxa" w:w="272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 w:lineRule="exact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UNSTABLE</w:t>
            </w:r>
          </w:p>
        </w:tc>
        <w:tc>
          <w:tcPr>
            <w:tcW w:type="dxa" w:w="12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 w:lineRule="exact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warning</w:t>
            </w:r>
          </w:p>
        </w:tc>
        <w:tc>
          <w:tcPr>
            <w:tcW w:type="dxa" w:w="507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 w:lineRule="exact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窗口极差 ≥ 4 °C 或 ≥ 15 %RH，或相邻步进 ≥ 2.5 °C 或 ≥ 10 %RH</w:t>
            </w:r>
          </w:p>
        </w:tc>
      </w:tr>
      <w:tr>
        <w:tc>
          <w:tcPr>
            <w:tcW w:type="dxa" w:w="272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 w:lineRule="exact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HEAT_HUMID_RISK</w:t>
            </w:r>
          </w:p>
        </w:tc>
        <w:tc>
          <w:tcPr>
            <w:tcW w:type="dxa" w:w="12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 w:lineRule="exact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warning</w:t>
            </w:r>
          </w:p>
        </w:tc>
        <w:tc>
          <w:tcPr>
            <w:tcW w:type="dxa" w:w="507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 w:lineRule="exact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≥ 30 °C 且 ≥ 70 %RH</w:t>
            </w:r>
          </w:p>
        </w:tc>
      </w:tr>
      <w:tr>
        <w:tc>
          <w:tcPr>
            <w:tcW w:type="dxa" w:w="272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 w:lineRule="exact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TEMP_RISING</w:t>
            </w:r>
          </w:p>
        </w:tc>
        <w:tc>
          <w:tcPr>
            <w:tcW w:type="dxa" w:w="12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 w:lineRule="exact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warning</w:t>
            </w:r>
          </w:p>
        </w:tc>
        <w:tc>
          <w:tcPr>
            <w:tcW w:type="dxa" w:w="507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 w:lineRule="exact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≥ 1.2 °C/min 且净升 ≥ 0.8 °C</w:t>
            </w:r>
          </w:p>
        </w:tc>
      </w:tr>
      <w:tr>
        <w:tc>
          <w:tcPr>
            <w:tcW w:type="dxa" w:w="272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 w:lineRule="exact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HUMIDITY_RISING</w:t>
            </w:r>
          </w:p>
        </w:tc>
        <w:tc>
          <w:tcPr>
            <w:tcW w:type="dxa" w:w="12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 w:lineRule="exact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warning</w:t>
            </w:r>
          </w:p>
        </w:tc>
        <w:tc>
          <w:tcPr>
            <w:tcW w:type="dxa" w:w="507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 w:lineRule="exact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≥ 4 %RH/min 且净升 ≥ 3 %RH</w:t>
            </w:r>
          </w:p>
        </w:tc>
      </w:tr>
      <w:tr>
        <w:tc>
          <w:tcPr>
            <w:tcW w:type="dxa" w:w="272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 w:lineRule="exact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HIGH_TEMPERATURE / HIGH_HUMIDITY</w:t>
            </w:r>
          </w:p>
        </w:tc>
        <w:tc>
          <w:tcPr>
            <w:tcW w:type="dxa" w:w="12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 w:lineRule="exact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watch</w:t>
            </w:r>
          </w:p>
        </w:tc>
        <w:tc>
          <w:tcPr>
            <w:tcW w:type="dxa" w:w="507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 w:lineRule="exact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≥ 30 °C / ≥ 70 %RH</w:t>
            </w:r>
          </w:p>
        </w:tc>
      </w:tr>
      <w:tr>
        <w:tc>
          <w:tcPr>
            <w:tcW w:type="dxa" w:w="272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 w:lineRule="exact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NORMAL</w:t>
            </w:r>
          </w:p>
        </w:tc>
        <w:tc>
          <w:tcPr>
            <w:tcW w:type="dxa" w:w="12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 w:lineRule="exact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info</w:t>
            </w:r>
          </w:p>
        </w:tc>
        <w:tc>
          <w:tcPr>
            <w:tcW w:type="dxa" w:w="507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 w:lineRule="exact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以上均不满足</w:t>
            </w:r>
          </w:p>
        </w:tc>
      </w:tr>
    </w:tbl>
    <w:p>
      <w:pPr>
        <w:spacing w:line="120" w:lineRule="exact"/>
      </w:pPr>
      <w:r>
        <w:rPr>
          <w:sz w:val="12"/>
          <w:szCs w:val="12"/>
        </w:rPr>
        <w:t xml:space="preserve"/>
      </w:r>
    </w:p>
    <w:p>
      <w:pPr>
        <w:spacing w:after="0" w:before="0" w:line="440" w:lineRule="exact"/>
      </w:pPr>
      <w:r>
        <w:rPr>
          <w:rFonts w:ascii="Times New Roman" w:eastAsia="SimSun" w:hAnsi="Times New Roman"/>
          <w:sz w:val="24"/>
          <w:szCs w:val="24"/>
        </w:rPr>
        <w:t xml:space="preserve">主要参数：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21"/>
        <w:gridCol w:w="2902"/>
        <w:gridCol w:w="3447"/>
      </w:tblGrid>
      <w:tr>
        <w:trPr>
          <w:tblHeader/>
        </w:trPr>
        <w:tc>
          <w:tcPr>
            <w:tcW w:type="dxa" w:w="2721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 w:lineRule="exact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参数</w:t>
            </w:r>
          </w:p>
        </w:tc>
        <w:tc>
          <w:tcPr>
            <w:tcW w:type="dxa" w:w="2902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 w:lineRule="exact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取值</w:t>
            </w:r>
          </w:p>
        </w:tc>
        <w:tc>
          <w:tcPr>
            <w:tcW w:type="dxa" w:w="3447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 w:lineRule="exact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位置</w:t>
            </w:r>
          </w:p>
        </w:tc>
      </w:tr>
      <w:tr>
        <w:tc>
          <w:tcPr>
            <w:tcW w:type="dxa" w:w="272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 w:lineRule="exact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安全采样 / 感知 / 推理输入 / 云端上报</w:t>
            </w:r>
          </w:p>
        </w:tc>
        <w:tc>
          <w:tcPr>
            <w:tcW w:type="dxa" w:w="290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 w:lineRule="exact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1 s / 2 s / 10 s / 60 s</w:t>
            </w:r>
          </w:p>
        </w:tc>
        <w:tc>
          <w:tcPr>
            <w:tcW w:type="dxa" w:w="344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 w:lineRule="exact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SENSE_ 与 CLOUD_INTERVAL_MS 等</w:t>
            </w:r>
          </w:p>
        </w:tc>
      </w:tr>
      <w:tr>
        <w:tc>
          <w:tcPr>
            <w:tcW w:type="dxa" w:w="272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 w:lineRule="exact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快照最大陈旧时间</w:t>
            </w:r>
          </w:p>
        </w:tc>
        <w:tc>
          <w:tcPr>
            <w:tcW w:type="dxa" w:w="290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 w:lineRule="exact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1.5 s</w:t>
            </w:r>
          </w:p>
        </w:tc>
        <w:tc>
          <w:tcPr>
            <w:tcW w:type="dxa" w:w="344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 w:lineRule="exact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SAFETY_SAMPLE_MAX_AGE_MS</w:t>
            </w:r>
          </w:p>
        </w:tc>
      </w:tr>
      <w:tr>
        <w:tc>
          <w:tcPr>
            <w:tcW w:type="dxa" w:w="272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 w:lineRule="exact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推理窗口</w:t>
            </w:r>
          </w:p>
        </w:tc>
        <w:tc>
          <w:tcPr>
            <w:tcW w:type="dxa" w:w="290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 w:lineRule="exact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12 样本（跨 2 min）</w:t>
            </w:r>
          </w:p>
        </w:tc>
        <w:tc>
          <w:tcPr>
            <w:tcW w:type="dxa" w:w="344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 w:lineRule="exact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WINDOW_SIZE</w:t>
            </w:r>
          </w:p>
        </w:tc>
      </w:tr>
      <w:tr>
        <w:tc>
          <w:tcPr>
            <w:tcW w:type="dxa" w:w="272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 w:lineRule="exact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基线预热 / 重学判据</w:t>
            </w:r>
          </w:p>
        </w:tc>
        <w:tc>
          <w:tcPr>
            <w:tcW w:type="dxa" w:w="290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 w:lineRule="exact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4 min / 连续带外 1 h</w:t>
            </w:r>
          </w:p>
        </w:tc>
        <w:tc>
          <w:tcPr>
            <w:tcW w:type="dxa" w:w="344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 w:lineRule="exact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按感知周期折算样本数</w:t>
            </w:r>
          </w:p>
        </w:tc>
      </w:tr>
      <w:tr>
        <w:tc>
          <w:tcPr>
            <w:tcW w:type="dxa" w:w="272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 w:lineRule="exact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学习率（中心 / 偏差）</w:t>
            </w:r>
          </w:p>
        </w:tc>
        <w:tc>
          <w:tcPr>
            <w:tcW w:type="dxa" w:w="290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 w:lineRule="exact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0.02 / 0.05</w:t>
            </w:r>
          </w:p>
        </w:tc>
        <w:tc>
          <w:tcPr>
            <w:tcW w:type="dxa" w:w="344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 w:lineRule="exact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centerLearningRate 等</w:t>
            </w:r>
          </w:p>
        </w:tc>
      </w:tr>
      <w:tr>
        <w:tc>
          <w:tcPr>
            <w:tcW w:type="dxa" w:w="272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 w:lineRule="exact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告警阈值</w:t>
            </w:r>
          </w:p>
        </w:tc>
        <w:tc>
          <w:tcPr>
            <w:tcW w:type="dxa" w:w="290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 w:lineRule="exact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30 °C / 70 %RH</w:t>
            </w:r>
          </w:p>
        </w:tc>
        <w:tc>
          <w:tcPr>
            <w:tcW w:type="dxa" w:w="344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 w:lineRule="exact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ALARM_TEMP_C 等</w:t>
            </w:r>
          </w:p>
        </w:tc>
      </w:tr>
      <w:tr>
        <w:tc>
          <w:tcPr>
            <w:tcW w:type="dxa" w:w="272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 w:lineRule="exact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固定硬限 / 保护间隔</w:t>
            </w:r>
          </w:p>
        </w:tc>
        <w:tc>
          <w:tcPr>
            <w:tcW w:type="dxa" w:w="290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 w:lineRule="exact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−10…45 °C、5…95 %RH / 0.5 °C、2 %RH</w:t>
            </w:r>
          </w:p>
        </w:tc>
        <w:tc>
          <w:tcPr>
            <w:tcW w:type="dxa" w:w="344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0" w:lineRule="exact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hardTempLowerC 等</w:t>
            </w:r>
          </w:p>
        </w:tc>
      </w:tr>
    </w:tbl>
    <w:p>
      <w:pPr>
        <w:pStyle w:val="Heading1"/>
        <w:spacing w:after="120" w:before="240" w:line="440" w:lineRule="exact"/>
      </w:pPr>
      <w:r>
        <w:rPr>
          <w:rFonts w:ascii="Arial" w:eastAsia="SimHei" w:hAnsi="Arial"/>
          <w:b/>
          <w:bCs/>
          <w:sz w:val="28"/>
          <w:szCs w:val="28"/>
        </w:rPr>
        <w:t xml:space="preserve">附录 B  参考文献</w:t>
      </w:r>
    </w:p>
    <w:p>
      <w:pPr>
        <w:spacing w:after="0" w:before="0" w:line="440" w:lineRule="exact"/>
      </w:pPr>
      <w:r>
        <w:rPr>
          <w:rFonts w:ascii="Times New Roman" w:eastAsia="SimSun" w:hAnsi="Times New Roman"/>
          <w:sz w:val="24"/>
          <w:szCs w:val="24"/>
        </w:rPr>
        <w:t xml:space="preserve">[1] 华为云 IoTDA 设备属性上报接口文档.</w:t>
      </w:r>
    </w:p>
    <w:p>
      <w:pPr>
        <w:spacing w:after="0" w:before="0" w:line="440" w:lineRule="exact"/>
      </w:pPr>
      <w:r>
        <w:rPr>
          <w:rFonts w:ascii="Times New Roman" w:eastAsia="SimSun" w:hAnsi="Times New Roman"/>
          <w:sz w:val="24"/>
          <w:szCs w:val="24"/>
        </w:rPr>
        <w:t xml:space="preserve">[2] Sensirion. SHT3x-DIS Datasheet.</w:t>
      </w:r>
    </w:p>
    <w:p>
      <w:pPr>
        <w:spacing w:after="0" w:before="0" w:line="440" w:lineRule="exact"/>
      </w:pPr>
      <w:r>
        <w:rPr>
          <w:rFonts w:ascii="Times New Roman" w:eastAsia="SimSun" w:hAnsi="Times New Roman"/>
          <w:sz w:val="24"/>
          <w:szCs w:val="24"/>
        </w:rPr>
        <w:t xml:space="preserve">[3] Solomon Systech. SSD1315 Datasheet.</w:t>
      </w:r>
    </w:p>
    <w:p>
      <w:pPr>
        <w:spacing w:after="0" w:before="0" w:line="440" w:lineRule="exact"/>
      </w:pPr>
      <w:r>
        <w:rPr>
          <w:rFonts w:ascii="Times New Roman" w:eastAsia="SimSun" w:hAnsi="Times New Roman"/>
          <w:sz w:val="24"/>
          <w:szCs w:val="24"/>
        </w:rPr>
        <w:t xml:space="preserve">[4] Espressif. ESP32-S3 Technical Reference Manual.</w:t>
      </w:r>
    </w:p>
    <w:sectPr>
      <w:footerReference w:type="default" r:id="rId7"/>
      <w:pgSz w:w="11906" w:h="16838" w:orient="portrait"/>
      <w:pgMar w:top="1701" w:right="1418" w:bottom="1418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Times New Roman" w:eastAsia="SimSun" w:hAnsi="Times New Roman"/>
        <w:sz w:val="21"/>
        <w:szCs w:val="21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b8174ff07c0f12fb6f1f721d0ef5f75bdde0caa3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2026-09-03T13:44:22.026Z</dcterms:created>
  <dcterms:modified xsi:type="dcterms:W3CDTF">2026-09-03T13:44:22.026Z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