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520" w:lineRule="exact"/>
        <w:jc w:val="center"/>
      </w:pPr>
      <w:r>
        <w:rPr>
          <w:rFonts w:ascii="Arial" w:eastAsia="SimHei" w:hAnsi="Arial"/>
          <w:b/>
          <w:bCs/>
          <w:sz w:val="36"/>
          <w:szCs w:val="36"/>
        </w:rPr>
        <w:t xml:space="preserve">边缘智能环境监测与报警系统</w:t>
      </w:r>
    </w:p>
    <w:p>
      <w:pPr>
        <w:spacing w:after="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摘要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针对环境监测的两类失效——固定阈值不适应现场本底环境、云端判决在断网时失去告警能力——本系统将判决逻辑完整下沉至 ESP32-S3。设备以 1 Hz 独立任务采样 SHT30，由自适应基线学习安装现场的正常范围，与 12 样本窗口的固定阈值及趋势速率共同给出状态、严重度、置信度与原因码；越限时蜂鸣器与 OLED 在 1 秒内本地告警，判决路径无任何网络调用。同一结论再经 MQTTS 上报华为云 IoTDA 并存入本地 SQLite。自适应带被钳制在固定安全限内侧，学习只能收窄关注范围，不能放宽安全边界。实测断网与冷启动下告警不受影响，占用 RAM 14.5%、Flash 14.7%。</w:t>
      </w:r>
    </w:p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关键词：边缘计算；自适应基线；确定性告警；ESP32-S3；华为云 IoTDA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1  方案设计与论证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1.1  问题分析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温湿度监测的告警环节存在两个独立的失效模式。其一，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固定阈值不具备场所适应性</w:t>
      </w:r>
      <w:r>
        <w:rPr>
          <w:rFonts w:ascii="Times New Roman" w:eastAsia="SimSun" w:hAnsi="Times New Roman"/>
          <w:sz w:val="24"/>
          <w:szCs w:val="24"/>
        </w:rPr>
        <w:t xml:space="preserve">：同一套阈值用于常温机房与锅炉房，前者误报、后者漏报，而设备无法预先知道安装现场的本底环境。其二，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判决依赖网络则在断网时失效</w:t>
      </w:r>
      <w:r>
        <w:rPr>
          <w:rFonts w:ascii="Times New Roman" w:eastAsia="SimSun" w:hAnsi="Times New Roman"/>
          <w:sz w:val="24"/>
          <w:szCs w:val="24"/>
        </w:rPr>
        <w:t xml:space="preserve">，而断网恰恰与供电异常、设备故障等需要告警的场景高度相关——系统最需要工作的时刻，正是它最可能失效的时刻。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近年常见的“云端大模型分析”方案同时继承了这两个问题：每一次判决都依赖连通性、API 配额，以及模型返回可解析结构化输出的能力。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1.2  方案比较与选择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围绕“判决在哪里做”，比较三种方案：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2375"/>
        <w:gridCol w:w="2160"/>
        <w:gridCol w:w="2807"/>
      </w:tblGrid>
      <w:tr>
        <w:trPr>
          <w:tblHeader/>
        </w:trPr>
        <w:tc>
          <w:tcPr>
            <w:tcW w:type="dxa" w:w="172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对比项</w:t>
            </w:r>
          </w:p>
        </w:tc>
        <w:tc>
          <w:tcPr>
            <w:tcW w:type="dxa" w:w="23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方案一：云端判决</w:t>
            </w:r>
          </w:p>
        </w:tc>
        <w:tc>
          <w:tcPr>
            <w:tcW w:type="dxa" w:w="216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方案二：纯固定阈值</w:t>
            </w:r>
          </w:p>
        </w:tc>
        <w:tc>
          <w:tcPr>
            <w:tcW w:type="dxa" w:w="280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方案三：片上自适应判决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断网可用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否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是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是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场所适应性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依赖提示词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无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有，且有界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告警时延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往返 + 推理，不可控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&lt; 1 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&lt; 1 s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单次判决成本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按 API 计费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误报抑制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依赖模型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无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趋势 + 迟滞 + 不可信判定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方案一在演示中效果好，但把告警的可用性绑定在三个外部条件上；方案二可靠但不解决适应性问题。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本系统选择方案三</w:t>
      </w:r>
      <w:r>
        <w:rPr>
          <w:rFonts w:ascii="Times New Roman" w:eastAsia="SimSun" w:hAnsi="Times New Roman"/>
          <w:sz w:val="24"/>
          <w:szCs w:val="24"/>
        </w:rPr>
        <w:t xml:space="preserve">：判决全部由 MCU 上的确定性代码完成，网络只负责把已经得出的结论送出去，从不参与产生结论。这一选择的代价是设备端计算与存储开销，实测该开销可忽略（4.4 节）。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本系统仍保留一个大语言模型接口，但其职责被严格限定为把状态变化翻译成人类可读的语句。代码中不存在任何将模型输出转换为告警或控制指令的路径，该功能默认关闭，关闭后系统监测与告警功能完整。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1.3  系统总体方案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+--------------------------------------------+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|  ESP32-S3                  [唯一判决层]   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SHT30-&gt;|  1 Hz 安全任务: 物理有效性 + 硬限 + 告警阈值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|  中值滤波 -&gt; AdaptiveBaseline (学习正常范围)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|           -&gt; EdgeReasoner (阈值 + 趋势速率)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|  =&gt; EdgeAssessment {状态,严重度,置信度,原因}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+---+-------------+--------------+------------+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    |             |            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+------v-----+ +-----v------+ +-----v----------+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| 蜂鸣器+OLED| |   IoTDA    | | 本地服务      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| &lt;1s 无网络 | |   MQTTS    | | SQLite + IQR 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+------------+ +------------+ +----------------+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[告警出口]      [云端记录]     [记录/验证夹具]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判决与记录严格分离：蜂鸣器响起时，后两条通路尚未开始工作；两条通路任一失效或同时失效，均不影响已经发生的告警。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2  理论分析与计算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2.1  自适应基线的带宽计算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设第 k 个被接受样本为 x(k)，中心 μ 与平均偏差 σ 按指数移动平均递推：</w:t>
      </w:r>
    </w:p>
    <w:p>
      <w:pPr>
        <w:spacing w:after="60" w:before="60" w:line="440" w:lineRule="exact"/>
        <w:jc w:val="center"/>
      </w:pPr>
      <m:oMath>
        <m:sSub>
          <m:sSubPr/>
          <m:e>
            <m:r>
              <m:t>μ</m:t>
            </m:r>
          </m:e>
          <m:sub>
            <m:r>
              <m:t>k</m:t>
            </m:r>
          </m:sub>
        </m:sSub>
        <m:r>
          <m:t> = </m:t>
        </m:r>
        <m:sSub>
          <m:sSubPr/>
          <m:e>
            <m:r>
              <m:t>μ</m:t>
            </m:r>
          </m:e>
          <m:sub>
            <m:r>
              <m:t>k−1</m:t>
            </m:r>
          </m:sub>
        </m:sSub>
        <m:r>
          <m:t> + α(</m:t>
        </m:r>
        <m:sSub>
          <m:sSubPr/>
          <m:e>
            <m:r>
              <m:t>x</m:t>
            </m:r>
          </m:e>
          <m:sub>
            <m:r>
              <m:t>k</m:t>
            </m:r>
          </m:sub>
        </m:sSub>
        <m:r>
          <m:t> − </m:t>
        </m:r>
        <m:sSub>
          <m:sSubPr/>
          <m:e>
            <m:r>
              <m:t>μ</m:t>
            </m:r>
          </m:e>
          <m:sub>
            <m:r>
              <m:t>k−1</m:t>
            </m:r>
          </m:sub>
        </m:sSub>
        <m:r>
          <m:t>)</m:t>
        </m:r>
      </m:oMath>
    </w:p>
    <w:p>
      <w:pPr>
        <w:spacing w:after="60" w:before="60" w:line="440" w:lineRule="exact"/>
        <w:jc w:val="center"/>
      </w:pPr>
      <m:oMath>
        <m:sSub>
          <m:sSubPr/>
          <m:e>
            <m:r>
              <m:t>σ</m:t>
            </m:r>
          </m:e>
          <m:sub>
            <m:r>
              <m:t>k</m:t>
            </m:r>
          </m:sub>
        </m:sSub>
        <m:r>
          <m:t> = </m:t>
        </m:r>
        <m:sSub>
          <m:sSubPr/>
          <m:e>
            <m:r>
              <m:t>σ</m:t>
            </m:r>
          </m:e>
          <m:sub>
            <m:r>
              <m:t>k−1</m:t>
            </m:r>
          </m:sub>
        </m:sSub>
        <m:r>
          <m:t> + β(|</m:t>
        </m:r>
        <m:sSub>
          <m:sSubPr/>
          <m:e>
            <m:r>
              <m:t>x</m:t>
            </m:r>
          </m:e>
          <m:sub>
            <m:r>
              <m:t>k</m:t>
            </m:r>
          </m:sub>
        </m:sSub>
        <m:r>
          <m:t> − </m:t>
        </m:r>
        <m:sSub>
          <m:sSubPr/>
          <m:e>
            <m:r>
              <m:t>μ</m:t>
            </m:r>
          </m:e>
          <m:sub>
            <m:r>
              <m:t>k−1</m:t>
            </m:r>
          </m:sub>
        </m:sSub>
        <m:r>
          <m:t>| − </m:t>
        </m:r>
        <m:sSub>
          <m:sSubPr/>
          <m:e>
            <m:r>
              <m:t>σ</m:t>
            </m:r>
          </m:e>
          <m:sub>
            <m:r>
              <m:t>k−1</m:t>
            </m:r>
          </m:sub>
        </m:sSub>
        <m:r>
          <m:t>)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取 α = 0.02、β = 0.05。学习率取小值使单个样本对中心的影响不超过 2%，正常昼夜漂移不会显著拖动基线。判定带为：</w:t>
      </w:r>
    </w:p>
    <w:p>
      <w:pPr>
        <w:spacing w:after="60" w:before="60" w:line="440" w:lineRule="exact"/>
        <w:jc w:val="center"/>
      </w:pPr>
      <m:oMath>
        <m:r>
          <m:t>[</m:t>
        </m:r>
        <m:sSub>
          <m:sSubPr/>
          <m:e>
            <m:r>
              <m:t>μ</m:t>
            </m:r>
          </m:e>
          <m:sub>
            <m:r>
              <m:t>k</m:t>
            </m:r>
          </m:sub>
        </m:sSub>
        <m:r>
          <m:t> − w, </m:t>
        </m:r>
        <m:sSub>
          <m:sSubPr/>
          <m:e>
            <m:r>
              <m:t>μ</m:t>
            </m:r>
          </m:e>
          <m:sub>
            <m:r>
              <m:t>k</m:t>
            </m:r>
          </m:sub>
        </m:sSub>
        <m:r>
          <m:t> + w],   w = clamp(3</m:t>
        </m:r>
        <m:sSub>
          <m:sSubPr/>
          <m:e>
            <m:r>
              <m:t>σ</m:t>
            </m:r>
          </m:e>
          <m:sub>
            <m:r>
              <m:t>k</m:t>
            </m:r>
          </m:sub>
        </m:sSub>
        <m:r>
          <m:t>, </m:t>
        </m:r>
        <m:sSub>
          <m:sSubPr/>
          <m:e>
            <m:r>
              <m:t>w</m:t>
            </m:r>
          </m:e>
          <m:sub>
            <m:r>
              <m:t>min</m:t>
            </m:r>
          </m:sub>
        </m:sSub>
        <m:r>
          <m:t>, </m:t>
        </m:r>
        <m:sSub>
          <m:sSubPr/>
          <m:e>
            <m:r>
              <m:t>w</m:t>
            </m:r>
          </m:e>
          <m:sub>
            <m:r>
              <m:t>max</m:t>
            </m:r>
          </m:sub>
        </m:sSub>
        <m:r>
          <m:t>)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温度取 w ∈ [1.5, 5.0] °C，湿度取 w ∈ [5, 15] %RH。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上界的必要性在于：无界的 3σ 在长期噪声下会持续扩张，最终接受任何输入。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2.2  有界性：学习不能放宽安全边界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设固定硬限为 [L, U]（温度 −10…45 °C，湿度 5…95 %RH），保护间隔 g（温度 0.5 °C，湿度 2 %RH）。实际判定带取：</w:t>
      </w:r>
    </w:p>
    <w:p>
      <w:pPr>
        <w:spacing w:after="60" w:before="60" w:line="440" w:lineRule="exact"/>
        <w:jc w:val="center"/>
      </w:pPr>
      <m:oMath>
        <m:r>
          <m:t>[max(μ − w, L + g),  min(μ + w, U − g)]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由该式直接得到：对任意学习历史，判定带上界恒有 μ + w ≤ U − g &lt; U。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即无论基线学到什么，都不可能把判定边界推到硬限之外。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更强的一条来自系统分层：告警阈值与硬限均为编译期常量，不参与任何学习过程，蜂鸣器由原始读数直接与其比较驱动。因此基线学习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只改变哪些读数被称为“模式偏移”，不改变哪些读数触发告警</w:t>
      </w:r>
      <w:r>
        <w:rPr>
          <w:rFonts w:ascii="Times New Roman" w:eastAsia="SimSun" w:hAnsi="Times New Roman"/>
          <w:sz w:val="24"/>
          <w:szCs w:val="24"/>
        </w:rPr>
        <w:t xml:space="preserve">。这使得允许基线移动这件事本身是安全的。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2.3  搬迁与异常的区分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带外样本不参与学习，可防止持续异常被同化为正常。但若仅有该规则，设备被迁至新环境后将出现：所有样本恒在带外，无学习，带永不移动，永久输出 BASELINE_SHIFT，且持久化路径因“无学习即无脏数据”而永不触发。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故引入判据：连续带外样本数 n ≥ N(r) 时判定为环境迁移，清零重新学习；任一带内样本使 n 归零。N(r) 不取常数，而由感知周期反推使其恒等于 1 小时（见 3.4 节），因此改变采样率不会改变“多久算持续偏离”这一语义。由 2.2 节结论，该机制不影响告警行为。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2.4  趋势速率判据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对 12 样本窗口首末样本，按分钟归一化：</w:t>
      </w:r>
    </w:p>
    <w:p>
      <w:pPr>
        <w:spacing w:after="60" w:before="60" w:line="440" w:lineRule="exact"/>
        <w:jc w:val="center"/>
      </w:pPr>
      <m:oMath>
        <m:r>
          <m:t>v = </m:t>
        </m:r>
        <m:f>
          <m:num>
            <m:r>
              <m:t>60(</m:t>
            </m:r>
            <m:sSub>
              <m:sSubPr/>
              <m:e>
                <m:r>
                  <m:t>x</m:t>
                </m:r>
              </m:e>
              <m:sub>
                <m:r>
                  <m:t>n−1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t>)</m:t>
            </m:r>
          </m:num>
          <m:den>
            <m:sSub>
              <m:sSubPr/>
              <m:e>
                <m:r>
                  <m:t>t</m:t>
                </m:r>
              </m:e>
              <m:sub>
                <m:r>
                  <m:t>n−1</m:t>
                </m:r>
              </m:sub>
            </m:sSub>
            <m:r>
              <m:t> − </m:t>
            </m:r>
            <m:sSub>
              <m:sSubPr/>
              <m:e>
                <m:r>
                  <m:t>t</m:t>
                </m:r>
              </m:e>
              <m:sub>
                <m:r>
                  <m:t>0</m:t>
                </m:r>
              </m:sub>
            </m:sSub>
          </m:den>
        </m:f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取 v ≥ 1.2 °C/min 且净升 ≥ 0.8 °C 判为温度快升。按速率而非绝对变化量判定的原因是：8 °C 的变化在 1 小时内属常态，在 8 秒内对室内空气不具物理合理性，二者仅由速率区分。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2.5  告警时延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告警判据在 1 Hz 安全任务内求值，该任务在网络初始化之前创建，最坏时延为：</w:t>
      </w:r>
    </w:p>
    <w:p>
      <w:pPr>
        <w:spacing w:after="60" w:before="60" w:line="440" w:lineRule="exact"/>
        <w:jc w:val="center"/>
      </w:pPr>
      <m:oMath>
        <m:sSub>
          <m:sSubPr/>
          <m:e>
            <m:r>
              <m:t>t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T</m:t>
            </m:r>
          </m:e>
          <m:sub>
            <m:r>
              <m:t>sample</m:t>
            </m:r>
          </m:sub>
        </m:sSub>
        <m:r>
          <m:t> + </m:t>
        </m:r>
        <m:sSub>
          <m:sSubPr/>
          <m:e>
            <m:r>
              <m:t>t</m:t>
            </m:r>
          </m:e>
          <m:sub>
            <m:r>
              <m:t>GPIO</m:t>
            </m:r>
          </m:sub>
        </m:sSub>
        <m:r>
          <m:t> ≈ 1 s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若将求值置于主循环，则须等待 setup() 中 Wi-Fi（超时 20 s）、NTP、MQTT 全部完成，最坏时延超过 30 s。二者差异已实测验证（4.3 节）。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3  电路与程序设计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3.1  硬件电路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358"/>
        <w:gridCol w:w="2540"/>
        <w:gridCol w:w="1451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器件</w:t>
            </w:r>
          </w:p>
        </w:tc>
        <w:tc>
          <w:tcPr>
            <w:tcW w:type="dxa" w:w="235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接口</w:t>
            </w:r>
          </w:p>
        </w:tc>
        <w:tc>
          <w:tcPr>
            <w:tcW w:type="dxa" w:w="254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引脚</w:t>
            </w:r>
          </w:p>
        </w:tc>
        <w:tc>
          <w:tcPr>
            <w:tcW w:type="dxa" w:w="145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地址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SHT30 温湿度传感器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I²C 总线 0（Wire）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SDA 17 / SCL 18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0x44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OLED 128×64（SSD1315）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I²C 总线 1（Wire1）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SDA 38 / SCL 39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0x3C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蜂鸣器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 4，低电平有效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翻页按键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 0（板载 BOOT）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—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两器件置于独立 I²C 总线</w:t>
      </w:r>
      <w:r>
        <w:rPr>
          <w:rFonts w:ascii="Times New Roman" w:eastAsia="SimSun" w:hAnsi="Times New Roman"/>
          <w:sz w:val="24"/>
          <w:szCs w:val="24"/>
        </w:rPr>
        <w:t xml:space="preserve">，而非共用一条。原因是显示器件在异常状态下可能长时间占用总线，若与传感器共用，将阻塞 1 Hz 安全采样。该分离使显示故障不能影响告警链路。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蜂鸣器由编译期开关控制，关闭时引脚置为高阻输入，任何远程命令都无法使其带电，以避免未经验证的电路被误驱动。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3.2  软件流程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setup():  蜂鸣器静音 -&gt; OLED 清屏 + 自检 -&gt; 串口 -&gt; 基线载入(NVS)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  -&gt; 创建 1 Hz 安全任务 (先于 Wi-Fi) -&gt; Wi-Fi/NTP/MQTTS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安全任务 (1 Hz, 独立于网络):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读 SHT30 -&gt; 物理有效性 -&gt; 硬限 -&gt; 告警阈值 -&gt; 蜂鸣器/OLED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主循环 (2 s):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取安全快照(超时 1.5 s 拒绝上报) -&gt; 中值滤波 -&gt; 基线 -&gt; 叠加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-&gt; OLED 刷新 -&gt; HTTP 上报 -&gt; 命令轮询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每 10 s 向 EdgeReasoner 输入样本；每 60 s 发一次 MQTTS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3.3  状态判据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EdgeReasoner 按顺序求值，首个命中者生效，完整判据见附录 A。依次为：读数不可信（UNSTABLE）、高温高湿并发、温度快升、湿度快升、温度偏高、湿度偏高，均不满足则为 NORMAL；样本不足 4 个时报 WARMUP。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UNSTABLE 置于首位是有意的：若信号本身不可信，由其导出的任何结论同样不可信，此时系统应当声明“读数不可信”，而非给出一个由噪声算出的确定结论。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自适应层叠加两个状态：HARD_LIMIT（覆盖一切）与 BASELINE_SHIFT（仅在固定层判为 NORMAL 时生效）。真实越限不会被降级为“模式偏移”。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3.4  采样与上报周期的分离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系统内共有四个速率，各自由其物理或经济约束决定，不合并为一个参数：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907"/>
        <w:gridCol w:w="2721"/>
        <w:gridCol w:w="3084"/>
      </w:tblGrid>
      <w:tr>
        <w:trPr>
          <w:tblHeader/>
        </w:trPr>
        <w:tc>
          <w:tcPr>
            <w:tcW w:type="dxa" w:w="235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周期</w:t>
            </w:r>
          </w:p>
        </w:tc>
        <w:tc>
          <w:tcPr>
            <w:tcW w:type="dxa" w:w="90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取值</w:t>
            </w:r>
          </w:p>
        </w:tc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驱动</w:t>
            </w:r>
          </w:p>
        </w:tc>
        <w:tc>
          <w:tcPr>
            <w:tcW w:type="dxa" w:w="308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约束来源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安全采样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硬限与告警阈值判定，驱动蜂鸣器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告警时延要求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SENSE_INTERVAL_MS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2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OLED 刷新、本地服务上报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SHT30 响应 τ63≈2 s，更快无新信息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EDGE_SAMPLE_INTERVAL_MS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10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向 EdgeReasoner 输入样本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12 样本 × 10 s = 2 min 趋势窗口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CLOUD_INTERVAL_MS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60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IoTDA 属性上报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云平台消息配额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合并为单一参数将迫使这些约束相互妥协。以感知与上报为例：缩短单一参数可提升显示响应，但云端消息量同比上升。分离后每日上报 1 440 条，占免费额度（10 000 条/日）的 14%，同一额度可支撑约 6 台设备；若取 10 s，单台即占用 86%，第二台设备便会超限。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推理输入之所以另设一档，是因为 EdgeReasoner 的窗口按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样本数</w:t>
      </w:r>
      <w:r>
        <w:rPr>
          <w:rFonts w:ascii="Times New Roman" w:eastAsia="SimSun" w:hAnsi="Times New Roman"/>
          <w:sz w:val="24"/>
          <w:szCs w:val="24"/>
        </w:rPr>
        <w:t xml:space="preserve">固定为 12，而其阈值是按 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2 分钟</w:t>
      </w:r>
      <w:r>
        <w:rPr>
          <w:rFonts w:ascii="Times New Roman" w:eastAsia="SimSun" w:hAnsi="Times New Roman"/>
          <w:sz w:val="24"/>
          <w:szCs w:val="24"/>
        </w:rPr>
        <w:t xml:space="preserve">窗口整定的。若直接按感知周期输入，把感知周期由 10 s 缩至 2 s 即等于把窗口缩至 24 s：阈值未变而含义已变——净升条件将取代速率条件成为实际门槛，判定“快速上升”所需的斜率反而由 1.2 °C/min 抬高至约 2 °C/min。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同理，基线的预热样本数与重学判据在实现上按样本计数，其语义却是时长，二者均由感知周期反推得出（预热 4 min、重学 1 h），从而在感知周期改变时保持不变。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3.5  云端接口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设备按 IoTDA 官方主题与 JSON 结构上报，单条消息含两个 service：Environment 承载 temperature 与 humidity，EdgeReasoning 承载 state、severity、confidence 与 reason_code。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EdgeReasoning 即设备自身的判决结论。云端与本地服务均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原样存储与展示，不重新计算</w:t>
      </w:r>
      <w:r>
        <w:rPr>
          <w:rFonts w:ascii="Times New Roman" w:eastAsia="SimSun" w:hAnsi="Times New Roman"/>
          <w:sz w:val="24"/>
          <w:szCs w:val="24"/>
        </w:rPr>
        <w:t xml:space="preserve">——设备掌握云端不具备的传感历史与学习基线，若云端独立判决并与之不一致，将导致现场显示与远程显示相互矛盾。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4  测试方案与测试结果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4.1  测试条件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室温 24–27 °C，相对湿度 43–48 %RH；告警阈值 30 °C / 70 %RH；感知周期 2 s，云端上报周期 60 s。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激励方式：手掌包覆传感器。需说明的是，掌面接近饱和湿度，包覆后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湿度先于温度越限</w:t>
      </w:r>
      <w:r>
        <w:rPr>
          <w:rFonts w:ascii="Times New Roman" w:eastAsia="SimSun" w:hAnsi="Times New Roman"/>
          <w:sz w:val="24"/>
          <w:szCs w:val="24"/>
        </w:rPr>
        <w:t xml:space="preserve">——SHT30 湿度响应 τ63 ≈ 8 s，温度 τ63 ≈ 2 s，但掌内空气湿度在数秒内即达 80 %RH 以上，而热量需经外壳传导。故常温下该激励触发的是湿度告警。若需触发温度告警，改用热源置于传感器 1–2 cm 外（给热不给水汽）。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4.2  单元测试（主机）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自适应基线逻辑不含 Arduino 依赖，可在主机直接编译运行。七项断言全部通过：学习与带宽上下界、首样本异常不污染基线、持久化往返与写入节流、复位后强制持久化、窄配置与 millis 回绕、持续偏离触发重学而短暂偏离不触发、重学后硬限仍然有效。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后端 HTTP 接口另有冒烟测试，覆盖设备白名单、量程校验、判决结论往返存取、命令鉴权与参数区间、叙述触发条件，全部通过。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4.3  系统联试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告警功能与网络无关性。</w:t>
      </w:r>
      <w:r>
        <w:rPr>
          <w:rFonts w:ascii="Times New Roman" w:eastAsia="SimSun" w:hAnsi="Times New Roman"/>
          <w:sz w:val="24"/>
          <w:szCs w:val="24"/>
        </w:rPr>
        <w:t xml:space="preserve"> 关闭 Wi-Fi 后施加激励，蜂鸣器与 OLED 行为与联网时无差异。为在室温下复现“冷启动即越限”这一最不利工况，将告警阈值临时下调至 20 °C（低于当时室温 24.2 °C）后复位设备，串口输出为：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[SAFETY] Dedicated 1 Hz task started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[WiFi] Connecting to ...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[ALARM] buzzer on, OLED: ALARM  TEMP 24.2C LIMIT 20.0C   &lt;- 网络尚未连通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[WiFi] Connected!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告警发生在 Wi-Fi 连接完成之前。作为对照，将同一判据置于主循环的版本中，该行出现在 [MQTT] Connected 之后，即需额外等待 Wi-Fi、NTP、MQTT 三段连接。验证后阈值已复原为 30 °C。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云端上报。</w:t>
      </w:r>
      <w:r>
        <w:rPr>
          <w:rFonts w:ascii="Times New Roman" w:eastAsia="SimSun" w:hAnsi="Times New Roman"/>
          <w:sz w:val="24"/>
          <w:szCs w:val="24"/>
        </w:rPr>
        <w:t xml:space="preserve"> 设备经 MQTTS(8883) 接入 IoTDA，控制台可见两个 service 的属性数据，串口对应输出 [IoTDA] Combined publish OK。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存储行为。</w:t>
      </w:r>
      <w:r>
        <w:rPr>
          <w:rFonts w:ascii="Times New Roman" w:eastAsia="SimSun" w:hAnsi="Times New Roman"/>
          <w:sz w:val="24"/>
          <w:szCs w:val="24"/>
        </w:rPr>
        <w:t xml:space="preserve"> 设备每个感知周期上报一次判决，而 edge_assessments 表仅记录状态变迁：实测 8 次上报产生 3 行记录，每行时间戳即该状态的起始时刻。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降级行为。</w:t>
      </w:r>
      <w:r>
        <w:rPr>
          <w:rFonts w:ascii="Times New Roman" w:eastAsia="SimSun" w:hAnsi="Times New Roman"/>
          <w:sz w:val="24"/>
          <w:szCs w:val="24"/>
        </w:rPr>
        <w:t xml:space="preserve"> 本地服务不可达时按指数退避重试（10 s 起，倍增至 5 min 封顶），推理、告警与云端上报均不受影响，且不在 OLED 上呈现——本地服务是验证夹具而非数据链路的一环，把它的缺席显示为设备状态会错误传达故障位置。传感器读数无效或快照超过 1.5 s 时阻断上报，而非发送陈旧值。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4.4  资源占用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构建工具链接后直接给出（数值可由 pio run 复现）：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3809"/>
        <w:gridCol w:w="1361"/>
        <w:gridCol w:w="1361"/>
        <w:gridCol w:w="1088"/>
      </w:tblGrid>
      <w:tr>
        <w:trPr>
          <w:tblHeader/>
        </w:trPr>
        <w:tc>
          <w:tcPr>
            <w:tcW w:type="dxa" w:w="145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项目</w:t>
            </w:r>
          </w:p>
        </w:tc>
        <w:tc>
          <w:tcPr>
            <w:tcW w:type="dxa" w:w="3809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主要构成</w:t>
            </w:r>
          </w:p>
        </w:tc>
        <w:tc>
          <w:tcPr>
            <w:tcW w:type="dxa" w:w="13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占用</w:t>
            </w:r>
          </w:p>
        </w:tc>
        <w:tc>
          <w:tcPr>
            <w:tcW w:type="dxa" w:w="13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容量</w:t>
            </w:r>
          </w:p>
        </w:tc>
        <w:tc>
          <w:tcPr>
            <w:tcW w:type="dxa" w:w="108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比例</w:t>
            </w:r>
          </w:p>
        </w:tc>
      </w:tr>
      <w:tr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RAM（静态）</w:t>
            </w:r>
          </w:p>
        </w:tc>
        <w:tc>
          <w:tcPr>
            <w:tcW w:type="dxa" w:w="38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.dram0.data + .dram0.bss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47 372 B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327 680 B</w:t>
            </w:r>
          </w:p>
        </w:tc>
        <w:tc>
          <w:tcPr>
            <w:tcW w:type="dxa" w:w="10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14.5 %</w:t>
            </w:r>
          </w:p>
        </w:tc>
      </w:tr>
      <w:tr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Flash</w:t>
            </w:r>
          </w:p>
        </w:tc>
        <w:tc>
          <w:tcPr>
            <w:tcW w:type="dxa" w:w="38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.flash.text + .flash.rodata + .iram0.text + .dram0.data + 向量表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963 673 B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6 553 600 B</w:t>
            </w:r>
          </w:p>
        </w:tc>
        <w:tc>
          <w:tcPr>
            <w:tcW w:type="dxa" w:w="10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14.7 %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两点须说明：RAM 一列为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链接期静态分配</w:t>
      </w:r>
      <w:r>
        <w:rPr>
          <w:rFonts w:ascii="Times New Roman" w:eastAsia="SimSun" w:hAnsi="Times New Roman"/>
          <w:sz w:val="24"/>
          <w:szCs w:val="24"/>
        </w:rPr>
        <w:t xml:space="preserve">，不含运行时堆与任务栈（安全任务栈另计 4 KB）；Flash 分母为分区表 default_16MB.csv 中 app0 分区容量 0x640000 = 6.25 MB，而非 16 MB 整片。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推理本身的增量开销可单独估计：12 样本环形缓冲共 12 × (2 × float + uint32) = 144 B，自适应基线状态 6 个 float 加计数器不足 40 B，合计不到 0.2 KB，其余占用来自 Wi-Fi/TLS/MQTT 协议栈。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单设备每日产生 43 200 次本地判决（2 s 周期），全部在设备上完成，无计费开销；上行云端消息 1 440 条，占免费额度 14%。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5  结果分析与结论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实测表明，将判决下沉至 MCU 的方案达到了设计目标。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告警可用性与网络解耦</w:t>
      </w:r>
      <w:r>
        <w:rPr>
          <w:rFonts w:ascii="Times New Roman" w:eastAsia="SimSun" w:hAnsi="Times New Roman"/>
          <w:sz w:val="24"/>
          <w:szCs w:val="24"/>
        </w:rPr>
        <w:t xml:space="preserve">：断网、云端不可达、冷启动进入异常环境三种条件下，告警时延与联网时一致（≤ 1 s）；这一性质来自架构而非补救，判决路径中不存在网络调用。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适应性与安全性可以共存</w:t>
      </w:r>
      <w:r>
        <w:rPr>
          <w:rFonts w:ascii="Times New Roman" w:eastAsia="SimSun" w:hAnsi="Times New Roman"/>
          <w:sz w:val="24"/>
          <w:szCs w:val="24"/>
        </w:rPr>
        <w:t xml:space="preserve">：自适应带被钳制在固定硬限内侧，且告警阈值不参与学习，因此允许基线随环境移动不会削弱任何安全保证——会自适应的部分与提供保证的部分被显式分开，且前者被后者约束。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开销可忽略</w:t>
      </w:r>
      <w:r>
        <w:rPr>
          <w:rFonts w:ascii="Times New Roman" w:eastAsia="SimSun" w:hAnsi="Times New Roman"/>
          <w:sz w:val="24"/>
          <w:szCs w:val="24"/>
        </w:rPr>
        <w:t xml:space="preserve">：RAM 与 Flash 占用均低于 15%，其中推理本身不足 0.2 KB。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尚未完成的部分如实列出：经 IoTDA 应用侧接口下发命令尚未实现（当前命令由本地服务队列下发，设备侧接收与回执已实现并验证）；可视化仅有本地网页，尚未部署至云端；设备侧 Wi-Fi、MQTT、NTP 状态仅在 OLED 显示，未纳入上报报文；系统按单设备设计，数据模型虽以设备号为键，但无分组与告警分级策略。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后续工作方向：将 IoTDA 转发接入云端看板以摆脱同网段依赖；补齐应用侧命令下发；扩展多设备管理与告警分级；将开发板与模块整合为单块印制板，以消除接线引入的故障点。</w:t>
      </w:r>
    </w:p>
    <w:p>
      <w:r>
        <w:br w:type="page"/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附录 A  判据与主要参数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EdgeReasoner 状态判据（按顺序求值，首个命中生效）：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1270"/>
        <w:gridCol w:w="5079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状态</w:t>
            </w:r>
          </w:p>
        </w:tc>
        <w:tc>
          <w:tcPr>
            <w:tcW w:type="dxa" w:w="127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严重度</w:t>
            </w:r>
          </w:p>
        </w:tc>
        <w:tc>
          <w:tcPr>
            <w:tcW w:type="dxa" w:w="5079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条件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WARMUP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info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样本 &lt; 4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UNSTABLE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窗口极差 ≥ 4 °C 或 ≥ 15 %RH，或相邻步进 ≥ 2.5 °C 或 ≥ 10 %RH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HEAT_HUMID_RISK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30 °C 且 ≥ 70 %RH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TEMP_RISING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1.2 °C/min 且净升 ≥ 0.8 °C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HUMIDITY_RISING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4 %RH/min 且净升 ≥ 3 %RH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HIGH_TEMPERATURE / HIGH_HUMIDITY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watch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30 °C / ≥ 70 %RH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NORMAL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info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以上均不满足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主要参数：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902"/>
        <w:gridCol w:w="3447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参数</w:t>
            </w:r>
          </w:p>
        </w:tc>
        <w:tc>
          <w:tcPr>
            <w:tcW w:type="dxa" w:w="290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取值</w:t>
            </w:r>
          </w:p>
        </w:tc>
        <w:tc>
          <w:tcPr>
            <w:tcW w:type="dxa" w:w="344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位置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安全采样 / 感知 / 推理输入 / 云端上报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 s / 2 s / 10 s / 60 s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SENSE_ 与 CLOUD_INTERVAL_MS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快照最大陈旧时间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1.5 s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SAFETY_SAMPLE_MAX_AGE_MS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推理窗口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12 样本（跨 2 min）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WINDOW_SIZE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基线预热 / 重学判据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4 min / 连续带外 1 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按感知周期折算样本数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学习率（中心 / 偏差）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0.02 / 0.05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centerLearningRate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告警阈值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30 °C / 70 %RH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ALARM_TEMP_C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固定硬限 / 保护间隔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−10…45 °C、5…95 %RH / 0.5 °C、2 %RH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hardTempLowerC 等</w:t>
            </w:r>
          </w:p>
        </w:tc>
      </w:tr>
    </w:tbl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附录 B  参考文献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[1] 华为云 IoTDA 设备属性上报接口文档.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[2] Sensirion. SHT3x-DIS Datasheet.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[3] Solomon Systech. SSD1315 Datasheet.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[4] Espressif. ESP32-S3 Technical Reference Manual.</w:t>
      </w:r>
    </w:p>
    <w:sectPr>
      <w:footerReference w:type="default" r:id="rId7"/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eastAsia="SimSun" w:hAnsi="Times New Roman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2026-09-02T19:24:20.764Z</dcterms:created>
  <dcterms:modified xsi:type="dcterms:W3CDTF">2026-09-02T19:24:20.765Z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