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E8A89" w14:textId="2A3F3B29" w:rsidR="008F7488" w:rsidRDefault="00000000" w:rsidP="003C51D4">
      <w:pPr>
        <w:spacing w:line="480" w:lineRule="auto"/>
        <w:ind w:firstLine="420"/>
      </w:pPr>
      <w:r>
        <w:rPr>
          <w:rFonts w:ascii="Times New Roman" w:eastAsia="楷体" w:hAnsi="Times New Roman" w:cs="Times New Roman"/>
          <w:color w:val="000000"/>
          <w:sz w:val="24"/>
          <w:lang w:bidi="ar"/>
        </w:rPr>
        <w:t>Herbal</w:t>
      </w:r>
      <w:r w:rsidR="00807C64">
        <w:rPr>
          <w:rFonts w:ascii="Times New Roman" w:eastAsia="楷体" w:hAnsi="Times New Roman" w:cs="Times New Roman" w:hint="eastAsia"/>
          <w:color w:val="000000"/>
          <w:sz w:val="24"/>
          <w:lang w:bidi="ar"/>
        </w:rPr>
        <w:t>C</w:t>
      </w:r>
      <w:r>
        <w:rPr>
          <w:rFonts w:ascii="Times New Roman" w:eastAsia="楷体" w:hAnsi="Times New Roman" w:cs="Times New Roman"/>
          <w:color w:val="000000"/>
          <w:sz w:val="24"/>
          <w:lang w:bidi="ar"/>
        </w:rPr>
        <w:t xml:space="preserve">DB integrates </w:t>
      </w:r>
      <w:r w:rsidR="00807C64">
        <w:rPr>
          <w:rFonts w:ascii="Times New Roman" w:eastAsia="楷体" w:hAnsi="Times New Roman" w:cs="Times New Roman" w:hint="eastAsia"/>
          <w:color w:val="000000"/>
          <w:sz w:val="24"/>
          <w:lang w:bidi="ar"/>
        </w:rPr>
        <w:t>carbohydrate</w:t>
      </w:r>
      <w:r>
        <w:rPr>
          <w:rFonts w:ascii="Times New Roman" w:eastAsia="楷体" w:hAnsi="Times New Roman" w:cs="Times New Roman"/>
          <w:color w:val="000000"/>
          <w:sz w:val="24"/>
          <w:lang w:bidi="ar"/>
        </w:rPr>
        <w:t xml:space="preserve"> information from</w:t>
      </w:r>
      <w:r w:rsidR="00807C64">
        <w:rPr>
          <w:rFonts w:ascii="Times New Roman" w:eastAsia="楷体" w:hAnsi="Times New Roman" w:cs="Times New Roman" w:hint="eastAsia"/>
          <w:color w:val="000000"/>
          <w:sz w:val="24"/>
          <w:lang w:bidi="ar"/>
        </w:rPr>
        <w:t xml:space="preserve"> GlyTouCan</w:t>
      </w:r>
      <w:r w:rsidR="00DE7165">
        <w:rPr>
          <w:rFonts w:ascii="Times New Roman" w:eastAsia="楷体" w:hAnsi="Times New Roman" w:cs="Times New Roman" w:hint="eastAsia"/>
          <w:color w:val="000000"/>
          <w:sz w:val="24"/>
          <w:lang w:bidi="ar"/>
        </w:rPr>
        <w:t xml:space="preserve"> </w:t>
      </w:r>
      <w:r w:rsidR="008F7488">
        <w:rPr>
          <w:rFonts w:ascii="Times New Roman" w:eastAsia="楷体" w:hAnsi="Times New Roman" w:cs="Times New Roman"/>
          <w:color w:val="000000"/>
          <w:sz w:val="24"/>
          <w:lang w:bidi="ar"/>
        </w:rPr>
        <w:fldChar w:fldCharType="begin"/>
      </w:r>
      <w:r w:rsidR="008F7488">
        <w:rPr>
          <w:rFonts w:ascii="Times New Roman" w:eastAsia="楷体" w:hAnsi="Times New Roman" w:cs="Times New Roman"/>
          <w:color w:val="000000"/>
          <w:sz w:val="24"/>
          <w:lang w:bidi="ar"/>
        </w:rPr>
        <w:instrText xml:space="preserve"> ADDIN EN.CITE &lt;EndNote&gt;&lt;Cite&gt;&lt;Author&gt;Aoki-Kinoshita&lt;/Author&gt;&lt;Year&gt;2016&lt;/Year&gt;&lt;RecNum&gt;552&lt;/RecNum&gt;&lt;DisplayText&gt;&lt;style face="superscript"&gt;1&lt;/style&gt;&lt;/DisplayText&gt;&lt;record&gt;&lt;rec-number&gt;552&lt;/rec-number&gt;&lt;foreign-keys&gt;&lt;key app="EN" db-id="vdzzx9wws9rf0mevv0zxwxvzrpaed5zwadx5" timestamp="1743422796"&gt;552&lt;/key&gt;&lt;key app="ENWeb" db-id=""&gt;0&lt;/key&gt;&lt;/foreign-keys&gt;&lt;ref-type name="Journal Article"&gt;17&lt;/ref-type&gt;&lt;contributors&gt;&lt;authors&gt;&lt;author&gt;Aoki-Kinoshita, Kiyoko&lt;/author&gt;&lt;author&gt;Agravat, Sanjay&lt;/author&gt;&lt;author&gt;Aoki, Nobuyuki P.&lt;/author&gt;&lt;author&gt;Arpinar, Sena&lt;/author&gt;&lt;author&gt;Cummings, Richard D.&lt;/author&gt;&lt;author&gt;Fujita, Akihiro&lt;/author&gt;&lt;author&gt;Fujita, Noriaki&lt;/author&gt;&lt;author&gt;Hart, Gerald M.&lt;/author&gt;&lt;author&gt;Haslam, Stuart M.&lt;/author&gt;&lt;author&gt;Kawasaki, Toshisuke&lt;/author&gt;&lt;author&gt;Matsubara, Masaaki&lt;/author&gt;&lt;author&gt;Moreman, Kelley W.&lt;/author&gt;&lt;author&gt;Okuda, Shujiro&lt;/author&gt;&lt;author&gt;Pierce, Michael&lt;/author&gt;&lt;author&gt;Ranzinger, René&lt;/author&gt;&lt;author&gt;Shikanai, Toshihide&lt;/author&gt;&lt;author&gt;Shinmachi, Daisuke&lt;/author&gt;&lt;author&gt;Solovieva, Elena&lt;/author&gt;&lt;author&gt;Suzuki, Yoshinori&lt;/author&gt;&lt;author&gt;Tsuchiya, Shinichiro&lt;/author&gt;&lt;author&gt;Yamada, Issaku&lt;/author&gt;&lt;author&gt;York, William S.&lt;/author&gt;&lt;author&gt;Zaia, Joseph&lt;/author&gt;&lt;author&gt;Narimatsu, Hisashi&lt;/author&gt;&lt;/authors&gt;&lt;/contributors&gt;&lt;titles&gt;&lt;title&gt;GlyTouCan 1.0 – The international glycan structure repository&lt;/title&gt;&lt;secondary-title&gt;Nucleic Acids Research&lt;/secondary-title&gt;&lt;/titles&gt;&lt;periodical&gt;&lt;full-title&gt;Nucleic Acids Res&lt;/full-title&gt;&lt;abbr-1&gt;Nucleic acids research&lt;/abbr-1&gt;&lt;/periodical&gt;&lt;pages&gt;D1237-D1242&lt;/pages&gt;&lt;volume&gt;44&lt;/volume&gt;&lt;number&gt;D1&lt;/number&gt;&lt;section&gt;D1237&lt;/section&gt;&lt;dates&gt;&lt;year&gt;2016&lt;/year&gt;&lt;/dates&gt;&lt;isbn&gt;0305-1048&amp;#xD;1362-4962&lt;/isbn&gt;&lt;urls&gt;&lt;/urls&gt;&lt;electronic-resource-num&gt;10.1093/nar/gkv1041&lt;/electronic-resource-num&gt;&lt;/record&gt;&lt;/Cite&gt;&lt;/EndNote&gt;</w:instrText>
      </w:r>
      <w:r w:rsidR="008F7488">
        <w:rPr>
          <w:rFonts w:ascii="Times New Roman" w:eastAsia="楷体" w:hAnsi="Times New Roman" w:cs="Times New Roman"/>
          <w:color w:val="000000"/>
          <w:sz w:val="24"/>
          <w:lang w:bidi="ar"/>
        </w:rPr>
        <w:fldChar w:fldCharType="separate"/>
      </w:r>
      <w:r w:rsidR="008F7488" w:rsidRPr="008F7488">
        <w:rPr>
          <w:rFonts w:ascii="Times New Roman" w:eastAsia="楷体" w:hAnsi="Times New Roman" w:cs="Times New Roman"/>
          <w:noProof/>
          <w:color w:val="000000"/>
          <w:sz w:val="24"/>
          <w:vertAlign w:val="superscript"/>
          <w:lang w:bidi="ar"/>
        </w:rPr>
        <w:t>1</w:t>
      </w:r>
      <w:r w:rsidR="008F7488">
        <w:rPr>
          <w:rFonts w:ascii="Times New Roman" w:eastAsia="楷体" w:hAnsi="Times New Roman" w:cs="Times New Roman"/>
          <w:color w:val="000000"/>
          <w:sz w:val="24"/>
          <w:lang w:bidi="ar"/>
        </w:rPr>
        <w:fldChar w:fldCharType="end"/>
      </w:r>
      <w:r w:rsidR="00DE7165">
        <w:rPr>
          <w:rFonts w:ascii="Times New Roman" w:eastAsia="楷体" w:hAnsi="Times New Roman" w:cs="Times New Roman" w:hint="eastAsia"/>
          <w:color w:val="000000"/>
          <w:sz w:val="24"/>
          <w:lang w:bidi="ar"/>
        </w:rPr>
        <w:t>and CSD</w:t>
      </w:r>
      <w:r w:rsidR="008F7488">
        <w:rPr>
          <w:rFonts w:ascii="Times New Roman" w:eastAsia="楷体" w:hAnsi="Times New Roman" w:cs="Times New Roman"/>
          <w:color w:val="000000"/>
          <w:sz w:val="24"/>
          <w:lang w:bidi="ar"/>
        </w:rPr>
        <w:fldChar w:fldCharType="begin"/>
      </w:r>
      <w:r w:rsidR="008F7488">
        <w:rPr>
          <w:rFonts w:ascii="Times New Roman" w:eastAsia="楷体" w:hAnsi="Times New Roman" w:cs="Times New Roman"/>
          <w:color w:val="000000"/>
          <w:sz w:val="24"/>
          <w:lang w:bidi="ar"/>
        </w:rPr>
        <w:instrText xml:space="preserve"> ADDIN EN.CITE &lt;EndNote&gt;&lt;Cite&gt;&lt;Author&gt;Toukach&lt;/Author&gt;&lt;Year&gt;2016&lt;/Year&gt;&lt;RecNum&gt;554&lt;/RecNum&gt;&lt;DisplayText&gt;&lt;style face="superscript"&gt;2&lt;/style&gt;&lt;/DisplayText&gt;&lt;record&gt;&lt;rec-number&gt;554&lt;/rec-number&gt;&lt;foreign-keys&gt;&lt;key app="EN" db-id="vdzzx9wws9rf0mevv0zxwxvzrpaed5zwadx5" timestamp="1743431650"&gt;554&lt;/key&gt;&lt;key app="ENWeb" db-id=""&gt;0&lt;/key&gt;&lt;/foreign-keys&gt;&lt;ref-type name="Journal Article"&gt;17&lt;/ref-type&gt;&lt;contributors&gt;&lt;authors&gt;&lt;author&gt;Toukach, Philip V.&lt;/author&gt;&lt;author&gt;Egorova, Ksenia S.&lt;/author&gt;&lt;/authors&gt;&lt;/contributors&gt;&lt;titles&gt;&lt;title&gt;Carbohydrate structure database merged from bacterial, archaeal, plant and fungal parts&lt;/title&gt;&lt;secondary-title&gt;Nucleic Acids Research&lt;/secondary-title&gt;&lt;/titles&gt;&lt;periodical&gt;&lt;full-title&gt;Nucleic Acids Res&lt;/full-title&gt;&lt;abbr-1&gt;Nucleic acids research&lt;/abbr-1&gt;&lt;/periodical&gt;&lt;pages&gt;D1229-D1236&lt;/pages&gt;&lt;volume&gt;44&lt;/volume&gt;&lt;number&gt;D1&lt;/number&gt;&lt;section&gt;D1229&lt;/section&gt;&lt;dates&gt;&lt;year&gt;2016&lt;/year&gt;&lt;/dates&gt;&lt;isbn&gt;0305-1048&amp;#xD;1362-4962&lt;/isbn&gt;&lt;urls&gt;&lt;/urls&gt;&lt;electronic-resource-num&gt;10.1093/nar/gkv840&lt;/electronic-resource-num&gt;&lt;/record&gt;&lt;/Cite&gt;&lt;/EndNote&gt;</w:instrText>
      </w:r>
      <w:r w:rsidR="008F7488">
        <w:rPr>
          <w:rFonts w:ascii="Times New Roman" w:eastAsia="楷体" w:hAnsi="Times New Roman" w:cs="Times New Roman"/>
          <w:color w:val="000000"/>
          <w:sz w:val="24"/>
          <w:lang w:bidi="ar"/>
        </w:rPr>
        <w:fldChar w:fldCharType="separate"/>
      </w:r>
      <w:r w:rsidR="008F7488" w:rsidRPr="008F7488">
        <w:rPr>
          <w:rFonts w:ascii="Times New Roman" w:eastAsia="楷体" w:hAnsi="Times New Roman" w:cs="Times New Roman"/>
          <w:noProof/>
          <w:color w:val="000000"/>
          <w:sz w:val="24"/>
          <w:vertAlign w:val="superscript"/>
          <w:lang w:bidi="ar"/>
        </w:rPr>
        <w:t>2</w:t>
      </w:r>
      <w:r w:rsidR="008F7488">
        <w:rPr>
          <w:rFonts w:ascii="Times New Roman" w:eastAsia="楷体" w:hAnsi="Times New Roman" w:cs="Times New Roman"/>
          <w:color w:val="000000"/>
          <w:sz w:val="24"/>
          <w:lang w:bidi="ar"/>
        </w:rPr>
        <w:fldChar w:fldCharType="end"/>
      </w:r>
      <w:r>
        <w:rPr>
          <w:rFonts w:ascii="Times New Roman" w:eastAsia="楷体" w:hAnsi="Times New Roman" w:cs="Times New Roman"/>
          <w:color w:val="000000"/>
          <w:sz w:val="24"/>
          <w:lang w:bidi="ar"/>
        </w:rPr>
        <w:t xml:space="preserve">, along with eight global pharmacopoeias. This information encompasses basic data such as the </w:t>
      </w:r>
      <w:r w:rsidR="00DE7165" w:rsidRPr="00DE7165">
        <w:rPr>
          <w:rFonts w:ascii="Times New Roman" w:eastAsia="楷体" w:hAnsi="Times New Roman" w:cs="Times New Roman"/>
          <w:color w:val="000000"/>
          <w:sz w:val="24"/>
          <w:lang w:bidi="ar"/>
        </w:rPr>
        <w:t>IUPAC, CID, molecular weight, molecular formula, InChIKey</w:t>
      </w:r>
      <w:r w:rsidR="00DE7165">
        <w:rPr>
          <w:rFonts w:ascii="Times New Roman" w:eastAsia="楷体" w:hAnsi="Times New Roman" w:cs="Times New Roman" w:hint="eastAsia"/>
          <w:color w:val="000000"/>
          <w:sz w:val="24"/>
          <w:lang w:bidi="ar"/>
        </w:rPr>
        <w:t xml:space="preserve">, </w:t>
      </w:r>
      <w:r w:rsidR="00DE7165" w:rsidRPr="00DE7165">
        <w:rPr>
          <w:rFonts w:ascii="Times New Roman" w:eastAsia="楷体" w:hAnsi="Times New Roman" w:cs="Times New Roman"/>
          <w:color w:val="000000"/>
          <w:sz w:val="24"/>
          <w:lang w:bidi="ar"/>
        </w:rPr>
        <w:t>and structural representation</w:t>
      </w:r>
      <w:r w:rsidR="00AE166B">
        <w:rPr>
          <w:rFonts w:ascii="Times New Roman" w:eastAsia="楷体" w:hAnsi="Times New Roman" w:cs="Times New Roman" w:hint="eastAsia"/>
          <w:color w:val="000000"/>
          <w:sz w:val="24"/>
          <w:lang w:bidi="ar"/>
        </w:rPr>
        <w:t xml:space="preserve"> </w:t>
      </w:r>
      <w:r>
        <w:rPr>
          <w:rFonts w:ascii="Times New Roman" w:eastAsia="楷体" w:hAnsi="Times New Roman" w:cs="Times New Roman"/>
          <w:color w:val="000000"/>
          <w:sz w:val="24"/>
          <w:lang w:bidi="ar"/>
        </w:rPr>
        <w:t xml:space="preserve">for </w:t>
      </w:r>
      <w:r w:rsidR="00DE7165">
        <w:rPr>
          <w:rFonts w:ascii="Times New Roman" w:eastAsia="楷体" w:hAnsi="Times New Roman" w:cs="Times New Roman" w:hint="eastAsia"/>
          <w:color w:val="000000"/>
          <w:sz w:val="24"/>
          <w:lang w:bidi="ar"/>
        </w:rPr>
        <w:t>carbohydrate</w:t>
      </w:r>
      <w:r>
        <w:rPr>
          <w:rFonts w:ascii="Times New Roman" w:eastAsia="楷体" w:hAnsi="Times New Roman" w:cs="Times New Roman"/>
          <w:color w:val="000000"/>
          <w:sz w:val="24"/>
          <w:lang w:bidi="ar"/>
        </w:rPr>
        <w:t>, accompanied by corresponding species information. For each acquired</w:t>
      </w:r>
      <w:r w:rsidR="00AE166B" w:rsidRPr="00AE166B">
        <w:t xml:space="preserve"> </w:t>
      </w:r>
      <w:r w:rsidR="00AE166B" w:rsidRPr="00AE166B">
        <w:rPr>
          <w:rFonts w:ascii="Times New Roman" w:eastAsia="楷体" w:hAnsi="Times New Roman" w:cs="Times New Roman"/>
          <w:color w:val="000000"/>
          <w:sz w:val="24"/>
          <w:lang w:bidi="ar"/>
        </w:rPr>
        <w:t>carbohydrate</w:t>
      </w:r>
      <w:r>
        <w:rPr>
          <w:rFonts w:ascii="Times New Roman" w:eastAsia="楷体" w:hAnsi="Times New Roman" w:cs="Times New Roman"/>
          <w:color w:val="000000"/>
          <w:sz w:val="24"/>
          <w:lang w:bidi="ar"/>
        </w:rPr>
        <w:t>, we designed and implemented a set of processes (shown in Figure S</w:t>
      </w:r>
      <w:r w:rsidR="00AE166B">
        <w:rPr>
          <w:rFonts w:ascii="Times New Roman" w:eastAsia="楷体" w:hAnsi="Times New Roman" w:cs="Times New Roman" w:hint="eastAsia"/>
          <w:color w:val="000000"/>
          <w:sz w:val="24"/>
          <w:lang w:bidi="ar"/>
        </w:rPr>
        <w:t>4</w:t>
      </w:r>
      <w:r>
        <w:rPr>
          <w:rFonts w:ascii="Times New Roman" w:eastAsia="楷体" w:hAnsi="Times New Roman" w:cs="Times New Roman"/>
          <w:color w:val="000000"/>
          <w:sz w:val="24"/>
          <w:lang w:bidi="ar"/>
        </w:rPr>
        <w:t>). These processes have been uploaded to GitHub (https://github.com/GreatChenLab/GNDC/tree/main/</w:t>
      </w:r>
      <w:r w:rsidR="008F7488">
        <w:rPr>
          <w:rFonts w:ascii="Times New Roman" w:eastAsia="楷体" w:hAnsi="Times New Roman" w:cs="Times New Roman" w:hint="eastAsia"/>
          <w:color w:val="000000"/>
          <w:sz w:val="24"/>
          <w:lang w:bidi="ar"/>
        </w:rPr>
        <w:t>C</w:t>
      </w:r>
      <w:r>
        <w:rPr>
          <w:rFonts w:ascii="Times New Roman" w:eastAsia="楷体" w:hAnsi="Times New Roman" w:cs="Times New Roman"/>
          <w:color w:val="000000"/>
          <w:sz w:val="24"/>
          <w:lang w:bidi="ar"/>
        </w:rPr>
        <w:t>DB).</w:t>
      </w:r>
      <w:r w:rsidR="003C51D4">
        <w:t xml:space="preserve"> </w:t>
      </w:r>
    </w:p>
    <w:p w14:paraId="2F26A83D" w14:textId="77777777" w:rsidR="008F7488" w:rsidRDefault="008F7488" w:rsidP="003C51D4">
      <w:pPr>
        <w:spacing w:line="480" w:lineRule="auto"/>
        <w:ind w:firstLine="420"/>
      </w:pPr>
    </w:p>
    <w:p w14:paraId="50451E9E" w14:textId="77777777" w:rsidR="008F7488" w:rsidRPr="008F7488" w:rsidRDefault="008F7488" w:rsidP="008F7488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8F7488">
        <w:rPr>
          <w:noProof/>
        </w:rPr>
        <w:t>1</w:t>
      </w:r>
      <w:r w:rsidRPr="008F7488">
        <w:rPr>
          <w:noProof/>
        </w:rPr>
        <w:tab/>
        <w:t>Aoki-Kinoshita, K.</w:t>
      </w:r>
      <w:r w:rsidRPr="008F7488">
        <w:rPr>
          <w:i/>
          <w:noProof/>
        </w:rPr>
        <w:t xml:space="preserve"> et al.</w:t>
      </w:r>
      <w:r w:rsidRPr="008F7488">
        <w:rPr>
          <w:noProof/>
        </w:rPr>
        <w:t xml:space="preserve"> GlyTouCan 1.0 – The international glycan structure repository. </w:t>
      </w:r>
      <w:r w:rsidRPr="008F7488">
        <w:rPr>
          <w:i/>
          <w:noProof/>
        </w:rPr>
        <w:t>Nucleic acids research</w:t>
      </w:r>
      <w:r w:rsidRPr="008F7488">
        <w:rPr>
          <w:noProof/>
        </w:rPr>
        <w:t xml:space="preserve"> </w:t>
      </w:r>
      <w:r w:rsidRPr="008F7488">
        <w:rPr>
          <w:b/>
          <w:noProof/>
        </w:rPr>
        <w:t>44</w:t>
      </w:r>
      <w:r w:rsidRPr="008F7488">
        <w:rPr>
          <w:noProof/>
        </w:rPr>
        <w:t>, D1237-D1242, doi:10.1093/nar/gkv1041 (2016).</w:t>
      </w:r>
    </w:p>
    <w:p w14:paraId="6A00DF6C" w14:textId="77777777" w:rsidR="008F7488" w:rsidRPr="008F7488" w:rsidRDefault="008F7488" w:rsidP="008F7488">
      <w:pPr>
        <w:pStyle w:val="EndNoteBibliography"/>
        <w:ind w:left="720" w:hanging="720"/>
        <w:rPr>
          <w:noProof/>
        </w:rPr>
      </w:pPr>
      <w:r w:rsidRPr="008F7488">
        <w:rPr>
          <w:noProof/>
        </w:rPr>
        <w:t>2</w:t>
      </w:r>
      <w:r w:rsidRPr="008F7488">
        <w:rPr>
          <w:noProof/>
        </w:rPr>
        <w:tab/>
        <w:t xml:space="preserve">Toukach, P. V. &amp; Egorova, K. S. Carbohydrate structure database merged from bacterial, archaeal, plant and fungal parts. </w:t>
      </w:r>
      <w:r w:rsidRPr="008F7488">
        <w:rPr>
          <w:i/>
          <w:noProof/>
        </w:rPr>
        <w:t>Nucleic acids research</w:t>
      </w:r>
      <w:r w:rsidRPr="008F7488">
        <w:rPr>
          <w:noProof/>
        </w:rPr>
        <w:t xml:space="preserve"> </w:t>
      </w:r>
      <w:r w:rsidRPr="008F7488">
        <w:rPr>
          <w:b/>
          <w:noProof/>
        </w:rPr>
        <w:t>44</w:t>
      </w:r>
      <w:r w:rsidRPr="008F7488">
        <w:rPr>
          <w:noProof/>
        </w:rPr>
        <w:t>, D1229-D1236, doi:10.1093/nar/gkv840 (2016).</w:t>
      </w:r>
    </w:p>
    <w:p w14:paraId="3DEC8FD8" w14:textId="52BE4F9B" w:rsidR="00FE525A" w:rsidRDefault="008F7488" w:rsidP="003C51D4">
      <w:pPr>
        <w:spacing w:line="480" w:lineRule="auto"/>
        <w:ind w:firstLine="420"/>
      </w:pPr>
      <w:r>
        <w:fldChar w:fldCharType="end"/>
      </w:r>
    </w:p>
    <w:sectPr w:rsidR="00FE525A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030BD" w14:textId="77777777" w:rsidR="005A0145" w:rsidRDefault="005A0145" w:rsidP="00AB2D24">
      <w:r>
        <w:separator/>
      </w:r>
    </w:p>
  </w:endnote>
  <w:endnote w:type="continuationSeparator" w:id="0">
    <w:p w14:paraId="234C2996" w14:textId="77777777" w:rsidR="005A0145" w:rsidRDefault="005A0145" w:rsidP="00AB2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04318" w14:textId="77777777" w:rsidR="005A0145" w:rsidRDefault="005A0145" w:rsidP="00AB2D24">
      <w:r>
        <w:separator/>
      </w:r>
    </w:p>
  </w:footnote>
  <w:footnote w:type="continuationSeparator" w:id="0">
    <w:p w14:paraId="190FE349" w14:textId="77777777" w:rsidR="005A0145" w:rsidRDefault="005A0145" w:rsidP="00AB2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dzzx9wws9rf0mevv0zxwxvzrpaed5zwadx5&quot;&gt;My EndNote Library&lt;record-ids&gt;&lt;item&gt;552&lt;/item&gt;&lt;item&gt;554&lt;/item&gt;&lt;/record-ids&gt;&lt;/item&gt;&lt;/Libraries&gt;"/>
  </w:docVars>
  <w:rsids>
    <w:rsidRoot w:val="00FE525A"/>
    <w:rsid w:val="00082B52"/>
    <w:rsid w:val="003C51D4"/>
    <w:rsid w:val="00425059"/>
    <w:rsid w:val="005A0145"/>
    <w:rsid w:val="00807C64"/>
    <w:rsid w:val="0084334E"/>
    <w:rsid w:val="008F7488"/>
    <w:rsid w:val="00A7027E"/>
    <w:rsid w:val="00AB2D24"/>
    <w:rsid w:val="00AE166B"/>
    <w:rsid w:val="00DE7165"/>
    <w:rsid w:val="00F64494"/>
    <w:rsid w:val="00FE525A"/>
    <w:rsid w:val="1694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A4749A"/>
  <w15:docId w15:val="{57C95803-C30E-4A32-80A8-3BDE5419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仿宋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pPr>
      <w:pBdr>
        <w:top w:val="none" w:sz="8" w:space="0" w:color="auto"/>
        <w:left w:val="none" w:sz="8" w:space="0" w:color="auto"/>
        <w:bottom w:val="none" w:sz="8" w:space="0" w:color="auto"/>
        <w:right w:val="none" w:sz="8" w:space="0" w:color="auto"/>
        <w:between w:val="none" w:sz="8" w:space="0" w:color="auto"/>
      </w:pBdr>
      <w:jc w:val="center"/>
    </w:pPr>
    <w:rPr>
      <w:rFonts w:ascii="Calibri" w:eastAsiaTheme="minorEastAsia" w:hAnsi="Calibri" w:cs="Calibri"/>
      <w:kern w:val="2"/>
      <w:szCs w:val="24"/>
    </w:rPr>
  </w:style>
  <w:style w:type="paragraph" w:customStyle="1" w:styleId="EndNoteBibliography">
    <w:name w:val="EndNote Bibliography"/>
    <w:pPr>
      <w:pBdr>
        <w:top w:val="none" w:sz="8" w:space="0" w:color="auto"/>
        <w:left w:val="none" w:sz="8" w:space="0" w:color="auto"/>
        <w:bottom w:val="none" w:sz="8" w:space="0" w:color="auto"/>
        <w:right w:val="none" w:sz="8" w:space="0" w:color="auto"/>
        <w:between w:val="none" w:sz="8" w:space="0" w:color="auto"/>
      </w:pBdr>
      <w:jc w:val="both"/>
    </w:pPr>
    <w:rPr>
      <w:rFonts w:ascii="Calibri" w:eastAsiaTheme="minorEastAsia" w:hAnsi="Calibri" w:cs="Calibri"/>
      <w:kern w:val="2"/>
      <w:szCs w:val="24"/>
    </w:rPr>
  </w:style>
  <w:style w:type="paragraph" w:styleId="a3">
    <w:name w:val="header"/>
    <w:basedOn w:val="a"/>
    <w:link w:val="a4"/>
    <w:rsid w:val="00AB2D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B2D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B2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B2D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风灬陌</dc:creator>
  <cp:lastModifiedBy>zhiyin yu</cp:lastModifiedBy>
  <cp:revision>2</cp:revision>
  <dcterms:created xsi:type="dcterms:W3CDTF">2025-03-31T14:34:00Z</dcterms:created>
  <dcterms:modified xsi:type="dcterms:W3CDTF">2025-03-31T14:34:00Z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eyJoZGlkIjoiYWJmNTAxYTA0NTllZTU0OWY5NWY0MWNlMzBjNGU2OTYiLCJ1c2VySWQiOiI1NzM5MjA1OTUifQ==</vt:lpwstr>
  </property>
  <property fmtid="{D5CDD505-2E9C-101B-9397-08002B2CF9AE}" pid="4" name="ICV">
    <vt:lpwstr>F2B876F326FF4200A308CA09EF454FFA_12</vt:lpwstr>
  </property>
</Properties>
</file>