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1</w:t>
      </w:r>
    </w:p>
    <w:p>
      <w:r>
        <w:t>SKIPPED: Type 'Header'</w:t>
      </w:r>
    </w:p>
    <w:p/>
    <w:p>
      <w:pPr>
        <w:pStyle w:val="Heading2"/>
      </w:pPr>
      <w:r>
        <w:t>Nachhaltigkeitserklärung</w:t>
      </w:r>
    </w:p>
    <w:p/>
    <w:p>
      <w:r>
        <w:t>SKIPPED: Type 'UncategorizedText'</w:t>
      </w:r>
    </w:p>
    <w:p/>
    <w:p>
      <w:pPr>
        <w:pStyle w:val="Heading2"/>
      </w:pPr>
      <w:r>
        <w:t>Grundlagen für die Erstellung</w:t>
      </w:r>
    </w:p>
    <w:p/>
    <w:p>
      <w:r>
        <w:t>Alle Allianz-Gruppenansatz zur Nachhaltigkeitsberichterstattung</w:t>
      </w:r>
    </w:p>
    <w:p/>
    <w:p>
      <w:pPr>
        <w:pStyle w:val="Heading2"/>
      </w:pPr>
      <w:r>
        <w:t>Wie stellen wir sicher, dass Maßnahmen ergriffen werden?</w:t>
      </w:r>
    </w:p>
    <w:p/>
    <w:p>
      <w:r>
        <w:t>Die Geschäftsentscheidungen der Allianz werden durch unsere Unternehmensrichtlinien geregelt und unterliegen der Aufsicht. Im Abschnitt Integration von Nachhaltigkeit durch Unternehmensrichtlinien und andere ESRS-Richtlinien wird erläutert, wie wir Nachhaltigkeitsaspekte in die Entscheidungsfindung integrieren. Die ausführlichen Unternehmensrichtlinien und die spezifischen ESRS-Richtlinien zu bestimmten Themen werden in den jeweiligen aktuellen Kapiteln des Berichts und in der Sektion Allianz ESRS-Richtlinien erläutert.</w:t>
      </w:r>
    </w:p>
    <w:p/>
    <w:p>
      <w:r>
        <w:t>Wir sichern Ihre Zukunft – leitet unser Handeln im gesamten Allianz-Konzern und treibt uns dabei voran, ständige Innovation und Zusammenarbeit zu fördern. Es leitet auch unsere Interaktionen mit unseren Kunden, Partnern, Mitarbeitern, Investoren, Regierungen, Regulierungsbehörden, der Gesellschaft, Menschen mit Behinderungen und den nächsten Generationen in allen unseren Geschäftsbereichen.</w:t>
      </w:r>
    </w:p>
    <w:p/>
    <w:p>
      <w:r>
        <w:t>Unsere Ambition ist es, in Zusammenarbeit mit unserer Wertschöpfungskette den Übergang zu einer nachhaltigeren Wirtschaft aktiv zu unterstützen. Dabei konzentrieren wir uns auf messbare Maßnahmen, transparente Berichterstattung und langfristige positive Auswirkungen auf Gesellschaften, Volkswirtschaften und die Umwelt.</w:t>
      </w:r>
    </w:p>
    <w:p/>
    <w:p>
      <w:pPr>
        <w:pStyle w:val="Heading2"/>
      </w:pPr>
      <w:r>
        <w:t>Was ist unser Zielhoch?</w:t>
      </w:r>
    </w:p>
    <w:p/>
    <w:p>
      <w:r>
        <w:t>"Wo zutreffend, setzen wir konkrete Ziele in Bezug auf relevante Nachhaltigkeitsfragen. Diese Ziele sind unsere Maßstäbe für unsere Ambitionen in den jeweiligen Bereichen. Wir beziehen uns dabei auf die Struktur des ESRS und fügen zwei Abschnitte über Ziele ein."</w:t>
      </w:r>
    </w:p>
    <w:p/>
    <w:p>
      <w:r>
        <w:t>Ein zentraler Bestandteil unserer Nachhaltigkeitsambitionen ist es, klare, transparente Praktiken zu verfolgen und eine überprüfbare und qualitativ hochwertige Berichterstattung zu liefern, die unser fortlaufendes Engagement für messbare Nachhaltigkeitsergebnisse widerspiegelt. Unsere Nachhaltigkeitserklärung beschreibt die für die Allianz relevanten Nachhaltigkeitsaspekte und die Art und Weise, wie wir sie angehen. Wir halten uns an die europäische Struktur für Nachhaltigkeitsberichte (ESRS) an, die sich auf die wesentlichen Aspekte der Nachhaltigkeit (Umwelt, Soziales und Unternehmensführung) konzentriert und einen robusten Rahmen für die Offenlegung von Vergleichbarkeit und Glaubwürdigkeit bietet. In Übereinstimmung mit diesen Standards haben wir unsere Nachhaltigkeitserklärung in den wichtigsten Abschnitten strukturiert, wie in den folgenden Absätzen beschrieben.</w:t>
      </w:r>
    </w:p>
    <w:p/>
    <w:p>
      <w:r>
        <w:t>− die im Zusammenhang mit der Vorstandsvergütung relevanten Nachhaltigkeitsziele im Abschnitt Zielprozess Vorstand und − weitere „Ziele“ zu relevanten Nachhaltigkeitsthemen in den jeweiligen Kapiteln des Berichts.</w:t>
      </w:r>
    </w:p>
    <w:p/>
    <w:p>
      <w:r>
        <w:t>Als Treuhänder haben unsere Vermögensverwalter die Verantwortung, die Vermögenswerte jedes Kunden gemäß den festgelegten Portfoliozielen und Richtlinien umsichtig zu verwalten. Deshalb verwalten unsere Vermögensverwalter die Vermögenswerte von Drittkunden ausschließlich unter Berücksichtigung dieser Ziele und Richtlinien und wenden bei der Verwaltung dieser Vermögenswerte von Drittkunden keine eigenen Ziele an.</w:t>
      </w:r>
    </w:p>
    <w:p/>
    <w:p>
      <w:pPr>
        <w:pStyle w:val="Heading2"/>
      </w:pPr>
      <w:r>
        <w:t>Welche Nachhaltigkeitsaspekte sind für Allianz relevant? - Materialität</w:t>
      </w:r>
    </w:p>
    <w:p/>
    <w:sectPr w:rsidR="00FC693F" w:rsidRPr="0006063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