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01138">
      <w:pPr>
        <w:spacing w:line="1266" w:lineRule="exact"/>
        <w:ind w:firstLine="368"/>
      </w:pPr>
      <w:bookmarkStart w:id="0" w:name="_Toc28587"/>
      <w:bookmarkStart w:id="1" w:name="_Toc16618"/>
      <w:bookmarkStart w:id="2" w:name="_Toc2679"/>
      <w:bookmarkStart w:id="3" w:name="_Toc11498"/>
      <w:r>
        <w:rPr>
          <w:position w:val="-25"/>
        </w:rPr>
        <w:drawing>
          <wp:inline distT="0" distB="0" distL="0" distR="0">
            <wp:extent cx="4737735" cy="803275"/>
            <wp:effectExtent l="0" t="0" r="12065" b="9525"/>
            <wp:docPr id="11" name="IM 12"/>
            <wp:cNvGraphicFramePr/>
            <a:graphic xmlns:a="http://schemas.openxmlformats.org/drawingml/2006/main">
              <a:graphicData uri="http://schemas.openxmlformats.org/drawingml/2006/picture">
                <pic:pic xmlns:pic="http://schemas.openxmlformats.org/drawingml/2006/picture">
                  <pic:nvPicPr>
                    <pic:cNvPr id="11" name="IM 12"/>
                    <pic:cNvPicPr/>
                  </pic:nvPicPr>
                  <pic:blipFill>
                    <a:blip r:embed="rId8"/>
                    <a:stretch>
                      <a:fillRect/>
                    </a:stretch>
                  </pic:blipFill>
                  <pic:spPr>
                    <a:xfrm>
                      <a:off x="0" y="0"/>
                      <a:ext cx="4738199" cy="803892"/>
                    </a:xfrm>
                    <a:prstGeom prst="rect">
                      <a:avLst/>
                    </a:prstGeom>
                  </pic:spPr>
                </pic:pic>
              </a:graphicData>
            </a:graphic>
          </wp:inline>
        </w:drawing>
      </w:r>
    </w:p>
    <w:p w14:paraId="0637DB56">
      <w:pPr>
        <w:pStyle w:val="5"/>
        <w:spacing w:line="286" w:lineRule="auto"/>
      </w:pPr>
    </w:p>
    <w:p w14:paraId="3E48ACB9">
      <w:pPr>
        <w:pStyle w:val="5"/>
        <w:spacing w:line="286" w:lineRule="auto"/>
      </w:pPr>
    </w:p>
    <w:p w14:paraId="6E9E9658">
      <w:pPr>
        <w:pStyle w:val="5"/>
        <w:spacing w:line="286" w:lineRule="auto"/>
      </w:pPr>
    </w:p>
    <w:p w14:paraId="6D7AD573">
      <w:pPr>
        <w:spacing w:before="273" w:line="219" w:lineRule="auto"/>
        <w:ind w:left="4"/>
        <w:outlineLvl w:val="0"/>
        <w:rPr>
          <w:rFonts w:ascii="黑体" w:hAnsi="黑体" w:eastAsia="黑体" w:cs="黑体"/>
          <w:sz w:val="84"/>
          <w:szCs w:val="84"/>
        </w:rPr>
      </w:pPr>
      <w:bookmarkStart w:id="4" w:name="bookmark11"/>
      <w:bookmarkEnd w:id="4"/>
      <w:r>
        <w:rPr>
          <w:rFonts w:ascii="黑体" w:hAnsi="黑体" w:eastAsia="黑体" w:cs="黑体"/>
          <w:spacing w:val="-12"/>
          <w:sz w:val="84"/>
          <w:szCs w:val="84"/>
        </w:rPr>
        <w:t>本科毕业论文（设计）</w:t>
      </w:r>
    </w:p>
    <w:p w14:paraId="2C4F1896">
      <w:pPr>
        <w:pStyle w:val="5"/>
        <w:spacing w:line="282" w:lineRule="auto"/>
      </w:pPr>
    </w:p>
    <w:p w14:paraId="02135CB7">
      <w:pPr>
        <w:pStyle w:val="5"/>
        <w:spacing w:line="282" w:lineRule="auto"/>
      </w:pPr>
    </w:p>
    <w:p w14:paraId="2EEA3516">
      <w:pPr>
        <w:pStyle w:val="5"/>
        <w:spacing w:line="282" w:lineRule="auto"/>
      </w:pPr>
    </w:p>
    <w:p w14:paraId="699BFFF4">
      <w:pPr>
        <w:spacing w:before="100" w:line="227" w:lineRule="auto"/>
        <w:ind w:left="6"/>
        <w:jc w:val="center"/>
        <w:rPr>
          <w:rFonts w:ascii="宋体" w:hAnsi="宋体" w:eastAsia="宋体" w:cs="宋体"/>
          <w:b/>
          <w:bCs/>
          <w:sz w:val="32"/>
          <w:szCs w:val="32"/>
        </w:rPr>
      </w:pPr>
      <w:r>
        <w:rPr>
          <w:rFonts w:ascii="宋体" w:hAnsi="宋体" w:eastAsia="宋体" w:cs="宋体"/>
          <w:b/>
          <w:bCs/>
          <w:spacing w:val="-14"/>
          <w:sz w:val="31"/>
          <w:szCs w:val="31"/>
        </w:rPr>
        <w:t>题目：</w:t>
      </w:r>
      <w:r>
        <w:rPr>
          <w:rFonts w:hint="eastAsia" w:ascii="宋体" w:hAnsi="宋体" w:eastAsia="宋体" w:cs="宋体"/>
          <w:b/>
          <w:bCs/>
          <w:sz w:val="32"/>
          <w:szCs w:val="32"/>
          <w:u w:val="single" w:color="auto"/>
          <w:lang w:val="en-US" w:eastAsia="zh-CN"/>
        </w:rPr>
        <w:t>基于区块链的校园心理咨询记录隐私保护与存证系统的设计与实现</w:t>
      </w:r>
    </w:p>
    <w:p w14:paraId="1893C488">
      <w:pPr>
        <w:pStyle w:val="5"/>
        <w:spacing w:line="255" w:lineRule="auto"/>
      </w:pPr>
    </w:p>
    <w:p w14:paraId="4B0BF21B">
      <w:pPr>
        <w:pStyle w:val="5"/>
        <w:spacing w:line="255" w:lineRule="auto"/>
      </w:pPr>
    </w:p>
    <w:p w14:paraId="3FF10731">
      <w:pPr>
        <w:pStyle w:val="5"/>
        <w:spacing w:line="255" w:lineRule="auto"/>
      </w:pPr>
    </w:p>
    <w:p w14:paraId="221D72B8">
      <w:pPr>
        <w:pStyle w:val="5"/>
        <w:spacing w:line="256" w:lineRule="auto"/>
      </w:pPr>
    </w:p>
    <w:p w14:paraId="67C6E1D9">
      <w:pPr>
        <w:tabs>
          <w:tab w:val="left" w:pos="6317"/>
          <w:tab w:val="left" w:pos="6334"/>
          <w:tab w:val="left" w:pos="6345"/>
        </w:tabs>
        <w:spacing w:before="91" w:line="545" w:lineRule="auto"/>
        <w:ind w:left="1900" w:right="1991" w:firstLine="3"/>
        <w:jc w:val="both"/>
        <w:rPr>
          <w:rFonts w:ascii="宋体" w:hAnsi="宋体" w:eastAsia="宋体" w:cs="宋体"/>
          <w:spacing w:val="-117"/>
          <w:sz w:val="28"/>
          <w:szCs w:val="28"/>
        </w:rPr>
      </w:pPr>
      <w:r>
        <w:rPr>
          <w:rFonts w:ascii="宋体" w:hAnsi="宋体" w:eastAsia="宋体" w:cs="宋体"/>
          <w:spacing w:val="-2"/>
          <w:sz w:val="28"/>
          <w:szCs w:val="28"/>
        </w:rPr>
        <w:t>学生姓名</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徐子信</w:t>
      </w:r>
      <w:r>
        <w:rPr>
          <w:rFonts w:ascii="宋体" w:hAnsi="宋体" w:eastAsia="宋体" w:cs="宋体"/>
          <w:sz w:val="28"/>
          <w:szCs w:val="28"/>
          <w:u w:val="single" w:color="auto"/>
        </w:rPr>
        <w:t xml:space="preserve">         </w:t>
      </w:r>
    </w:p>
    <w:p w14:paraId="11BC708B">
      <w:pPr>
        <w:tabs>
          <w:tab w:val="left" w:pos="6317"/>
          <w:tab w:val="left" w:pos="6334"/>
          <w:tab w:val="left" w:pos="6345"/>
        </w:tabs>
        <w:spacing w:before="91" w:line="545" w:lineRule="auto"/>
        <w:ind w:left="1900" w:right="1991" w:firstLine="3"/>
        <w:jc w:val="both"/>
        <w:rPr>
          <w:rFonts w:ascii="宋体" w:hAnsi="宋体" w:eastAsia="宋体" w:cs="宋体"/>
          <w:spacing w:val="-15"/>
          <w:sz w:val="28"/>
          <w:szCs w:val="28"/>
        </w:rPr>
      </w:pPr>
      <w:r>
        <w:rPr>
          <w:rFonts w:ascii="宋体" w:hAnsi="宋体" w:eastAsia="宋体" w:cs="宋体"/>
          <w:spacing w:val="-15"/>
          <w:sz w:val="28"/>
          <w:szCs w:val="28"/>
        </w:rPr>
        <w:t>学</w:t>
      </w:r>
      <w:r>
        <w:rPr>
          <w:rFonts w:ascii="宋体" w:hAnsi="宋体" w:eastAsia="宋体" w:cs="宋体"/>
          <w:spacing w:val="9"/>
          <w:sz w:val="28"/>
          <w:szCs w:val="28"/>
        </w:rPr>
        <w:t xml:space="preserve">    </w:t>
      </w:r>
      <w:r>
        <w:rPr>
          <w:rFonts w:ascii="宋体" w:hAnsi="宋体" w:eastAsia="宋体" w:cs="宋体"/>
          <w:spacing w:val="-15"/>
          <w:sz w:val="28"/>
          <w:szCs w:val="28"/>
        </w:rPr>
        <w:t>号</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202202102  </w:t>
      </w:r>
      <w:r>
        <w:rPr>
          <w:rFonts w:ascii="宋体" w:hAnsi="宋体" w:eastAsia="宋体" w:cs="宋体"/>
          <w:sz w:val="28"/>
          <w:szCs w:val="28"/>
          <w:u w:val="single" w:color="auto"/>
        </w:rPr>
        <w:t xml:space="preserve">      </w:t>
      </w:r>
    </w:p>
    <w:p w14:paraId="673EB341">
      <w:pPr>
        <w:tabs>
          <w:tab w:val="left" w:pos="6317"/>
          <w:tab w:val="left" w:pos="6334"/>
          <w:tab w:val="left" w:pos="6345"/>
        </w:tabs>
        <w:spacing w:before="91" w:line="545" w:lineRule="auto"/>
        <w:ind w:left="1900" w:right="1991" w:firstLine="3"/>
        <w:jc w:val="both"/>
        <w:rPr>
          <w:rFonts w:ascii="宋体" w:hAnsi="宋体" w:eastAsia="宋体" w:cs="宋体"/>
          <w:spacing w:val="-20"/>
          <w:sz w:val="28"/>
          <w:szCs w:val="28"/>
        </w:rPr>
      </w:pPr>
      <w:r>
        <w:rPr>
          <w:rFonts w:ascii="宋体" w:hAnsi="宋体" w:eastAsia="宋体" w:cs="宋体"/>
          <w:spacing w:val="-20"/>
          <w:sz w:val="28"/>
          <w:szCs w:val="28"/>
        </w:rPr>
        <w:t>学</w:t>
      </w:r>
      <w:r>
        <w:rPr>
          <w:rFonts w:ascii="宋体" w:hAnsi="宋体" w:eastAsia="宋体" w:cs="宋体"/>
          <w:spacing w:val="12"/>
          <w:sz w:val="28"/>
          <w:szCs w:val="28"/>
        </w:rPr>
        <w:t xml:space="preserve">    </w:t>
      </w:r>
      <w:r>
        <w:rPr>
          <w:rFonts w:ascii="宋体" w:hAnsi="宋体" w:eastAsia="宋体" w:cs="宋体"/>
          <w:spacing w:val="-20"/>
          <w:sz w:val="28"/>
          <w:szCs w:val="28"/>
        </w:rPr>
        <w:t>院</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区块链学院 </w:t>
      </w:r>
      <w:r>
        <w:rPr>
          <w:rFonts w:ascii="宋体" w:hAnsi="宋体" w:eastAsia="宋体" w:cs="宋体"/>
          <w:sz w:val="28"/>
          <w:szCs w:val="28"/>
          <w:u w:val="single" w:color="auto"/>
        </w:rPr>
        <w:t xml:space="preserve">      </w:t>
      </w:r>
    </w:p>
    <w:p w14:paraId="67F6B7BF">
      <w:pPr>
        <w:tabs>
          <w:tab w:val="left" w:pos="6317"/>
          <w:tab w:val="left" w:pos="6334"/>
          <w:tab w:val="left" w:pos="6345"/>
        </w:tabs>
        <w:spacing w:before="91" w:line="545" w:lineRule="auto"/>
        <w:ind w:left="1900" w:right="1991" w:firstLine="3"/>
        <w:jc w:val="both"/>
        <w:rPr>
          <w:rFonts w:ascii="宋体" w:hAnsi="宋体" w:eastAsia="宋体" w:cs="宋体"/>
          <w:spacing w:val="-3"/>
          <w:sz w:val="28"/>
          <w:szCs w:val="28"/>
        </w:rPr>
      </w:pPr>
      <w:r>
        <w:rPr>
          <w:rFonts w:ascii="宋体" w:hAnsi="宋体" w:eastAsia="宋体" w:cs="宋体"/>
          <w:spacing w:val="-3"/>
          <w:sz w:val="28"/>
          <w:szCs w:val="28"/>
        </w:rPr>
        <w:t>专业班级</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区块链技术B220605</w:t>
      </w:r>
      <w:r>
        <w:rPr>
          <w:rFonts w:ascii="宋体" w:hAnsi="宋体" w:eastAsia="宋体" w:cs="宋体"/>
          <w:sz w:val="28"/>
          <w:szCs w:val="28"/>
          <w:u w:val="single" w:color="auto"/>
        </w:rPr>
        <w:t xml:space="preserve">   </w:t>
      </w:r>
    </w:p>
    <w:p w14:paraId="4895884A">
      <w:pPr>
        <w:tabs>
          <w:tab w:val="left" w:pos="6317"/>
          <w:tab w:val="left" w:pos="6334"/>
          <w:tab w:val="left" w:pos="6345"/>
        </w:tabs>
        <w:spacing w:before="91" w:line="545" w:lineRule="auto"/>
        <w:ind w:left="1900" w:right="1991" w:firstLine="3"/>
        <w:jc w:val="both"/>
        <w:rPr>
          <w:rFonts w:ascii="宋体" w:hAnsi="宋体" w:eastAsia="宋体" w:cs="宋体"/>
          <w:sz w:val="28"/>
          <w:szCs w:val="28"/>
        </w:rPr>
      </w:pPr>
      <w:r>
        <w:rPr>
          <w:rFonts w:ascii="宋体" w:hAnsi="宋体" w:eastAsia="宋体" w:cs="宋体"/>
          <w:spacing w:val="-3"/>
          <w:sz w:val="28"/>
          <w:szCs w:val="28"/>
        </w:rPr>
        <w:t>指导教师</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林枝兴</w:t>
      </w:r>
      <w:r>
        <w:rPr>
          <w:rFonts w:ascii="宋体" w:hAnsi="宋体" w:eastAsia="宋体" w:cs="宋体"/>
          <w:sz w:val="28"/>
          <w:szCs w:val="28"/>
          <w:u w:val="single" w:color="auto"/>
        </w:rPr>
        <w:t xml:space="preserve">              </w:t>
      </w:r>
    </w:p>
    <w:p w14:paraId="13E9FCDF">
      <w:pPr>
        <w:pStyle w:val="5"/>
        <w:spacing w:line="258" w:lineRule="auto"/>
      </w:pPr>
    </w:p>
    <w:p w14:paraId="1BDA5FB7">
      <w:pPr>
        <w:pStyle w:val="5"/>
        <w:spacing w:line="258" w:lineRule="auto"/>
      </w:pPr>
    </w:p>
    <w:p w14:paraId="3F22D784">
      <w:pPr>
        <w:pStyle w:val="5"/>
        <w:spacing w:line="259" w:lineRule="auto"/>
      </w:pPr>
    </w:p>
    <w:p w14:paraId="6E9BAEE2">
      <w:pPr>
        <w:spacing w:before="102" w:line="225" w:lineRule="auto"/>
        <w:jc w:val="center"/>
        <w:rPr>
          <w:rFonts w:ascii="宋体" w:hAnsi="宋体" w:eastAsia="宋体" w:cs="宋体"/>
          <w:sz w:val="32"/>
          <w:szCs w:val="32"/>
        </w:rPr>
      </w:pPr>
      <w:r>
        <w:rPr>
          <w:rFonts w:ascii="宋体" w:hAnsi="宋体" w:eastAsia="宋体" w:cs="宋体"/>
          <w:spacing w:val="6"/>
          <w:sz w:val="32"/>
          <w:szCs w:val="32"/>
        </w:rPr>
        <w:t>二〇二</w:t>
      </w:r>
      <w:r>
        <w:rPr>
          <w:rFonts w:hint="eastAsia" w:ascii="宋体" w:hAnsi="宋体" w:eastAsia="宋体" w:cs="宋体"/>
          <w:spacing w:val="6"/>
          <w:sz w:val="32"/>
          <w:szCs w:val="32"/>
          <w:lang w:val="en-US" w:eastAsia="zh-CN"/>
        </w:rPr>
        <w:t>六</w:t>
      </w:r>
      <w:r>
        <w:rPr>
          <w:rFonts w:ascii="宋体" w:hAnsi="宋体" w:eastAsia="宋体" w:cs="宋体"/>
          <w:spacing w:val="6"/>
          <w:sz w:val="32"/>
          <w:szCs w:val="32"/>
        </w:rPr>
        <w:t>年</w:t>
      </w:r>
      <w:r>
        <w:rPr>
          <w:rFonts w:hint="eastAsia" w:ascii="宋体" w:hAnsi="宋体" w:eastAsia="宋体" w:cs="宋体"/>
          <w:spacing w:val="6"/>
          <w:sz w:val="32"/>
          <w:szCs w:val="32"/>
          <w:lang w:val="en-US" w:eastAsia="zh-CN"/>
        </w:rPr>
        <w:t>二</w:t>
      </w:r>
      <w:r>
        <w:rPr>
          <w:rFonts w:ascii="宋体" w:hAnsi="宋体" w:eastAsia="宋体" w:cs="宋体"/>
          <w:spacing w:val="6"/>
          <w:sz w:val="32"/>
          <w:szCs w:val="32"/>
        </w:rPr>
        <w:t>月</w:t>
      </w:r>
    </w:p>
    <w:p w14:paraId="4F988777">
      <w:pPr>
        <w:spacing w:line="225" w:lineRule="auto"/>
        <w:rPr>
          <w:rFonts w:ascii="宋体" w:hAnsi="宋体" w:eastAsia="宋体" w:cs="宋体"/>
          <w:sz w:val="31"/>
          <w:szCs w:val="31"/>
        </w:rPr>
      </w:pPr>
    </w:p>
    <w:p w14:paraId="32C00C3D">
      <w:pPr>
        <w:spacing w:line="225" w:lineRule="auto"/>
        <w:rPr>
          <w:rFonts w:ascii="宋体" w:hAnsi="宋体" w:eastAsia="宋体" w:cs="宋体"/>
          <w:sz w:val="31"/>
          <w:szCs w:val="31"/>
        </w:rPr>
        <w:sectPr>
          <w:footerReference r:id="rId3" w:type="default"/>
          <w:footnotePr>
            <w:numFmt w:val="decimal"/>
          </w:footnotePr>
          <w:pgSz w:w="11912" w:h="16841"/>
          <w:pgMar w:top="1431" w:right="1786" w:bottom="945" w:left="1786" w:header="0" w:footer="768" w:gutter="0"/>
          <w:cols w:space="720" w:num="1"/>
        </w:sectPr>
      </w:pPr>
    </w:p>
    <w:p w14:paraId="62E1F925">
      <w:pPr>
        <w:spacing w:before="64" w:line="250" w:lineRule="auto"/>
        <w:ind w:left="2316" w:right="2067" w:hanging="971"/>
        <w:jc w:val="both"/>
        <w:rPr>
          <w:rFonts w:ascii="宋体" w:hAnsi="宋体" w:eastAsia="宋体" w:cs="宋体"/>
          <w:b/>
          <w:bCs/>
          <w:sz w:val="32"/>
          <w:szCs w:val="32"/>
        </w:rPr>
      </w:pPr>
      <w:r>
        <w:rPr>
          <w:rFonts w:ascii="宋体" w:hAnsi="宋体" w:eastAsia="宋体" w:cs="宋体"/>
          <w:b/>
          <w:bCs/>
          <w:spacing w:val="5"/>
          <w:sz w:val="32"/>
          <w:szCs w:val="32"/>
        </w:rPr>
        <w:t>江西软件职业技术大学毕业论文（设计）</w:t>
      </w:r>
      <w:r>
        <w:rPr>
          <w:rFonts w:ascii="宋体" w:hAnsi="宋体" w:eastAsia="宋体" w:cs="宋体"/>
          <w:b/>
          <w:bCs/>
          <w:spacing w:val="6"/>
          <w:sz w:val="32"/>
          <w:szCs w:val="32"/>
        </w:rPr>
        <w:t>原创性声明和使用授权声明</w:t>
      </w:r>
    </w:p>
    <w:p w14:paraId="5AE791CD">
      <w:pPr>
        <w:pStyle w:val="5"/>
        <w:spacing w:line="277" w:lineRule="auto"/>
      </w:pPr>
    </w:p>
    <w:p w14:paraId="43D116FA">
      <w:pPr>
        <w:pStyle w:val="5"/>
        <w:spacing w:line="277" w:lineRule="auto"/>
      </w:pPr>
    </w:p>
    <w:p w14:paraId="7DE6F9FE">
      <w:pPr>
        <w:pStyle w:val="5"/>
        <w:spacing w:line="277" w:lineRule="auto"/>
      </w:pPr>
    </w:p>
    <w:p w14:paraId="1C6C4414">
      <w:pPr>
        <w:spacing w:before="91" w:line="220" w:lineRule="auto"/>
        <w:jc w:val="center"/>
        <w:rPr>
          <w:rFonts w:ascii="宋体" w:hAnsi="宋体" w:eastAsia="宋体" w:cs="宋体"/>
          <w:sz w:val="28"/>
          <w:szCs w:val="28"/>
        </w:rPr>
      </w:pPr>
      <w:r>
        <w:rPr>
          <w:rFonts w:ascii="宋体" w:hAnsi="宋体" w:eastAsia="宋体" w:cs="宋体"/>
          <w:b/>
          <w:bCs/>
          <w:spacing w:val="-4"/>
          <w:sz w:val="28"/>
          <w:szCs w:val="28"/>
        </w:rPr>
        <w:t>1.毕业论文（设计）原创性声明</w:t>
      </w:r>
    </w:p>
    <w:p w14:paraId="449AF4E1">
      <w:pPr>
        <w:pStyle w:val="5"/>
        <w:spacing w:line="392" w:lineRule="auto"/>
      </w:pPr>
    </w:p>
    <w:p w14:paraId="1FD4AD50">
      <w:pPr>
        <w:spacing w:before="78" w:line="334" w:lineRule="auto"/>
        <w:ind w:firstLine="464"/>
        <w:jc w:val="both"/>
        <w:rPr>
          <w:rFonts w:ascii="宋体" w:hAnsi="宋体" w:eastAsia="宋体" w:cs="宋体"/>
          <w:sz w:val="24"/>
          <w:szCs w:val="24"/>
        </w:rPr>
      </w:pPr>
      <w:r>
        <w:rPr>
          <w:rFonts w:ascii="宋体" w:hAnsi="宋体" w:eastAsia="宋体" w:cs="宋体"/>
          <w:spacing w:val="-4"/>
          <w:sz w:val="24"/>
          <w:szCs w:val="24"/>
        </w:rPr>
        <w:t>本人声明所呈交的毕业论文（设计</w:t>
      </w:r>
      <w:r>
        <w:rPr>
          <w:rFonts w:ascii="宋体" w:hAnsi="宋体" w:eastAsia="宋体" w:cs="宋体"/>
          <w:spacing w:val="2"/>
          <w:sz w:val="24"/>
          <w:szCs w:val="24"/>
        </w:rPr>
        <w:t>），</w:t>
      </w:r>
      <w:r>
        <w:rPr>
          <w:rFonts w:ascii="宋体" w:hAnsi="宋体" w:eastAsia="宋体" w:cs="宋体"/>
          <w:spacing w:val="-4"/>
          <w:sz w:val="24"/>
          <w:szCs w:val="24"/>
        </w:rPr>
        <w:t>是本人在指导教师指导下</w:t>
      </w:r>
      <w:r>
        <w:rPr>
          <w:rFonts w:ascii="宋体" w:hAnsi="宋体" w:eastAsia="宋体" w:cs="宋体"/>
          <w:spacing w:val="-5"/>
          <w:sz w:val="24"/>
          <w:szCs w:val="24"/>
        </w:rPr>
        <w:t>进行的研究工作及</w:t>
      </w:r>
      <w:r>
        <w:rPr>
          <w:rFonts w:ascii="宋体" w:hAnsi="宋体" w:eastAsia="宋体" w:cs="宋体"/>
          <w:sz w:val="24"/>
          <w:szCs w:val="24"/>
        </w:rPr>
        <w:t xml:space="preserve">  </w:t>
      </w:r>
      <w:r>
        <w:rPr>
          <w:rFonts w:ascii="宋体" w:hAnsi="宋体" w:eastAsia="宋体" w:cs="宋体"/>
          <w:spacing w:val="-4"/>
          <w:sz w:val="24"/>
          <w:szCs w:val="24"/>
        </w:rPr>
        <w:t>取得的研究成果。除文中已经注明引用的内容外，本设计（论</w:t>
      </w:r>
      <w:r>
        <w:rPr>
          <w:rFonts w:ascii="宋体" w:hAnsi="宋体" w:eastAsia="宋体" w:cs="宋体"/>
          <w:spacing w:val="-5"/>
          <w:sz w:val="24"/>
          <w:szCs w:val="24"/>
        </w:rPr>
        <w:t>文）不包含其他个人或集</w:t>
      </w:r>
      <w:r>
        <w:rPr>
          <w:rFonts w:ascii="宋体" w:hAnsi="宋体" w:eastAsia="宋体" w:cs="宋体"/>
          <w:sz w:val="24"/>
          <w:szCs w:val="24"/>
        </w:rPr>
        <w:t xml:space="preserve">  </w:t>
      </w:r>
      <w:r>
        <w:rPr>
          <w:rFonts w:ascii="宋体" w:hAnsi="宋体" w:eastAsia="宋体" w:cs="宋体"/>
          <w:spacing w:val="-5"/>
          <w:sz w:val="24"/>
          <w:szCs w:val="24"/>
        </w:rPr>
        <w:t>体已经发表或撰写的作品。对本文的研究做出重要贡献的个人和集</w:t>
      </w:r>
      <w:r>
        <w:rPr>
          <w:rFonts w:ascii="宋体" w:hAnsi="宋体" w:eastAsia="宋体" w:cs="宋体"/>
          <w:spacing w:val="-6"/>
          <w:sz w:val="24"/>
          <w:szCs w:val="24"/>
        </w:rPr>
        <w:t>体，均已在文中标明。</w:t>
      </w:r>
    </w:p>
    <w:p w14:paraId="364EDA51">
      <w:pPr>
        <w:spacing w:before="36" w:line="219" w:lineRule="auto"/>
        <w:ind w:left="480"/>
        <w:rPr>
          <w:rFonts w:ascii="宋体" w:hAnsi="宋体" w:eastAsia="宋体" w:cs="宋体"/>
          <w:sz w:val="24"/>
          <w:szCs w:val="24"/>
        </w:rPr>
      </w:pPr>
      <w:r>
        <w:rPr>
          <w:rFonts w:ascii="宋体" w:hAnsi="宋体" w:eastAsia="宋体" w:cs="宋体"/>
          <w:spacing w:val="-3"/>
          <w:sz w:val="24"/>
          <w:szCs w:val="24"/>
        </w:rPr>
        <w:t>本声明的法律后果由本人承担。</w:t>
      </w:r>
    </w:p>
    <w:p w14:paraId="0E2324B2">
      <w:pPr>
        <w:pStyle w:val="5"/>
        <w:spacing w:line="357" w:lineRule="auto"/>
      </w:pPr>
    </w:p>
    <w:p w14:paraId="03D8FB77">
      <w:pPr>
        <w:pStyle w:val="5"/>
        <w:spacing w:line="358" w:lineRule="auto"/>
        <w:rPr>
          <w:rFonts w:hint="eastAsia" w:eastAsia="宋体"/>
          <w:lang w:eastAsia="zh-CN"/>
        </w:rPr>
      </w:pPr>
    </w:p>
    <w:p w14:paraId="09CC1403">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wp:inline distT="0" distB="0" distL="114300" distR="114300">
            <wp:extent cx="1304925" cy="695325"/>
            <wp:effectExtent l="0" t="0" r="0" b="0"/>
            <wp:docPr id="126" name="图片 126"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23"/>
                    <pic:cNvPicPr>
                      <a:picLocks noChangeAspect="1"/>
                    </pic:cNvPicPr>
                  </pic:nvPicPr>
                  <pic:blipFill>
                    <a:blip r:embed="rId9"/>
                    <a:stretch>
                      <a:fillRect/>
                    </a:stretch>
                  </pic:blipFill>
                  <pic:spPr>
                    <a:xfrm>
                      <a:off x="0" y="0"/>
                      <a:ext cx="1304925" cy="695325"/>
                    </a:xfrm>
                    <a:prstGeom prst="rect">
                      <a:avLst/>
                    </a:prstGeom>
                  </pic:spPr>
                </pic:pic>
              </a:graphicData>
            </a:graphic>
          </wp:inline>
        </w:drawing>
      </w:r>
    </w:p>
    <w:p w14:paraId="142E3B2C">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w14:paraId="0450728B">
      <w:pPr>
        <w:pStyle w:val="5"/>
        <w:spacing w:line="260" w:lineRule="auto"/>
      </w:pPr>
    </w:p>
    <w:p w14:paraId="0EE85E9C">
      <w:pPr>
        <w:pStyle w:val="5"/>
        <w:spacing w:line="260" w:lineRule="auto"/>
      </w:pPr>
    </w:p>
    <w:p w14:paraId="6A889DE8">
      <w:pPr>
        <w:pStyle w:val="5"/>
        <w:spacing w:line="261" w:lineRule="auto"/>
      </w:pPr>
    </w:p>
    <w:p w14:paraId="4994CE14">
      <w:pPr>
        <w:spacing w:before="92" w:line="220" w:lineRule="auto"/>
        <w:jc w:val="center"/>
        <w:rPr>
          <w:rFonts w:ascii="宋体" w:hAnsi="宋体" w:eastAsia="宋体" w:cs="宋体"/>
          <w:sz w:val="28"/>
          <w:szCs w:val="28"/>
        </w:rPr>
      </w:pPr>
      <w:r>
        <w:rPr>
          <w:rFonts w:ascii="宋体" w:hAnsi="宋体" w:eastAsia="宋体" w:cs="宋体"/>
          <w:b/>
          <w:bCs/>
          <w:spacing w:val="-4"/>
          <w:sz w:val="28"/>
          <w:szCs w:val="28"/>
        </w:rPr>
        <w:t>2.毕业论文（设计）使用授权声明</w:t>
      </w:r>
    </w:p>
    <w:p w14:paraId="03C7951D">
      <w:pPr>
        <w:pStyle w:val="5"/>
        <w:spacing w:line="392" w:lineRule="auto"/>
      </w:pPr>
    </w:p>
    <w:p w14:paraId="0F76CA55">
      <w:pPr>
        <w:spacing w:before="78" w:line="330" w:lineRule="auto"/>
        <w:ind w:right="201" w:firstLine="480"/>
        <w:rPr>
          <w:rFonts w:ascii="宋体" w:hAnsi="宋体" w:eastAsia="宋体" w:cs="宋体"/>
          <w:sz w:val="24"/>
          <w:szCs w:val="24"/>
        </w:rPr>
      </w:pPr>
      <w:r>
        <w:rPr>
          <w:rFonts w:ascii="宋体" w:hAnsi="宋体" w:eastAsia="宋体" w:cs="宋体"/>
          <w:spacing w:val="1"/>
          <w:sz w:val="24"/>
          <w:szCs w:val="24"/>
        </w:rPr>
        <w:t>本人完全了解江西软件职业技术大学有关收集</w:t>
      </w:r>
      <w:r>
        <w:rPr>
          <w:rFonts w:ascii="宋体" w:hAnsi="宋体" w:eastAsia="宋体" w:cs="宋体"/>
          <w:sz w:val="24"/>
          <w:szCs w:val="24"/>
        </w:rPr>
        <w:t>、保存、使用毕业论文（设计）</w:t>
      </w:r>
      <w:r>
        <w:rPr>
          <w:rFonts w:ascii="宋体" w:hAnsi="宋体" w:eastAsia="宋体" w:cs="宋体"/>
          <w:spacing w:val="-68"/>
          <w:sz w:val="24"/>
          <w:szCs w:val="24"/>
        </w:rPr>
        <w:t xml:space="preserve"> </w:t>
      </w:r>
      <w:r>
        <w:rPr>
          <w:rFonts w:ascii="宋体" w:hAnsi="宋体" w:eastAsia="宋体" w:cs="宋体"/>
          <w:sz w:val="24"/>
          <w:szCs w:val="24"/>
        </w:rPr>
        <w:t xml:space="preserve">的 </w:t>
      </w:r>
      <w:r>
        <w:rPr>
          <w:rFonts w:ascii="宋体" w:hAnsi="宋体" w:eastAsia="宋体" w:cs="宋体"/>
          <w:spacing w:val="-11"/>
          <w:sz w:val="24"/>
          <w:szCs w:val="24"/>
        </w:rPr>
        <w:t>规定。</w:t>
      </w:r>
    </w:p>
    <w:p w14:paraId="7D0293A7">
      <w:pPr>
        <w:spacing w:before="33" w:line="337" w:lineRule="auto"/>
        <w:ind w:right="183" w:firstLine="473"/>
        <w:jc w:val="both"/>
        <w:rPr>
          <w:rFonts w:ascii="宋体" w:hAnsi="宋体" w:eastAsia="宋体" w:cs="宋体"/>
          <w:sz w:val="24"/>
          <w:szCs w:val="24"/>
        </w:rPr>
      </w:pPr>
      <w:r>
        <w:rPr>
          <w:rFonts w:ascii="宋体" w:hAnsi="宋体" w:eastAsia="宋体" w:cs="宋体"/>
          <w:spacing w:val="2"/>
          <w:sz w:val="24"/>
          <w:szCs w:val="24"/>
        </w:rPr>
        <w:t>本人愿意按照学校要求提交毕业论文（设计）的印刷本和电子版，同意毕业论文</w:t>
      </w:r>
      <w:r>
        <w:rPr>
          <w:rFonts w:ascii="宋体" w:hAnsi="宋体" w:eastAsia="宋体" w:cs="宋体"/>
          <w:spacing w:val="13"/>
          <w:sz w:val="24"/>
          <w:szCs w:val="24"/>
        </w:rPr>
        <w:t xml:space="preserve"> </w:t>
      </w:r>
      <w:r>
        <w:rPr>
          <w:rFonts w:ascii="宋体" w:hAnsi="宋体" w:eastAsia="宋体" w:cs="宋体"/>
          <w:spacing w:val="-10"/>
          <w:sz w:val="24"/>
          <w:szCs w:val="24"/>
        </w:rPr>
        <w:t>（设计）的印刷本和电子版采用影印、缩印、数字化或其它复制手段保存；同意学校在不</w:t>
      </w:r>
      <w:r>
        <w:rPr>
          <w:rFonts w:ascii="宋体" w:hAnsi="宋体" w:eastAsia="宋体" w:cs="宋体"/>
          <w:spacing w:val="1"/>
          <w:sz w:val="24"/>
          <w:szCs w:val="24"/>
        </w:rPr>
        <w:t xml:space="preserve"> </w:t>
      </w:r>
      <w:r>
        <w:rPr>
          <w:rFonts w:ascii="宋体" w:hAnsi="宋体" w:eastAsia="宋体" w:cs="宋体"/>
          <w:spacing w:val="-10"/>
          <w:sz w:val="24"/>
          <w:szCs w:val="24"/>
        </w:rPr>
        <w:t>以营利为目的的前提下，建立目录检索与阅览服务系统，公</w:t>
      </w:r>
      <w:r>
        <w:rPr>
          <w:rFonts w:ascii="宋体" w:hAnsi="宋体" w:eastAsia="宋体" w:cs="宋体"/>
          <w:spacing w:val="-11"/>
          <w:sz w:val="24"/>
          <w:szCs w:val="24"/>
        </w:rPr>
        <w:t>布毕业论文（设计）的部分或</w:t>
      </w:r>
      <w:r>
        <w:rPr>
          <w:rFonts w:ascii="宋体" w:hAnsi="宋体" w:eastAsia="宋体" w:cs="宋体"/>
          <w:sz w:val="24"/>
          <w:szCs w:val="24"/>
        </w:rPr>
        <w:t xml:space="preserve"> </w:t>
      </w:r>
      <w:r>
        <w:rPr>
          <w:rFonts w:ascii="宋体" w:hAnsi="宋体" w:eastAsia="宋体" w:cs="宋体"/>
          <w:spacing w:val="-3"/>
          <w:sz w:val="24"/>
          <w:szCs w:val="24"/>
        </w:rPr>
        <w:t>全部内容，允许他人依法合理使用。</w:t>
      </w:r>
    </w:p>
    <w:p w14:paraId="641A088F">
      <w:pPr>
        <w:spacing w:before="32" w:line="220" w:lineRule="auto"/>
        <w:ind w:left="480"/>
        <w:rPr>
          <w:rFonts w:ascii="宋体" w:hAnsi="宋体" w:eastAsia="宋体" w:cs="宋体"/>
          <w:sz w:val="24"/>
          <w:szCs w:val="24"/>
        </w:rPr>
      </w:pPr>
      <w:r>
        <w:rPr>
          <w:rFonts w:ascii="宋体" w:hAnsi="宋体" w:eastAsia="宋体" w:cs="宋体"/>
          <w:spacing w:val="-2"/>
          <w:sz w:val="24"/>
          <w:szCs w:val="24"/>
        </w:rPr>
        <w:t>注：保密的毕业论文（设计）在解密后遵守此规定。</w:t>
      </w:r>
    </w:p>
    <w:p w14:paraId="401071DE">
      <w:pPr>
        <w:pStyle w:val="5"/>
        <w:spacing w:line="314" w:lineRule="auto"/>
      </w:pPr>
    </w:p>
    <w:p w14:paraId="68F910E8">
      <w:pPr>
        <w:pStyle w:val="5"/>
        <w:spacing w:line="314" w:lineRule="auto"/>
      </w:pPr>
    </w:p>
    <w:p w14:paraId="3498DBD5">
      <w:pPr>
        <w:pStyle w:val="5"/>
        <w:spacing w:line="315" w:lineRule="auto"/>
      </w:pPr>
    </w:p>
    <w:p w14:paraId="52F3A9B8">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wp:inline distT="0" distB="0" distL="114300" distR="114300">
            <wp:extent cx="1304925" cy="695325"/>
            <wp:effectExtent l="0" t="0" r="0" b="0"/>
            <wp:docPr id="127" name="图片 127"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123"/>
                    <pic:cNvPicPr>
                      <a:picLocks noChangeAspect="1"/>
                    </pic:cNvPicPr>
                  </pic:nvPicPr>
                  <pic:blipFill>
                    <a:blip r:embed="rId9"/>
                    <a:stretch>
                      <a:fillRect/>
                    </a:stretch>
                  </pic:blipFill>
                  <pic:spPr>
                    <a:xfrm>
                      <a:off x="0" y="0"/>
                      <a:ext cx="1304925" cy="695325"/>
                    </a:xfrm>
                    <a:prstGeom prst="rect">
                      <a:avLst/>
                    </a:prstGeom>
                  </pic:spPr>
                </pic:pic>
              </a:graphicData>
            </a:graphic>
          </wp:inline>
        </w:drawing>
      </w:r>
    </w:p>
    <w:p w14:paraId="16A22849">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w14:paraId="5760AC83">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0"/>
        <w:rPr>
          <w:rFonts w:hint="eastAsia" w:ascii="黑体" w:hAnsi="黑体" w:eastAsia="黑体"/>
          <w:sz w:val="30"/>
          <w:szCs w:val="30"/>
          <w:lang w:val="en-US" w:eastAsia="zh-CN"/>
        </w:rPr>
      </w:pPr>
      <w:r>
        <w:rPr>
          <w:rFonts w:hint="eastAsia" w:ascii="黑体" w:hAnsi="黑体" w:eastAsia="黑体"/>
          <w:sz w:val="30"/>
          <w:szCs w:val="30"/>
          <w:lang w:val="en-US" w:eastAsia="zh-CN"/>
        </w:rPr>
        <w:t>摘    要</w:t>
      </w:r>
      <w:bookmarkEnd w:id="0"/>
      <w:bookmarkEnd w:id="1"/>
      <w:bookmarkEnd w:id="2"/>
      <w:bookmarkEnd w:id="3"/>
    </w:p>
    <w:p w14:paraId="43483EC5">
      <w:pPr>
        <w:pStyle w:val="5"/>
        <w:autoSpaceDE/>
        <w:autoSpaceDN/>
        <w:spacing w:after="0" w:line="440" w:lineRule="exact"/>
        <w:ind w:firstLine="480" w:firstLineChars="200"/>
        <w:jc w:val="both"/>
        <w:rPr>
          <w:rFonts w:hint="eastAsia" w:ascii="楷体" w:hAnsi="楷体" w:eastAsia="楷体"/>
          <w:sz w:val="24"/>
          <w:szCs w:val="24"/>
          <w:lang w:val="en-US" w:eastAsia="zh-CN"/>
        </w:rPr>
      </w:pPr>
      <w:r>
        <w:rPr>
          <w:rFonts w:hint="eastAsia" w:ascii="楷体" w:hAnsi="楷体" w:eastAsia="楷体"/>
          <w:sz w:val="24"/>
          <w:szCs w:val="24"/>
          <w:lang w:val="en-US" w:eastAsia="zh-CN"/>
        </w:rPr>
        <w:t>基于高校心理咨询工作涉及大量敏感信息，传统纸质记录或普通信息系统难以兼顾隐私保护、过程留痕与责任追溯，容易出现数据分散、权限控制薄弱、记录可篡改等问题的现状，本研究引入区块链存证技术，设计并实现基于区块链的校园心理咨询记录隐私保护与存证系统，解决传统心理咨询记录系统在隐私保护、数据可追溯性和可信度方面的不足，提升校园心理咨询服务的规范性与安全性。</w:t>
      </w:r>
    </w:p>
    <w:p w14:paraId="17EB01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lang w:val="en-US" w:eastAsia="zh-CN"/>
        </w:rPr>
      </w:pPr>
      <w:r>
        <w:rPr>
          <w:rFonts w:hint="eastAsia" w:ascii="楷体" w:hAnsi="楷体" w:eastAsia="楷体"/>
          <w:sz w:val="24"/>
          <w:szCs w:val="24"/>
          <w:lang w:val="en-US" w:eastAsia="zh-CN"/>
        </w:rPr>
        <w:t>系统采用 Next.js 14.2.3、TypeScript、Koa 3.1.1、MySQL 8.0 等技术栈构建前后端分离架构，结合 JWT 认证、bcrypt 密码加密、基于角色的访问控制（RBAC）等安全机制，并实现了基于区块链智能合约的链上存证能力。系统实现了注册登录、心理测评、咨询师申请与预约、咨询记录与反馈、论坛社区、消息聊天、举报审核、管理员管理等核心功能模块，通过存证记录表对关键操作进行自动记录与审计，并对心理测评结果与咨询记录摘要哈希执行链上存证。系统解决了数据访问权限控制、敏感信息隐私保护、操作过程可追溯、记录不可篡改等关键问题，有效提升了校园心理咨询服务的规范性与可信度。</w:t>
      </w:r>
    </w:p>
    <w:p w14:paraId="55D572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rPr>
      </w:pPr>
      <w:r>
        <w:rPr>
          <w:rFonts w:hint="eastAsia" w:ascii="楷体" w:hAnsi="楷体" w:eastAsia="楷体"/>
          <w:sz w:val="24"/>
          <w:szCs w:val="24"/>
        </w:rPr>
        <w:t>本系统核心解决了隐私保护、数据可追溯性和可信度三大关键问题：通过基于角色的访问控制（RBAC）和分级授权机制实现隐私保护，确保敏感咨询记录仅对授权角色可见；通过存证记录表对关键操作（预约、咨询记录、反馈、论坛内容、举报等）进行自动记录，并结合区块链智能合约、记录哈希上链与补录重试机制实现数据可追溯性；通过链上存证的不可篡改特性与操作审计日志，确保记录的可信度与规范性。研究结果表明，该系统有效提升了校园心理咨询服务的规范性与安全性，能够支撑校园心理咨询的日常业务与管理需求，并为后续扩展隐私计算与联盟链部署提供可行的技术基础。</w:t>
      </w:r>
    </w:p>
    <w:p w14:paraId="54BE4D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楷体" w:hAnsi="楷体" w:eastAsia="楷体"/>
          <w:sz w:val="24"/>
          <w:lang w:val="en-US" w:eastAsia="zh-CN"/>
        </w:rPr>
      </w:pPr>
      <w:r>
        <w:rPr>
          <w:rFonts w:hint="eastAsia" w:ascii="黑体" w:hAnsi="黑体" w:eastAsia="黑体"/>
          <w:sz w:val="24"/>
        </w:rPr>
        <w:t>【关键词】</w:t>
      </w:r>
      <w:r>
        <w:rPr>
          <w:rStyle w:val="22"/>
          <w:rFonts w:hint="eastAsia" w:ascii="楷体" w:hAnsi="楷体" w:eastAsia="楷体" w:cs="楷体"/>
          <w:sz w:val="24"/>
          <w:szCs w:val="24"/>
          <w:lang w:val="en-US" w:eastAsia="zh-CN"/>
        </w:rPr>
        <w:t>心理咨询；隐私保护；区块链存证；</w:t>
      </w:r>
    </w:p>
    <w:p w14:paraId="33D3B7E8">
      <w:pPr>
        <w:rPr>
          <w:rFonts w:ascii="楷体" w:hAnsi="楷体" w:eastAsia="楷体"/>
          <w:sz w:val="24"/>
        </w:rPr>
      </w:pPr>
      <w:r>
        <w:rPr>
          <w:rFonts w:ascii="楷体" w:hAnsi="楷体" w:eastAsia="楷体"/>
          <w:sz w:val="24"/>
        </w:rPr>
        <w:br w:type="page"/>
      </w:r>
    </w:p>
    <w:p w14:paraId="309B4D59">
      <w:pPr>
        <w:keepNext w:val="0"/>
        <w:keepLines w:val="0"/>
        <w:pageBreakBefore w:val="0"/>
        <w:widowControl w:val="0"/>
        <w:kinsoku/>
        <w:wordWrap/>
        <w:overflowPunct/>
        <w:topLinePunct w:val="0"/>
        <w:autoSpaceDE/>
        <w:autoSpaceDN/>
        <w:bidi w:val="0"/>
        <w:adjustRightInd/>
        <w:snapToGrid/>
        <w:spacing w:before="120" w:beforeLines="50" w:after="120" w:afterLines="50" w:line="440" w:lineRule="exact"/>
        <w:jc w:val="center"/>
        <w:textAlignment w:val="auto"/>
        <w:outlineLvl w:val="0"/>
        <w:rPr>
          <w:rFonts w:hint="eastAsia" w:ascii="Times New Roman" w:hAnsi="Times New Roman" w:cs="Times New Roman"/>
          <w:sz w:val="30"/>
          <w:szCs w:val="30"/>
          <w:lang w:val="en-US"/>
        </w:rPr>
      </w:pPr>
      <w:bookmarkStart w:id="5" w:name="_Toc19957"/>
      <w:bookmarkStart w:id="6" w:name="_Toc14535"/>
      <w:bookmarkStart w:id="7" w:name="_Toc961"/>
      <w:bookmarkStart w:id="8" w:name="_Toc26583"/>
      <w:r>
        <w:rPr>
          <w:rFonts w:ascii="Times New Roman" w:hAnsi="Times New Roman" w:cs="Times New Roman"/>
          <w:sz w:val="30"/>
          <w:szCs w:val="30"/>
        </w:rPr>
        <w:t>Abstract</w:t>
      </w:r>
      <w:bookmarkEnd w:id="5"/>
      <w:bookmarkEnd w:id="6"/>
      <w:bookmarkEnd w:id="7"/>
      <w:bookmarkEnd w:id="8"/>
    </w:p>
    <w:p w14:paraId="66D91914">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Based on the current situation that university counseling services involve large amounts of sensitive information, and traditional paper-based records or ordinary information systems struggle to balance privacy protection, process traceability, and accountability, leading to scattered data, weak access control, and tamper risks, this study introduces blockchain evidence preservation technology to design and implement a blockchain-based campus counseling record privacy protection and evidence preservation system, addressing the deficiencies of traditional counseling record systems in privacy protection, data traceability, and credibility, thereby improving the standardization and security of campus counseling services.</w:t>
      </w:r>
    </w:p>
    <w:p w14:paraId="083DAAE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adopts Next.js 14.2.3, TypeScript, Koa 3.1.1, MySQL 8.0 and related technologies to build a frontend-backend separated architecture, combined with JWT authentication, bcrypt password encryption, and Role-Based Access Control (RBAC). On this basis, the system implements blockchain evidence preservation through smart contracts, evidence hash generation, and on-chain confirmation. Core functional modules include registration and login, psychological assessments, counselor applications and appointments, consultation records and feedback, community forums, messaging and chat, report review, and administrative management. Key operations are automatically recorded and audited through an evidence record table, while assessment results and consultation record hashes are written on chain.</w:t>
      </w:r>
    </w:p>
    <w:p w14:paraId="7F393C5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addresses three key issues: privacy protection, data traceability, and credibility. Privacy protection is achieved through RBAC and hierarchical authorization mechanisms, ensuring that sensitive counseling records are visible only to authorized roles. Data traceability is achieved through automatic recording of key operations in the evidence record table, combined with blockchain smart contracts and on-chain evidence confirmation. Credibility and standardization are ensured through the tamper-resistant characteristics of blockchain evidence preservation and audit logs. The results show that the system improves the standardization and security of campus counseling services, supports daily counseling operations and management needs, and provides a practical technical foundation for subsequent privacy computing and consortium-chain deployment.</w:t>
      </w:r>
    </w:p>
    <w:p w14:paraId="4C10AEB8">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rPr>
        <w:t xml:space="preserve">【Key words】counseling; privacy protection; blockchain evidence; </w:t>
      </w:r>
    </w:p>
    <w:p w14:paraId="572CEBB8">
      <w:pPr>
        <w:rPr>
          <w:rFonts w:hint="eastAsia" w:ascii="楷体" w:hAnsi="楷体" w:eastAsia="楷体"/>
          <w:sz w:val="24"/>
          <w:lang w:val="en-US" w:eastAsia="zh-CN"/>
        </w:rPr>
      </w:pPr>
      <w:r>
        <w:rPr>
          <w:rFonts w:hint="eastAsia" w:ascii="楷体" w:hAnsi="楷体" w:eastAsia="楷体"/>
          <w:sz w:val="24"/>
          <w:lang w:val="en-US" w:eastAsia="zh-CN"/>
        </w:rPr>
        <w:br w:type="page"/>
      </w:r>
    </w:p>
    <w:p w14:paraId="539165A5">
      <w:pPr>
        <w:pStyle w:val="9"/>
        <w:tabs>
          <w:tab w:val="right" w:leader="dot" w:pos="8306"/>
        </w:tabs>
        <w:jc w:val="center"/>
        <w:rPr>
          <w:rFonts w:hint="eastAsia" w:ascii="黑体" w:hAnsi="黑体" w:eastAsia="黑体" w:cs="黑体"/>
          <w:sz w:val="30"/>
          <w:szCs w:val="30"/>
          <w:lang w:val="en-US"/>
        </w:rPr>
      </w:pPr>
      <w:r>
        <w:rPr>
          <w:rFonts w:hint="eastAsia" w:asciiTheme="majorEastAsia" w:hAnsiTheme="majorEastAsia" w:eastAsiaTheme="majorEastAsia" w:cstheme="majorEastAsia"/>
          <w:b/>
          <w:bCs/>
          <w:kern w:val="2"/>
          <w:sz w:val="21"/>
          <w:szCs w:val="32"/>
          <w:lang w:val="en-US" w:eastAsia="zh-CN" w:bidi="ar-SA"/>
        </w:rPr>
        <w:fldChar w:fldCharType="begin"/>
      </w:r>
      <w:r>
        <w:rPr>
          <w:rFonts w:hint="eastAsia" w:asciiTheme="majorEastAsia" w:hAnsiTheme="majorEastAsia" w:eastAsiaTheme="majorEastAsia" w:cstheme="majorEastAsia"/>
          <w:b/>
          <w:bCs/>
          <w:kern w:val="2"/>
          <w:sz w:val="21"/>
          <w:szCs w:val="32"/>
          <w:lang w:val="en-US" w:eastAsia="zh-CN" w:bidi="ar-SA"/>
        </w:rPr>
        <w:instrText xml:space="preserve">TOC \o "1-2" \h \u </w:instrText>
      </w:r>
      <w:r>
        <w:rPr>
          <w:rFonts w:hint="eastAsia" w:asciiTheme="majorEastAsia" w:hAnsiTheme="majorEastAsia" w:eastAsiaTheme="majorEastAsia" w:cstheme="majorEastAsia"/>
          <w:b/>
          <w:bCs/>
          <w:kern w:val="2"/>
          <w:sz w:val="21"/>
          <w:szCs w:val="32"/>
          <w:lang w:val="en-US" w:eastAsia="zh-CN" w:bidi="ar-SA"/>
        </w:rPr>
        <w:fldChar w:fldCharType="separate"/>
      </w:r>
      <w:r>
        <w:rPr>
          <w:rFonts w:hint="eastAsia" w:ascii="黑体" w:hAnsi="黑体" w:eastAsia="黑体" w:cs="黑体"/>
          <w:b/>
          <w:bCs/>
          <w:kern w:val="2"/>
          <w:sz w:val="30"/>
          <w:szCs w:val="30"/>
          <w:lang w:val="en-US" w:eastAsia="zh-CN" w:bidi="ar-SA"/>
        </w:rPr>
        <w:t>目   录</w:t>
      </w:r>
    </w:p>
    <w:p w14:paraId="4CE26830">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_Toc21143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 绪论</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_Toc21143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4EF5CE9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 研究背景和意义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FC36A5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1.1.1 研究背景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79A15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1.1.2 研究意义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135F01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 国内外研究现状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F505D53">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1.2.1 国内研究现状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098640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1.2.2 国外研究现状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FB044C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1.3 本文章节安排</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3922F9C">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2 技术概述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6AA8C8C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 区块链技术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1807E6F">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2.2 智能合约</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32B390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 Node.js</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7BB217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 Next.js框架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7B2593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2.5 Koa框架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332AE3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2.6 MySQL数据库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2E34251">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2.7 JWT认证</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13BBD3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lang w:val="en-US" w:eastAsia="zh-CN"/>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2.8 TypeScript</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F872AFE">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 需求分析</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3DA0119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3.1 登录与注册模块需求分析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9E9E530">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3.2 心理测评与测评存证模块需求分析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5500807">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 咨询师与预约模块需求分析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F2EEBD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 咨询记录、咨询存证与反馈模块需求分析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4BC27E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3.5 论坛社区模块需求分析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999D98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3.6 消息与聊天模块需求分析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EAC5D8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3.7 举报与审核模块需求分析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417FDB7">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_Toc21816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4 系统设计</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_Toc21816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12B783E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4.1 整体架构设计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552218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4.2 登录与注册模块系统设计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65462D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4.3 心理测评与测评存证模块系统设计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5D1CD5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4.4 咨询师与预约模块系统设计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A8DD36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4.5 咨询记录、咨询存证与反馈模块系统设计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DF9673F">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4.6 论坛社区模块系统设计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0182D8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4.7 消息与聊天模块系统设计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D27EF2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4.8 举报与审核模块系统设计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5C91A09">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_Toc20221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5 系统实现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_Toc20221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12</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45AD9DA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_Toc25084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5.1 登录与注册模块的实现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_Toc25084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1FDD96C">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5.2 心理测评与测评存证模块的实现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16</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DDA3C2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_Toc30810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5.3 咨询师与预约模块的实现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_Toc30810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9CED62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_Toc19083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5.4 咨询记录、咨询存证与反馈模块的实现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_Toc19083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E06C059">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_Toc19164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5.5 论坛社区模块的实现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_Toc19164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EEDA03C">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_Toc13936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5.6 消息与聊天模块的实现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_Toc13936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031654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_Toc31371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5.7 举报与审核模块的实现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_Toc31371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1FE8EDD">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_Toc11409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6 系统测试与评估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_Toc11409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506FD97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_Toc15208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6.1 系统测试环境</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_Toc15208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8BB204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6.2 系统模块测试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8F00AA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6.3 系统集成测试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82DFEA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6.4 性能测试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12D1F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_Toc29104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6.5 测试总结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_Toc29104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133AF26">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_Toc3091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sz w:val="28"/>
          <w:szCs w:val="28"/>
          <w:lang w:val="en-US" w:eastAsia="zh-CN"/>
        </w:rPr>
        <w:t xml:space="preserve"> 总结与展望</w:t>
      </w:r>
      <w:r>
        <w:rPr>
          <w:rFonts w:hint="eastAsia" w:asciiTheme="majorEastAsia" w:hAnsiTheme="majorEastAsia" w:eastAsiaTheme="majorEastAsia" w:cstheme="majorEastAsia"/>
          <w:b/>
          <w:bCs w:val="0"/>
          <w:sz w:val="28"/>
          <w:szCs w:val="28"/>
        </w:rPr>
        <w:tab/>
      </w:r>
      <w:r>
        <w:rPr>
          <w:rFonts w:hint="eastAsia" w:asciiTheme="majorEastAsia" w:hAnsiTheme="majorEastAsia" w:eastAsiaTheme="majorEastAsia" w:cstheme="majorEastAsia"/>
          <w:b/>
          <w:bCs w:val="0"/>
          <w:sz w:val="28"/>
          <w:szCs w:val="28"/>
        </w:rPr>
        <w:fldChar w:fldCharType="begin"/>
      </w:r>
      <w:r>
        <w:rPr>
          <w:rFonts w:hint="eastAsia" w:asciiTheme="majorEastAsia" w:hAnsiTheme="majorEastAsia" w:eastAsiaTheme="majorEastAsia" w:cstheme="majorEastAsia"/>
          <w:b/>
          <w:bCs w:val="0"/>
          <w:sz w:val="28"/>
          <w:szCs w:val="28"/>
        </w:rPr>
        <w:instrText xml:space="preserve"> PAGEREF _Toc3091 \h </w:instrText>
      </w:r>
      <w:r>
        <w:rPr>
          <w:rFonts w:hint="eastAsia" w:asciiTheme="majorEastAsia" w:hAnsiTheme="majorEastAsia" w:eastAsiaTheme="majorEastAsia" w:cstheme="majorEastAsia"/>
          <w:b/>
          <w:bCs w:val="0"/>
          <w:sz w:val="28"/>
          <w:szCs w:val="28"/>
        </w:rPr>
        <w:fldChar w:fldCharType="separate"/>
      </w:r>
      <w:r>
        <w:rPr>
          <w:rFonts w:hint="eastAsia" w:asciiTheme="majorEastAsia" w:hAnsiTheme="majorEastAsia" w:eastAsiaTheme="majorEastAsia" w:cstheme="majorEastAsia"/>
          <w:b/>
          <w:bCs w:val="0"/>
          <w:sz w:val="28"/>
          <w:szCs w:val="28"/>
        </w:rPr>
        <w:t>33</w:t>
      </w:r>
      <w:r>
        <w:rPr>
          <w:rFonts w:hint="eastAsia" w:asciiTheme="majorEastAsia" w:hAnsiTheme="majorEastAsia" w:eastAsiaTheme="majorEastAsia" w:cstheme="majorEastAsia"/>
          <w:b/>
          <w:bCs w:val="0"/>
          <w:sz w:val="28"/>
          <w:szCs w:val="28"/>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70EA5B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7.1 论文工作总结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_Toc23671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C99346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_Toc8851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7.2 存在问题与改进方向</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_Toc8851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644F9B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_Toc10387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7.3 对未来展望</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_Toc10387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529A24A">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_Toc21258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参考文献</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_Toc21258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35</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69F362F2">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default"/>
          <w:lang w:val="en-US"/>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_Toc3566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致谢</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t>36</w:t>
      </w:r>
    </w:p>
    <w:p w14:paraId="301800C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ajorEastAsia" w:hAnsiTheme="majorEastAsia" w:eastAsiaTheme="majorEastAsia" w:cstheme="majorEastAsia"/>
          <w:b/>
          <w:bCs/>
          <w:kern w:val="2"/>
          <w:sz w:val="21"/>
          <w:szCs w:val="32"/>
          <w:lang w:val="en-US" w:eastAsia="zh-CN" w:bidi="ar-SA"/>
        </w:rPr>
        <w:sectPr>
          <w:footerReference r:id="rId4" w:type="default"/>
          <w:footnotePr>
            <w:numFmt w:val="decimal"/>
          </w:footnotePr>
          <w:pgSz w:w="11906" w:h="16838"/>
          <w:pgMar w:top="1440" w:right="1800" w:bottom="1440" w:left="1800" w:header="851" w:footer="992" w:gutter="0"/>
          <w:pgNumType w:fmt="upperRoman" w:start="1"/>
          <w:cols w:space="425" w:num="1"/>
          <w:docGrid w:type="lines" w:linePitch="312" w:charSpace="0"/>
        </w:sectPr>
      </w:pPr>
      <w:r>
        <w:rPr>
          <w:rFonts w:hint="eastAsia" w:asciiTheme="majorEastAsia" w:hAnsiTheme="majorEastAsia" w:eastAsiaTheme="majorEastAsia" w:cstheme="majorEastAsia"/>
          <w:bCs/>
          <w:kern w:val="2"/>
          <w:szCs w:val="32"/>
          <w:lang w:val="en-US" w:eastAsia="zh-CN" w:bidi="ar-SA"/>
        </w:rPr>
        <w:fldChar w:fldCharType="end"/>
      </w:r>
    </w:p>
    <w:p w14:paraId="264F00B3">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Pr>
      <w:bookmarkStart w:id="9" w:name="_Toc21143"/>
      <w:bookmarkStart w:id="10" w:name="_Toc7548"/>
      <w:r>
        <w:rPr>
          <w:rFonts w:hint="eastAsia" w:asciiTheme="majorEastAsia" w:hAnsiTheme="majorEastAsia" w:eastAsiaTheme="majorEastAsia" w:cstheme="majorEastAsia"/>
          <w:b/>
          <w:bCs/>
          <w:sz w:val="30"/>
          <w:szCs w:val="30"/>
          <w:lang w:val="en-US" w:eastAsia="zh-CN"/>
        </w:rPr>
        <w:t>1 绪论</w:t>
      </w:r>
      <w:bookmarkEnd w:id="9"/>
      <w:bookmarkEnd w:id="10"/>
    </w:p>
    <w:p w14:paraId="0D4F99E7">
      <w:pPr>
        <w:keepNext w:val="0"/>
        <w:keepLines w:val="0"/>
        <w:pageBreakBefore w:val="0"/>
        <w:widowControl w:val="0"/>
        <w:numPr>
          <w:ilvl w:val="1"/>
          <w:numId w:val="2"/>
        </w:numPr>
        <w:kinsoku/>
        <w:wordWrap/>
        <w:overflowPunct/>
        <w:topLinePunct w:val="0"/>
        <w:autoSpaceDE/>
        <w:autoSpaceDN/>
        <w:bidi w:val="0"/>
        <w:adjustRightInd/>
        <w:snapToGrid/>
        <w:spacing w:line="440" w:lineRule="exact"/>
        <w:ind w:firstLine="562" w:firstLineChars="200"/>
        <w:jc w:val="left"/>
        <w:textAlignment w:val="auto"/>
        <w:outlineLvl w:val="1"/>
        <w:rPr>
          <w:rFonts w:hint="default" w:asciiTheme="majorEastAsia" w:hAnsiTheme="majorEastAsia" w:eastAsiaTheme="majorEastAsia" w:cstheme="majorEastAsia"/>
          <w:b/>
          <w:bCs/>
          <w:sz w:val="28"/>
          <w:szCs w:val="28"/>
          <w:lang w:val="en-US" w:eastAsia="zh-CN"/>
        </w:rPr>
      </w:pPr>
      <w:bookmarkStart w:id="11" w:name="_Toc16158"/>
      <w:bookmarkStart w:id="12" w:name="_Toc7410"/>
      <w:r>
        <w:rPr>
          <w:rFonts w:hint="eastAsia" w:asciiTheme="majorEastAsia" w:hAnsiTheme="majorEastAsia" w:eastAsiaTheme="majorEastAsia" w:cstheme="majorEastAsia"/>
          <w:b/>
          <w:bCs/>
          <w:sz w:val="28"/>
          <w:szCs w:val="28"/>
          <w:lang w:val="en-US" w:eastAsia="zh-CN"/>
        </w:rPr>
        <w:t xml:space="preserve"> 研究背景和意义</w:t>
      </w:r>
      <w:bookmarkEnd w:id="11"/>
      <w:bookmarkEnd w:id="12"/>
    </w:p>
    <w:p w14:paraId="151739A6">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 xml:space="preserve">1.1.1 </w:t>
      </w:r>
      <w:r>
        <w:rPr>
          <w:rFonts w:hint="eastAsia" w:asciiTheme="majorEastAsia" w:hAnsiTheme="majorEastAsia" w:eastAsiaTheme="majorEastAsia" w:cstheme="majorEastAsia"/>
          <w:b/>
          <w:bCs/>
          <w:sz w:val="28"/>
          <w:szCs w:val="28"/>
          <w:lang w:val="en-US" w:eastAsia="zh-CN"/>
        </w:rPr>
        <w:t>研究背景</w:t>
      </w:r>
    </w:p>
    <w:p w14:paraId="3821F04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bookmarkStart w:id="13" w:name="_Toc24654"/>
      <w:bookmarkStart w:id="14" w:name="_Toc16247"/>
      <w:r>
        <w:rPr>
          <w:rFonts w:hint="eastAsia" w:asciiTheme="minorEastAsia" w:hAnsiTheme="minorEastAsia" w:eastAsiaTheme="minorEastAsia" w:cstheme="minorEastAsia"/>
          <w:sz w:val="24"/>
          <w:lang w:val="en-US" w:eastAsia="zh-CN"/>
        </w:rPr>
        <w:t>大学生心理健康问题呈现高发与多样化趋势，校内心理咨询工作量持续上升。咨询过程涉及心理评估、问题描述、咨询记录、干预方案等敏感信息，任何不当访问或篡改都会对当事人权益造成伤害。传统纸质记录或普通业务系统难以满足隐私保护与可追溯的双重要求，信息分散、权限边界不清、难以审计是常见问题。</w:t>
      </w:r>
    </w:p>
    <w:p w14:paraId="07DE86C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区块链强调"不可篡改、可追溯"，与心理咨询记录的可信存证需求高度契合。但在校园场景中，直接将完整咨询内容上链并不现实，仍需要在隐私与合规之间做出权衡。因此，设计一套"链下存储+链上存证"的分层架构，并通过权限控制、数据分级、审计日志等手段保障隐私，是高校心理咨询信息化的重要方向。</w:t>
      </w:r>
    </w:p>
    <w:p w14:paraId="433463F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4"/>
          <w:szCs w:val="24"/>
          <w:lang w:val="en-US" w:eastAsia="zh-CN"/>
        </w:rPr>
        <w:t xml:space="preserve">1.1.2 </w:t>
      </w:r>
      <w:r>
        <w:rPr>
          <w:rFonts w:hint="eastAsia" w:asciiTheme="majorEastAsia" w:hAnsiTheme="majorEastAsia" w:eastAsiaTheme="majorEastAsia" w:cstheme="majorEastAsia"/>
          <w:b/>
          <w:bCs/>
          <w:sz w:val="28"/>
          <w:szCs w:val="28"/>
          <w:lang w:val="en-US" w:eastAsia="zh-CN"/>
        </w:rPr>
        <w:t>研究意义</w:t>
      </w:r>
    </w:p>
    <w:p w14:paraId="7415D16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课题面向校园心理咨询业务全流程，构建一套兼顾隐私保护与存证留痕的系统。一方面，通过统一的平台提高咨询流程效率与服务质量；另一方面，通过证据记录与链上存证机制确保关键操作可追溯，提升系统可信度与管理合规性，具有显著的现实意义与推广价值。</w:t>
      </w:r>
    </w:p>
    <w:p w14:paraId="37660DD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1.2</w:t>
      </w:r>
      <w:bookmarkEnd w:id="13"/>
      <w:bookmarkEnd w:id="14"/>
      <w:r>
        <w:rPr>
          <w:rFonts w:hint="eastAsia" w:asciiTheme="majorEastAsia" w:hAnsiTheme="majorEastAsia" w:eastAsiaTheme="majorEastAsia" w:cstheme="majorEastAsia"/>
          <w:b/>
          <w:bCs/>
          <w:sz w:val="28"/>
          <w:szCs w:val="28"/>
          <w:lang w:val="en-US" w:eastAsia="zh-CN"/>
        </w:rPr>
        <w:t xml:space="preserve"> 研究现状</w:t>
      </w:r>
    </w:p>
    <w:p w14:paraId="55F04D8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1.2.1 国内研究现状</w:t>
      </w:r>
    </w:p>
    <w:p w14:paraId="2598999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国内关于区块链与行业数据治理的研究已从单点技术探索转向“业务场景+安全机制”协同优化。姜来为[1]等提出任务感知共识与协同存储策略，说明区块链在复杂网络中的性能可通过机制优化显著提升。闫逸菲[2]等在司法电子证据场景构建了安全存管与访问控制模型，为“可追溯+可审计”提供了实现路径。杨志和[3]等从专利情报角度揭示了身份认证与数字身份技术演进趋势，表明可信身份基础设施正成为区块链应用落地的重要支撑。总体上，国内研究已覆盖性能、安全与治理多个层面，但面向校园心理咨询场景的细粒度权限联动与流程化存证仍需进一步工程化。</w:t>
      </w:r>
    </w:p>
    <w:p w14:paraId="0B1D2C2C">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1.2.2 国外研究现状</w:t>
      </w:r>
    </w:p>
    <w:p w14:paraId="0553E6B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eastAsiaTheme="minorEastAsia" w:cstheme="minorEastAsia"/>
          <w:sz w:val="24"/>
          <w:szCs w:val="24"/>
          <w:lang w:val="en-US" w:eastAsia="zh-CN"/>
        </w:rPr>
      </w:pPr>
      <w:bookmarkStart w:id="15" w:name="_Toc3346"/>
      <w:bookmarkStart w:id="16" w:name="_Toc6643"/>
      <w:r>
        <w:rPr>
          <w:rFonts w:hint="eastAsia" w:asciiTheme="minorEastAsia" w:hAnsiTheme="minorEastAsia" w:eastAsiaTheme="minorEastAsia" w:cstheme="minorEastAsia"/>
          <w:sz w:val="24"/>
          <w:szCs w:val="24"/>
          <w:lang w:val="en-US" w:eastAsia="zh-CN"/>
        </w:rPr>
        <w:t>国外研究更强调心理健康数字干预的实证效果与可解释预测。Wani[4]等指出心理因素与学业表现存在显著关联，提示了测评与干预协同建模的必要性。Dhanaraj[5]等通过准实验验证生活技能训练可改善大学生心理韧性与情绪调节，支持将结构化干预纳入高校心理服务流程。Kiwinga[6]等的横断面研究进一步表明支持性环境是心理韧性的关键变量之一。总体来看，国外研究在干预有效性与预测模型方面较成熟，但针对校园咨询场景中的权限分级与存证审计协同，仍有较大本地化设计空间。</w:t>
      </w:r>
    </w:p>
    <w:p w14:paraId="616EC78A">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1.3 研究内容与目标</w:t>
      </w:r>
      <w:bookmarkEnd w:id="15"/>
      <w:bookmarkEnd w:id="16"/>
    </w:p>
    <w:p w14:paraId="409E90D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bookmarkStart w:id="17" w:name="_Toc18189"/>
      <w:bookmarkStart w:id="18" w:name="_Toc5883"/>
      <w:r>
        <w:rPr>
          <w:rFonts w:hint="eastAsia" w:asciiTheme="minorEastAsia" w:hAnsiTheme="minorEastAsia" w:eastAsiaTheme="minorEastAsia" w:cstheme="minorEastAsia"/>
          <w:sz w:val="24"/>
          <w:szCs w:val="24"/>
          <w:lang w:val="en-US" w:eastAsia="zh-CN"/>
        </w:rPr>
        <w:t>本研究以校园心理咨询业务为核心，围绕"隐私保护+存证留痕"展开，主要内容与目标包括：梳理校园心理咨询业务流程，明确普通用户、心理咨询师与管理员的职责边界与数据访问需求；设计多角色系统架构，前端采用组件化方式实现分角色界面，后端提供统一业务接口与权限控制；构建心理测评、咨询师申请与预约、咨询记录与反馈、论坛社区、消息与聊天、举报审核等功能模块，满足校园心理服务的完整闭环；设计存证记录与审计机制，确保关键操作过程可追溯，并设计链上存证流程，使关键业务数据摘要能够写入区块链；完成系统测试与评估，验证功能正确性与可用性，为后续迭代提供依据。</w:t>
      </w:r>
    </w:p>
    <w:p w14:paraId="496327B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7D44F10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50A9C8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39D2D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59D3C6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4254F4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027C32D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0669179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61C72FB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51BD5C2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49677D7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15B9CB2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11AF809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B799ED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bookmarkEnd w:id="17"/>
    <w:bookmarkEnd w:id="18"/>
    <w:p w14:paraId="025F6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 xml:space="preserve">2 </w:t>
      </w:r>
      <w:r>
        <w:rPr>
          <w:rFonts w:hint="eastAsia" w:asciiTheme="majorEastAsia" w:hAnsiTheme="majorEastAsia" w:eastAsiaTheme="majorEastAsia" w:cstheme="majorEastAsia"/>
          <w:b/>
          <w:bCs/>
          <w:sz w:val="28"/>
          <w:szCs w:val="28"/>
          <w:lang w:val="en-US" w:eastAsia="zh-CN"/>
        </w:rPr>
        <w:t>技术概述</w:t>
      </w:r>
    </w:p>
    <w:p w14:paraId="4B7D14DB">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2.1 区块链技术</w:t>
      </w:r>
    </w:p>
    <w:p w14:paraId="2C22E00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sz w:val="24"/>
          <w:szCs w:val="24"/>
          <w:lang w:val="en-US" w:eastAsia="zh-CN"/>
        </w:rPr>
      </w:pPr>
      <w:r>
        <w:rPr>
          <w:rFonts w:hint="eastAsia"/>
          <w:sz w:val="24"/>
          <w:szCs w:val="24"/>
          <w:lang w:val="en-US" w:eastAsia="zh-CN"/>
        </w:rPr>
        <w:t>区块链是一种分布式账本技术，通过去中心化、不可篡改、可追溯等特性确保数据的安全性和可信度。在本系统中，区块链技术主要用于心理咨询记录与心理测评结果的存证留痕，解决传统心理咨询系统记录可篡改、难以追溯的问题。系统对预约、咨询记录、反馈、论坛内容、举报等关键操作生成存证记录，并通过链下存储原文、链上保存摘要哈希的方式实现关键数据的存证。该分层存证机制既保留了区块链在可信留痕和可追溯方面的优势，又避免将敏感咨询原文直接写入链上，从而兼顾隐私保护与可信存证需求，该设计与区块链服务安全及频谱共享研究中的可信协同思路一致[7][8]。</w:t>
      </w:r>
    </w:p>
    <w:p w14:paraId="73DDC53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2.2 智能合约</w:t>
      </w:r>
    </w:p>
    <w:p w14:paraId="4DB26E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智能合约与AI协同治理的工程经验也表明，将规则执行逻辑前置到链上有助于提升数据处理透明度与合规性[9]。</w:t>
      </w:r>
    </w:p>
    <w:p w14:paraId="1D0BF0E1">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2.3 Node.js</w:t>
      </w:r>
    </w:p>
    <w:p w14:paraId="2D5C8E2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该类高并发业务处理模式与供应链溯源系统中对实时响应与多方协同的要求具有一致性[10]。</w:t>
      </w:r>
    </w:p>
    <w:p w14:paraId="7EC69C9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2.4 Next.js框架</w:t>
      </w:r>
    </w:p>
    <w:p w14:paraId="44252E6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在多主体参与平台建设中，前端可用性与交互一致性同样是系统落地的重要因素[11]。</w:t>
      </w:r>
    </w:p>
    <w:p w14:paraId="4B466F0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2.5 Koa框架</w:t>
      </w:r>
    </w:p>
    <w:p w14:paraId="3DFDDC2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分层治理与差异化权限控制思路也与数字资产监管研究中的策略调适方向相契合[12]。</w:t>
      </w:r>
    </w:p>
    <w:p w14:paraId="061B36F4">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2.6 MySQL数据库</w:t>
      </w:r>
    </w:p>
    <w:p w14:paraId="4648171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数据库层对流程决策数据的稳定支撑，也与供应链减排决策系统中的数据一致性需求保持一致[13]。</w:t>
      </w:r>
    </w:p>
    <w:p w14:paraId="44A66C6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2.7 JWT认证</w:t>
      </w:r>
    </w:p>
    <w:p w14:paraId="64D845D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在高敏感业务中，这种认证机制对跨组织可信协作同样具有基础支撑作用[14]。</w:t>
      </w:r>
    </w:p>
    <w:p w14:paraId="22F62CA7">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2.8 TypeScript</w:t>
      </w:r>
    </w:p>
    <w:p w14:paraId="3111FDE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从心理服务系统的人机交互视角看，类型安全也有助于提升评估流程的稳定性与可解释呈现[15]。</w:t>
      </w:r>
    </w:p>
    <w:p w14:paraId="3B5CF82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0E8C20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D0960D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E17306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E10E33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7DA87B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2F7528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8F5BC7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BB6027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99830E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F41E79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C2A31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371196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CB3516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FB63E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CCEB1D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C9AF4C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2D3EEA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14DB9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0CCAEA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40CF06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703853C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EE18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30"/>
          <w:szCs w:val="30"/>
          <w:lang w:val="en-US" w:eastAsia="zh-CN"/>
        </w:rPr>
        <w:t xml:space="preserve">3 </w:t>
      </w:r>
      <w:r>
        <w:rPr>
          <w:rFonts w:hint="eastAsia" w:asciiTheme="majorEastAsia" w:hAnsiTheme="majorEastAsia" w:eastAsiaTheme="majorEastAsia" w:cstheme="majorEastAsia"/>
          <w:b/>
          <w:bCs/>
          <w:sz w:val="28"/>
          <w:szCs w:val="28"/>
          <w:lang w:val="en-US" w:eastAsia="zh-CN"/>
        </w:rPr>
        <w:t>需求分析</w:t>
      </w:r>
    </w:p>
    <w:p w14:paraId="0E6897C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3.1 登录与注册</w:t>
      </w:r>
    </w:p>
    <w:p w14:paraId="20908DC4">
      <w:pPr>
        <w:bidi w:val="0"/>
        <w:rPr>
          <w:rFonts w:hint="eastAsia" w:asciiTheme="minorEastAsia" w:hAnsiTheme="minorEastAsia" w:eastAsiaTheme="minorEastAsia" w:cstheme="minorEastAsia"/>
          <w:kern w:val="2"/>
          <w:sz w:val="24"/>
          <w:szCs w:val="24"/>
          <w:lang w:val="en-US" w:eastAsia="zh-CN" w:bidi="ar-SA"/>
        </w:rPr>
      </w:pPr>
      <w:r>
        <w:rPr>
          <w:rFonts w:hint="eastAsia"/>
          <w:sz w:val="24"/>
          <w:szCs w:val="24"/>
          <w:lang w:val="en-US" w:eastAsia="zh-CN"/>
        </w:rPr>
        <w:t>系统需支持 QQ 邮箱注册、登录、找回密码与个人资料维护。注册时需校验学号/工号白名单并自动识别角色。用户可完善昵称、性别、专业、年级与头像信息，并在权限范围内查看个人咨询相关记录。系统采用身份白名单机制，仅允许白名单内的学号/工号注册，默认角色为普通用户或管理员，心理咨询师身份需通过申请审核获得。如图3-1所示，该需求与教育数字化平台建设及交管数据安全共享中的身份治理思路一致[16][17]</w:t>
      </w:r>
      <w:r>
        <w:rPr>
          <w:rFonts w:hint="eastAsia" w:asciiTheme="minorEastAsia" w:hAnsiTheme="minorEastAsia" w:eastAsiaTheme="minorEastAsia" w:cstheme="minorEastAsia"/>
          <w:kern w:val="2"/>
          <w:sz w:val="24"/>
          <w:szCs w:val="24"/>
          <w:lang w:val="en-US" w:eastAsia="zh-CN" w:bidi="ar-SA"/>
        </w:rPr>
        <w:t>。</w:t>
      </w:r>
    </w:p>
    <w:p w14:paraId="7EAA62AB">
      <w:pPr>
        <w:pStyle w:val="3"/>
        <w:jc w:val="center"/>
      </w:pPr>
      <w:r>
        <w:drawing>
          <wp:inline distT="0" distB="0" distL="114300" distR="114300">
            <wp:extent cx="5291455" cy="536956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91455" cy="5369560"/>
                    </a:xfrm>
                    <a:prstGeom prst="rect">
                      <a:avLst/>
                    </a:prstGeom>
                    <a:noFill/>
                    <a:ln>
                      <a:noFill/>
                    </a:ln>
                  </pic:spPr>
                </pic:pic>
              </a:graphicData>
            </a:graphic>
          </wp:inline>
        </w:drawing>
      </w:r>
    </w:p>
    <w:p w14:paraId="4DE672A1">
      <w:pPr>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1 登录与注册</w:t>
      </w:r>
      <w:r>
        <w:rPr>
          <w:rFonts w:hint="eastAsia" w:ascii="宋体" w:hAnsi="宋体" w:eastAsia="宋体"/>
          <w:sz w:val="18"/>
          <w:szCs w:val="18"/>
        </w:rPr>
        <w:t>用例图</w:t>
      </w:r>
    </w:p>
    <w:p w14:paraId="0FEAB4ED">
      <w:pPr>
        <w:pStyle w:val="3"/>
        <w:jc w:val="center"/>
        <w:rPr>
          <w:rFonts w:hint="default" w:asciiTheme="minorEastAsia" w:hAnsiTheme="minorEastAsia" w:eastAsiaTheme="minorEastAsia" w:cstheme="minorEastAsia"/>
          <w:kern w:val="2"/>
          <w:sz w:val="24"/>
          <w:szCs w:val="24"/>
          <w:lang w:val="en-US" w:eastAsia="zh-CN" w:bidi="ar-SA"/>
        </w:rPr>
      </w:pPr>
    </w:p>
    <w:p w14:paraId="7AD8E50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3.2 心理测评与测评存证</w:t>
      </w:r>
    </w:p>
    <w:p w14:paraId="35A9DA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cstheme="minorBidi"/>
          <w:kern w:val="2"/>
          <w:sz w:val="24"/>
          <w:szCs w:val="24"/>
          <w:lang w:val="en-US" w:eastAsia="zh-CN" w:bidi="ar-SA"/>
        </w:rPr>
        <w:t>系统提供多种心理测评量表，包括情绪状态评估、焦虑与紧张评估、压力负荷评估、睡眠质量评估、社交能力评估等类型。支持题目滚动加载、自动计分与结果展示，允许用户查看历史测评记录，并确保测评结果仅在站内授权范围内可见。测评结果生成后，系统需自动创建测评存证记录，并对测评结果按固定字段生成哈希；当链上环境已配置时，系统应完成测评结果摘要哈希上链并保存交易哈希、区块高度、合约地址、修订版本等存证信息，便于后续审计与核验。如图3-2所</w:t>
      </w:r>
      <w:r>
        <w:rPr>
          <w:rFonts w:hint="eastAsia" w:asciiTheme="minorEastAsia" w:hAnsiTheme="minorEastAsia" w:eastAsiaTheme="minorEastAsia" w:cstheme="minorEastAsia"/>
          <w:kern w:val="2"/>
          <w:sz w:val="24"/>
          <w:szCs w:val="24"/>
          <w:lang w:val="en-US" w:eastAsia="zh-CN" w:bidi="ar-SA"/>
        </w:rPr>
        <w:t>示</w:t>
      </w:r>
    </w:p>
    <w:p w14:paraId="7B8FC49E">
      <w:pPr>
        <w:pStyle w:val="3"/>
        <w:jc w:val="center"/>
        <w:rPr>
          <w:rFonts w:hint="eastAsia" w:ascii="宋体" w:hAnsi="宋体" w:eastAsia="宋体"/>
          <w:sz w:val="18"/>
          <w:szCs w:val="18"/>
        </w:rPr>
      </w:pPr>
      <w:r>
        <w:drawing>
          <wp:inline distT="0" distB="0" distL="114300" distR="114300">
            <wp:extent cx="5291455" cy="535686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91455" cy="5356860"/>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2 心理测评用</w:t>
      </w:r>
      <w:r>
        <w:rPr>
          <w:rFonts w:hint="eastAsia" w:ascii="宋体" w:hAnsi="宋体" w:eastAsia="宋体"/>
          <w:sz w:val="18"/>
          <w:szCs w:val="18"/>
        </w:rPr>
        <w:t>例图</w:t>
      </w:r>
    </w:p>
    <w:p w14:paraId="3D4FC864">
      <w:pPr>
        <w:rPr>
          <w:rFonts w:hint="eastAsia"/>
          <w:lang w:val="en-US" w:eastAsia="zh-CN"/>
        </w:rPr>
      </w:pPr>
    </w:p>
    <w:p w14:paraId="08660D8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3.3 咨询师与预约</w:t>
      </w:r>
    </w:p>
    <w:p w14:paraId="3EC735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心理咨询师需提交资质申请并上传附件，由管理员审核后才能开通咨询师权限。咨询师可设置可预约时段、服务方式（线上/线下/混合）与地点，并管理档期状态。档期支持可用、已预约、已取消等状态流转，咨询师仅可提前撤销本人尚未被预约的可预约时段，不能临时拒接已预约的咨询；已预约咨询仅允许来访者发起取消。如图3-3所</w:t>
      </w:r>
      <w:r>
        <w:rPr>
          <w:rFonts w:hint="eastAsia" w:asciiTheme="minorEastAsia" w:hAnsiTheme="minorEastAsia" w:eastAsiaTheme="minorEastAsia" w:cstheme="minorEastAsia"/>
          <w:kern w:val="2"/>
          <w:sz w:val="24"/>
          <w:szCs w:val="24"/>
          <w:lang w:val="en-US" w:eastAsia="zh-CN" w:bidi="ar-SA"/>
        </w:rPr>
        <w:t>示</w:t>
      </w:r>
    </w:p>
    <w:p w14:paraId="5AC92E2A">
      <w:pPr>
        <w:pStyle w:val="3"/>
        <w:jc w:val="center"/>
        <w:rPr>
          <w:rFonts w:hint="eastAsia" w:ascii="宋体" w:hAnsi="宋体" w:eastAsia="宋体"/>
          <w:sz w:val="18"/>
          <w:szCs w:val="18"/>
        </w:rPr>
      </w:pPr>
      <w:r>
        <w:drawing>
          <wp:inline distT="0" distB="0" distL="114300" distR="114300">
            <wp:extent cx="5292725" cy="509460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9272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3 咨询师与预约</w:t>
      </w:r>
      <w:r>
        <w:rPr>
          <w:rFonts w:hint="eastAsia" w:ascii="宋体" w:hAnsi="宋体" w:eastAsia="宋体"/>
          <w:sz w:val="18"/>
          <w:szCs w:val="18"/>
        </w:rPr>
        <w:t>用例图</w:t>
      </w:r>
    </w:p>
    <w:p w14:paraId="6B379A82">
      <w:pPr>
        <w:rPr>
          <w:rFonts w:hint="default"/>
          <w:lang w:val="en-US" w:eastAsia="zh-CN"/>
        </w:rPr>
      </w:pPr>
    </w:p>
    <w:p w14:paraId="619BB4B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3.4 咨询记录、咨询存证与反馈</w:t>
      </w:r>
    </w:p>
    <w:p w14:paraId="4E84C9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咨询记录、咨询存证与反馈模块覆盖会谈后的记录填写、摘要存证与满意度反馈流程。心理咨询师在预约完成后录入咨询摘要、问题分类、测评结论、干预建议、作业与跟进计划，并可标记危机情况；记录与预约绑定，仅对来访者本人、负责心理咨询师与管理员可见。咨询记录提交后，系统需自动创建咨询存证记录，对咨询记录摘要生成哈希，并在链上环境已配置时完成咨询摘要哈希上链，同时保存交易哈希、区块高度、合约地址和修订版本等信息。来访者在预约完成后提交1-5分评分、文字意见与点赞反馈，便于审计、统计与核验。如图3-4所示</w:t>
      </w:r>
    </w:p>
    <w:p w14:paraId="252B35B1">
      <w:pPr>
        <w:pStyle w:val="3"/>
        <w:jc w:val="center"/>
      </w:pPr>
      <w:r>
        <w:drawing>
          <wp:inline distT="0" distB="0" distL="114300" distR="114300">
            <wp:extent cx="5283200" cy="340296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283200" cy="3402965"/>
                    </a:xfrm>
                    <a:prstGeom prst="rect">
                      <a:avLst/>
                    </a:prstGeom>
                    <a:noFill/>
                    <a:ln>
                      <a:noFill/>
                    </a:ln>
                  </pic:spPr>
                </pic:pic>
              </a:graphicData>
            </a:graphic>
          </wp:inline>
        </w:drawing>
      </w:r>
    </w:p>
    <w:p w14:paraId="0F61CA0A">
      <w:pPr>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4 咨询记录与反馈用</w:t>
      </w:r>
      <w:r>
        <w:rPr>
          <w:rFonts w:hint="eastAsia" w:ascii="宋体" w:hAnsi="宋体" w:eastAsia="宋体"/>
          <w:sz w:val="18"/>
          <w:szCs w:val="18"/>
        </w:rPr>
        <w:t>例图</w:t>
      </w:r>
    </w:p>
    <w:p w14:paraId="06B20BE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C46A4B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3.5 论坛社区</w:t>
      </w:r>
    </w:p>
    <w:p w14:paraId="1AC7BC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提供社区讨论与互助功能，用户可发布帖子、评论与点赞，支持一级与二级评论结构。帖子需经过管理员审核后展示，杜绝匿名发布，确保内容可追溯。评论和聊天可以实时发送，但帖子发布需要审核，以保护心理敏感人群。用户可对帖子、评论或用户进行举报，提交文字说明与附件。管理员统一审核处理并记录处理结果，包括封禁账号、删除恶意评论、处理心理师态度问题等。举报创建时自动生成存证记录，处理结果通知举报人。</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5</w:t>
      </w:r>
      <w:r>
        <w:rPr>
          <w:rFonts w:hint="eastAsia" w:asciiTheme="minorEastAsia" w:hAnsiTheme="minorEastAsia" w:eastAsiaTheme="minorEastAsia" w:cstheme="minorEastAsia"/>
          <w:kern w:val="2"/>
          <w:sz w:val="24"/>
          <w:szCs w:val="24"/>
          <w:lang w:val="en-US" w:eastAsia="zh-CN" w:bidi="ar-SA"/>
        </w:rPr>
        <w:t>所示</w:t>
      </w:r>
    </w:p>
    <w:p w14:paraId="2564FF71">
      <w:pPr>
        <w:pStyle w:val="3"/>
        <w:jc w:val="center"/>
      </w:pPr>
      <w:r>
        <w:drawing>
          <wp:inline distT="0" distB="0" distL="114300" distR="114300">
            <wp:extent cx="5291455" cy="346646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4"/>
                    <a:stretch>
                      <a:fillRect/>
                    </a:stretch>
                  </pic:blipFill>
                  <pic:spPr>
                    <a:xfrm>
                      <a:off x="0" y="0"/>
                      <a:ext cx="5291455" cy="346646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5 论坛社区用</w:t>
      </w:r>
      <w:r>
        <w:rPr>
          <w:rFonts w:hint="eastAsia" w:ascii="宋体" w:hAnsi="宋体" w:eastAsia="宋体"/>
          <w:sz w:val="18"/>
          <w:szCs w:val="18"/>
        </w:rPr>
        <w:t>例图</w:t>
      </w:r>
    </w:p>
    <w:p w14:paraId="057651BC">
      <w:pPr>
        <w:pStyle w:val="3"/>
        <w:jc w:val="center"/>
        <w:rPr>
          <w:rFonts w:hint="default" w:asciiTheme="minorEastAsia" w:hAnsiTheme="minorEastAsia" w:eastAsiaTheme="minorEastAsia" w:cstheme="minorEastAsia"/>
          <w:kern w:val="2"/>
          <w:sz w:val="24"/>
          <w:szCs w:val="24"/>
          <w:lang w:val="en-US" w:eastAsia="zh-CN" w:bidi="ar-SA"/>
        </w:rPr>
      </w:pPr>
    </w:p>
    <w:p w14:paraId="24089A1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47A944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3.6 消息与聊天</w:t>
      </w:r>
    </w:p>
    <w:p w14:paraId="5BF1BF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需实现站内消息与即时聊天，支持系统消息、好友消息与好友申请。聊天记录采用滚动加载机制，支持撤回与删除操作，并在消息列表提示未读数量。消息中心统一管理各类通知，包括预约结果、提醒、举报处理结果等。</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6</w:t>
      </w:r>
      <w:r>
        <w:rPr>
          <w:rFonts w:hint="eastAsia" w:asciiTheme="minorEastAsia" w:hAnsiTheme="minorEastAsia" w:eastAsiaTheme="minorEastAsia" w:cstheme="minorEastAsia"/>
          <w:kern w:val="2"/>
          <w:sz w:val="24"/>
          <w:szCs w:val="24"/>
          <w:lang w:val="en-US" w:eastAsia="zh-CN" w:bidi="ar-SA"/>
        </w:rPr>
        <w:t>所示</w:t>
      </w:r>
    </w:p>
    <w:p w14:paraId="37195D91">
      <w:pPr>
        <w:jc w:val="center"/>
        <w:rPr>
          <w:rFonts w:hint="default"/>
          <w:lang w:val="en-US" w:eastAsia="zh-CN"/>
        </w:rPr>
      </w:pPr>
      <w:r>
        <w:drawing>
          <wp:inline distT="0" distB="0" distL="114300" distR="114300">
            <wp:extent cx="5292725" cy="509460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5"/>
                    <a:stretch>
                      <a:fillRect/>
                    </a:stretch>
                  </pic:blipFill>
                  <pic:spPr>
                    <a:xfrm>
                      <a:off x="0" y="0"/>
                      <a:ext cx="529272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6 消息与聊天</w:t>
      </w:r>
      <w:r>
        <w:rPr>
          <w:rFonts w:hint="eastAsia" w:ascii="宋体" w:hAnsi="宋体" w:eastAsia="宋体"/>
          <w:sz w:val="18"/>
          <w:szCs w:val="18"/>
        </w:rPr>
        <w:t>用例图</w:t>
      </w:r>
    </w:p>
    <w:p w14:paraId="28FA992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default" w:asciiTheme="minorHAnsi" w:hAnsiTheme="minorHAnsi" w:eastAsiaTheme="minorEastAsia" w:cstheme="minorBidi"/>
          <w:kern w:val="2"/>
          <w:sz w:val="24"/>
          <w:szCs w:val="24"/>
          <w:lang w:val="en-US" w:eastAsia="zh-CN" w:bidi="ar-SA"/>
        </w:rPr>
      </w:pPr>
    </w:p>
    <w:p w14:paraId="0F9CA4D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3.7 举报与审核</w:t>
      </w:r>
    </w:p>
    <w:p w14:paraId="7782C7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管理员可进行咨询师审核（审核资质、授权上岗）、内容审核（论坛帖子审核）、举报处理、数据统计（预约量、完成率、满意度、问题分类分布、测评结果分布、危机事件统计）与公告发布，并具备重置密码与禁用账号的权限。</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7</w:t>
      </w:r>
      <w:r>
        <w:rPr>
          <w:rFonts w:hint="eastAsia" w:asciiTheme="minorEastAsia" w:hAnsiTheme="minorEastAsia" w:eastAsiaTheme="minorEastAsia" w:cstheme="minorEastAsia"/>
          <w:kern w:val="2"/>
          <w:sz w:val="24"/>
          <w:szCs w:val="24"/>
          <w:lang w:val="en-US" w:eastAsia="zh-CN" w:bidi="ar-SA"/>
        </w:rPr>
        <w:t>所示</w:t>
      </w:r>
    </w:p>
    <w:p w14:paraId="2726CA22">
      <w:pPr>
        <w:pStyle w:val="3"/>
        <w:jc w:val="center"/>
        <w:rPr>
          <w:rFonts w:hint="eastAsia" w:ascii="宋体" w:hAnsi="宋体" w:eastAsia="宋体"/>
          <w:sz w:val="18"/>
          <w:szCs w:val="18"/>
        </w:rPr>
      </w:pPr>
      <w:r>
        <w:drawing>
          <wp:inline distT="0" distB="0" distL="114300" distR="114300">
            <wp:extent cx="5288915" cy="5094605"/>
            <wp:effectExtent l="0" t="0" r="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6"/>
                    <a:stretch>
                      <a:fillRect/>
                    </a:stretch>
                  </pic:blipFill>
                  <pic:spPr>
                    <a:xfrm>
                      <a:off x="0" y="0"/>
                      <a:ext cx="528891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7 举报与审核</w:t>
      </w:r>
      <w:r>
        <w:rPr>
          <w:rFonts w:hint="eastAsia" w:ascii="宋体" w:hAnsi="宋体" w:eastAsia="宋体"/>
          <w:sz w:val="18"/>
          <w:szCs w:val="18"/>
        </w:rPr>
        <w:t>用例图</w:t>
      </w:r>
      <w:bookmarkStart w:id="19" w:name="_Toc11195"/>
      <w:bookmarkStart w:id="20" w:name="_Toc22714"/>
    </w:p>
    <w:p w14:paraId="7A0694D4">
      <w:pPr>
        <w:rPr>
          <w:rFonts w:hint="eastAsia"/>
          <w:lang w:val="en-US" w:eastAsia="zh-CN"/>
        </w:rPr>
      </w:pPr>
    </w:p>
    <w:bookmarkEnd w:id="19"/>
    <w:bookmarkEnd w:id="20"/>
    <w:p w14:paraId="74A67CBD">
      <w:pPr>
        <w:rPr>
          <w:rFonts w:hint="eastAsia" w:ascii="宋体" w:hAnsi="宋体" w:eastAsia="宋体"/>
          <w:sz w:val="18"/>
          <w:szCs w:val="18"/>
        </w:rPr>
      </w:pPr>
    </w:p>
    <w:p w14:paraId="09D01DD2">
      <w:pPr>
        <w:rPr>
          <w:rFonts w:hint="eastAsia" w:ascii="宋体" w:hAnsi="宋体" w:eastAsia="宋体"/>
          <w:sz w:val="18"/>
          <w:szCs w:val="18"/>
        </w:rPr>
      </w:pPr>
    </w:p>
    <w:p w14:paraId="279AF704">
      <w:pPr>
        <w:rPr>
          <w:rFonts w:hint="eastAsia" w:ascii="宋体" w:hAnsi="宋体" w:eastAsia="宋体"/>
          <w:sz w:val="18"/>
          <w:szCs w:val="18"/>
        </w:rPr>
      </w:pPr>
    </w:p>
    <w:p w14:paraId="6AA2E4E9">
      <w:pPr>
        <w:rPr>
          <w:rFonts w:hint="eastAsia" w:ascii="宋体" w:hAnsi="宋体" w:eastAsia="宋体"/>
          <w:sz w:val="18"/>
          <w:szCs w:val="18"/>
        </w:rPr>
      </w:pPr>
    </w:p>
    <w:p w14:paraId="418E62A7">
      <w:pPr>
        <w:rPr>
          <w:rFonts w:hint="eastAsia" w:ascii="宋体" w:hAnsi="宋体" w:eastAsia="宋体"/>
          <w:sz w:val="18"/>
          <w:szCs w:val="18"/>
        </w:rPr>
      </w:pPr>
    </w:p>
    <w:p w14:paraId="56E8515E">
      <w:pPr>
        <w:rPr>
          <w:rFonts w:hint="eastAsia" w:ascii="宋体" w:hAnsi="宋体" w:eastAsia="宋体"/>
          <w:sz w:val="18"/>
          <w:szCs w:val="18"/>
        </w:rPr>
      </w:pPr>
    </w:p>
    <w:p w14:paraId="329C0845">
      <w:pPr>
        <w:rPr>
          <w:rFonts w:hint="eastAsia" w:ascii="宋体" w:hAnsi="宋体" w:eastAsia="宋体"/>
          <w:sz w:val="18"/>
          <w:szCs w:val="18"/>
        </w:rPr>
      </w:pPr>
    </w:p>
    <w:p w14:paraId="143DA367">
      <w:pPr>
        <w:rPr>
          <w:rFonts w:hint="eastAsia" w:ascii="宋体" w:hAnsi="宋体" w:eastAsia="宋体"/>
          <w:sz w:val="18"/>
          <w:szCs w:val="18"/>
        </w:rPr>
      </w:pPr>
    </w:p>
    <w:p w14:paraId="0EB6858B">
      <w:pPr>
        <w:rPr>
          <w:rFonts w:hint="eastAsia" w:ascii="宋体" w:hAnsi="宋体" w:eastAsia="宋体"/>
          <w:sz w:val="18"/>
          <w:szCs w:val="18"/>
        </w:rPr>
      </w:pPr>
    </w:p>
    <w:p w14:paraId="61BE2450">
      <w:pPr>
        <w:rPr>
          <w:rFonts w:hint="eastAsia" w:ascii="宋体" w:hAnsi="宋体" w:eastAsia="宋体"/>
          <w:sz w:val="18"/>
          <w:szCs w:val="18"/>
        </w:rPr>
      </w:pPr>
    </w:p>
    <w:p w14:paraId="03670602">
      <w:pPr>
        <w:rPr>
          <w:rFonts w:hint="eastAsia" w:ascii="宋体" w:hAnsi="宋体" w:eastAsia="宋体"/>
          <w:sz w:val="18"/>
          <w:szCs w:val="18"/>
        </w:rPr>
      </w:pPr>
    </w:p>
    <w:p w14:paraId="1D1C62DE">
      <w:pPr>
        <w:rPr>
          <w:rFonts w:hint="eastAsia" w:ascii="宋体" w:hAnsi="宋体" w:eastAsia="宋体"/>
          <w:sz w:val="18"/>
          <w:szCs w:val="18"/>
        </w:rPr>
      </w:pPr>
    </w:p>
    <w:p w14:paraId="492B6DBE">
      <w:pPr>
        <w:rPr>
          <w:rFonts w:hint="eastAsia" w:ascii="宋体" w:hAnsi="宋体" w:eastAsia="宋体"/>
          <w:sz w:val="18"/>
          <w:szCs w:val="18"/>
        </w:rPr>
      </w:pPr>
    </w:p>
    <w:p w14:paraId="1E43B766">
      <w:pPr>
        <w:rPr>
          <w:rFonts w:hint="eastAsia" w:ascii="宋体" w:hAnsi="宋体" w:eastAsia="宋体"/>
          <w:sz w:val="18"/>
          <w:szCs w:val="18"/>
        </w:rPr>
      </w:pPr>
    </w:p>
    <w:p w14:paraId="21BA60B8">
      <w:pPr>
        <w:rPr>
          <w:rFonts w:hint="eastAsia" w:ascii="宋体" w:hAnsi="宋体" w:eastAsia="宋体"/>
          <w:sz w:val="18"/>
          <w:szCs w:val="18"/>
        </w:rPr>
      </w:pPr>
    </w:p>
    <w:p w14:paraId="67D3C658">
      <w:pPr>
        <w:rPr>
          <w:rFonts w:hint="eastAsia" w:ascii="宋体" w:hAnsi="宋体" w:eastAsia="宋体"/>
          <w:sz w:val="18"/>
          <w:szCs w:val="18"/>
        </w:rPr>
      </w:pPr>
    </w:p>
    <w:p w14:paraId="208C0A6E">
      <w:pPr>
        <w:rPr>
          <w:rFonts w:hint="eastAsia" w:ascii="宋体" w:hAnsi="宋体" w:eastAsia="宋体"/>
          <w:sz w:val="18"/>
          <w:szCs w:val="18"/>
        </w:rPr>
      </w:pPr>
    </w:p>
    <w:p w14:paraId="2852853D">
      <w:pPr>
        <w:rPr>
          <w:rFonts w:hint="eastAsia" w:ascii="宋体" w:hAnsi="宋体" w:eastAsia="宋体"/>
          <w:sz w:val="18"/>
          <w:szCs w:val="18"/>
        </w:rPr>
      </w:pPr>
    </w:p>
    <w:p w14:paraId="29691AA5">
      <w:pPr>
        <w:rPr>
          <w:rFonts w:hint="eastAsia" w:ascii="宋体" w:hAnsi="宋体" w:eastAsia="宋体"/>
          <w:sz w:val="18"/>
          <w:szCs w:val="18"/>
        </w:rPr>
      </w:pPr>
    </w:p>
    <w:p w14:paraId="52705384">
      <w:pPr>
        <w:rPr>
          <w:rFonts w:hint="eastAsia" w:ascii="宋体" w:hAnsi="宋体" w:eastAsia="宋体"/>
          <w:sz w:val="18"/>
          <w:szCs w:val="18"/>
        </w:rPr>
      </w:pPr>
    </w:p>
    <w:p w14:paraId="5474750B">
      <w:pPr>
        <w:rPr>
          <w:rFonts w:hint="eastAsia" w:ascii="宋体" w:hAnsi="宋体" w:eastAsia="宋体"/>
          <w:sz w:val="18"/>
          <w:szCs w:val="18"/>
        </w:rPr>
      </w:pPr>
    </w:p>
    <w:p w14:paraId="1A1798E9">
      <w:pPr>
        <w:rPr>
          <w:rFonts w:hint="eastAsia" w:ascii="宋体" w:hAnsi="宋体" w:eastAsia="宋体"/>
          <w:sz w:val="18"/>
          <w:szCs w:val="18"/>
        </w:rPr>
      </w:pPr>
    </w:p>
    <w:p w14:paraId="6B4AFD78">
      <w:pPr>
        <w:rPr>
          <w:rFonts w:hint="eastAsia" w:ascii="宋体" w:hAnsi="宋体" w:eastAsia="宋体"/>
          <w:sz w:val="18"/>
          <w:szCs w:val="18"/>
        </w:rPr>
      </w:pPr>
    </w:p>
    <w:p w14:paraId="714A2229">
      <w:pPr>
        <w:rPr>
          <w:rFonts w:hint="eastAsia" w:ascii="宋体" w:hAnsi="宋体" w:eastAsia="宋体"/>
          <w:sz w:val="18"/>
          <w:szCs w:val="18"/>
        </w:rPr>
      </w:pPr>
    </w:p>
    <w:p w14:paraId="2199B33D">
      <w:pPr>
        <w:rPr>
          <w:rFonts w:hint="eastAsia" w:ascii="宋体" w:hAnsi="宋体" w:eastAsia="宋体"/>
          <w:sz w:val="18"/>
          <w:szCs w:val="18"/>
        </w:rPr>
      </w:pPr>
    </w:p>
    <w:p w14:paraId="08EEEE3F">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eastAsia" w:asciiTheme="majorEastAsia" w:hAnsiTheme="majorEastAsia" w:eastAsiaTheme="majorEastAsia" w:cstheme="majorEastAsia"/>
          <w:b/>
          <w:bCs/>
          <w:sz w:val="30"/>
          <w:szCs w:val="30"/>
          <w:lang w:val="en-US" w:eastAsia="zh-CN"/>
        </w:rPr>
      </w:pPr>
      <w:bookmarkStart w:id="21" w:name="_Toc21816"/>
      <w:bookmarkStart w:id="22" w:name="_Toc29892"/>
      <w:r>
        <w:rPr>
          <w:rFonts w:hint="eastAsia" w:asciiTheme="majorEastAsia" w:hAnsiTheme="majorEastAsia" w:eastAsiaTheme="majorEastAsia" w:cstheme="majorEastAsia"/>
          <w:b/>
          <w:bCs/>
          <w:sz w:val="30"/>
          <w:szCs w:val="30"/>
          <w:lang w:val="en-US" w:eastAsia="zh-CN"/>
        </w:rPr>
        <w:t>4 系统设计</w:t>
      </w:r>
      <w:bookmarkEnd w:id="21"/>
      <w:bookmarkEnd w:id="22"/>
    </w:p>
    <w:p w14:paraId="1FE7AA1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4.1 整体架构设计</w:t>
      </w:r>
    </w:p>
    <w:p w14:paraId="37D22C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系统采用前后端分离架构，整体架构由表现层、业务逻辑层、数据存储层组成。表现层：采用 Next.js 14.2.3 框架构建，支持服务端渲染（SSR）与客户端渲染（CSR），提供多角色门户界面。前端通过 RESTful API 与后端通信，使用 JWT Token 进行身份认证。业务逻辑层：采用 Koa 3.1.1 框架构建 REST API，实现业务逻辑处理、权限控制、数据验证等功能。采用分层架构，包括路由层（Routes）、控制器层（Controllers）、服务层（Services）、仓储层（Repositories），确保代码模块化与可维护性。数据存储层：采用 MySQL 8.0 数据库存储业务数据，使用 mysql2 驱动进行数据库访问。数据库设计采用关系型模型，通过外键关联保证数据一致性。如图4-1所示，该分层与可信架构设计参考了分布式电力交易与规划传导体系研究中的工程实践[18][19]。</w:t>
      </w:r>
    </w:p>
    <w:p w14:paraId="2EC6F94F">
      <w:pPr>
        <w:rPr>
          <w:rFonts w:hint="default"/>
          <w:lang w:val="en-US" w:eastAsia="zh-CN"/>
        </w:rPr>
      </w:pPr>
      <w:r>
        <w:drawing>
          <wp:inline distT="0" distB="0" distL="114300" distR="114300">
            <wp:extent cx="5283200" cy="3518535"/>
            <wp:effectExtent l="0" t="0" r="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7"/>
                    <a:stretch>
                      <a:fillRect/>
                    </a:stretch>
                  </pic:blipFill>
                  <pic:spPr>
                    <a:xfrm>
                      <a:off x="0" y="0"/>
                      <a:ext cx="5283200" cy="3518535"/>
                    </a:xfrm>
                    <a:prstGeom prst="rect">
                      <a:avLst/>
                    </a:prstGeom>
                    <a:noFill/>
                    <a:ln>
                      <a:noFill/>
                    </a:ln>
                  </pic:spPr>
                </pic:pic>
              </a:graphicData>
            </a:graphic>
          </wp:inline>
        </w:drawing>
      </w:r>
    </w:p>
    <w:p w14:paraId="662955DF">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4-1 整体架构图</w:t>
      </w:r>
    </w:p>
    <w:p w14:paraId="12091436">
      <w:pPr>
        <w:rPr>
          <w:rFonts w:hint="default"/>
          <w:lang w:val="en-US" w:eastAsia="zh-CN"/>
        </w:rPr>
      </w:pPr>
    </w:p>
    <w:p w14:paraId="236F86B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bookmarkStart w:id="23" w:name="_Toc17472"/>
      <w:bookmarkStart w:id="24" w:name="_Toc20221"/>
      <w:r>
        <w:rPr>
          <w:rFonts w:hint="eastAsia" w:asciiTheme="majorEastAsia" w:hAnsiTheme="majorEastAsia" w:eastAsiaTheme="majorEastAsia" w:cstheme="majorEastAsia"/>
          <w:b/>
          <w:bCs/>
          <w:sz w:val="28"/>
          <w:szCs w:val="28"/>
          <w:lang w:val="en-US" w:eastAsia="zh-CN"/>
        </w:rPr>
        <w:t>4.2 登录与注册</w:t>
      </w:r>
    </w:p>
    <w:p w14:paraId="3F5CAA8A">
      <w:pPr>
        <w:ind w:firstLine="480" w:firstLineChars="20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登录与注册模块采用前后端分离架构，前端使用 Next.js 14.2.3 与 TypeScript 构建注册登录界面，后端使用 Koa 3.1.1 提供注册登录接口。前端通过 RESTful API 与后端通信，使用 JWT Token 进行身份认证。注册时需校验学号/工号白名单，登录时通过邮箱和密码验证身份，登录成功后生成JWT Token返回前端。后端采用 bcrypt 加密存储密码，通过邮箱验证码机制保障注册与密码重置的安全性。如图4-2所示。</w:t>
      </w:r>
    </w:p>
    <w:p w14:paraId="06345034">
      <w:pPr>
        <w:ind w:firstLine="480" w:firstLineChars="200"/>
        <w:rPr>
          <w:rFonts w:hint="default" w:asciiTheme="minorEastAsia" w:hAnsiTheme="minorEastAsia" w:cstheme="minorEastAsia"/>
          <w:kern w:val="2"/>
          <w:sz w:val="24"/>
          <w:szCs w:val="24"/>
          <w:lang w:val="en-US" w:eastAsia="zh-CN" w:bidi="ar-SA"/>
        </w:rPr>
      </w:pPr>
    </w:p>
    <w:p w14:paraId="127070AB">
      <w:pPr>
        <w:pStyle w:val="3"/>
        <w:jc w:val="center"/>
      </w:pPr>
      <w:r>
        <w:drawing>
          <wp:inline distT="0" distB="0" distL="114300" distR="114300">
            <wp:extent cx="5270500" cy="6024245"/>
            <wp:effectExtent l="0" t="0" r="0" b="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8"/>
                    <a:stretch>
                      <a:fillRect/>
                    </a:stretch>
                  </pic:blipFill>
                  <pic:spPr>
                    <a:xfrm>
                      <a:off x="0" y="0"/>
                      <a:ext cx="5270500" cy="6024245"/>
                    </a:xfrm>
                    <a:prstGeom prst="rect">
                      <a:avLst/>
                    </a:prstGeom>
                    <a:noFill/>
                    <a:ln>
                      <a:noFill/>
                    </a:ln>
                  </pic:spPr>
                </pic:pic>
              </a:graphicData>
            </a:graphic>
          </wp:inline>
        </w:drawing>
      </w:r>
    </w:p>
    <w:p w14:paraId="003AA00C">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4-2 登录与注册模块流程图</w:t>
      </w:r>
    </w:p>
    <w:p w14:paraId="3FF376C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578B07AA">
      <w:pPr>
        <w:ind w:firstLine="562" w:firstLineChars="20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4.3 心理测评与测评存证</w:t>
      </w:r>
    </w:p>
    <w:p w14:paraId="65C44B60">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心理测评模块前端提供多种测评量表的选择界面和答题界面，支持题目滚动加载。后端提供测评提交接口，接收用户答案后自动计算得分与等级，将测评结果存储到数据库并生成存证记录。为实现测评存证，系统对测评结果的测评类型、得分、等级、答案和创建时间等字段构造规范化摘要并计算哈希，在链上配置可用时调用测评存证合约完成上链，并将 recordHash、txHash、blockNumber、chainId、contractAddress、revision 和 recordedAt 等信息写回存证记录。测评结果仅对授权角色可见，确保数据隐私保护。如图4-3所示。</w:t>
      </w:r>
    </w:p>
    <w:p w14:paraId="35F0BBD5">
      <w:pPr>
        <w:pStyle w:val="3"/>
        <w:jc w:val="center"/>
      </w:pPr>
      <w:r>
        <w:drawing>
          <wp:inline distT="0" distB="0" distL="114300" distR="114300">
            <wp:extent cx="5280660" cy="6247130"/>
            <wp:effectExtent l="0" t="0" r="0" b="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19"/>
                    <a:stretch>
                      <a:fillRect/>
                    </a:stretch>
                  </pic:blipFill>
                  <pic:spPr>
                    <a:xfrm>
                      <a:off x="0" y="0"/>
                      <a:ext cx="5280660" cy="6247130"/>
                    </a:xfrm>
                    <a:prstGeom prst="rect">
                      <a:avLst/>
                    </a:prstGeom>
                    <a:noFill/>
                    <a:ln>
                      <a:noFill/>
                    </a:ln>
                  </pic:spPr>
                </pic:pic>
              </a:graphicData>
            </a:graphic>
          </wp:inline>
        </w:drawing>
      </w:r>
    </w:p>
    <w:p w14:paraId="3550C55B">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4-3 心理测评模块流程图</w:t>
      </w:r>
    </w:p>
    <w:p w14:paraId="5623F4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660FB0E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4.4 咨询师与预约</w:t>
      </w:r>
    </w:p>
    <w:p w14:paraId="7A4E0C08">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咨询师申请模块前端提供资质申请表单和附件上传功能，后端提供申请提交接口，管理员审核后更新用户角色。档期管理模块前端提供时段设置界面，后端提供档期管理接口，支持可用、已预约、已取消等状态流转，并限制咨询师只能取消本人尚未被预约的可用档期。预约模块前端提供咨询师列表和预约申请界面，后端提供预约提交与用户取消接口，预约成功后自动生成存证记录。如图4-4所示。</w:t>
      </w:r>
    </w:p>
    <w:p w14:paraId="2835F2F9">
      <w:pPr>
        <w:pStyle w:val="3"/>
        <w:jc w:val="center"/>
      </w:pPr>
      <w:r>
        <w:drawing>
          <wp:inline distT="0" distB="0" distL="114300" distR="114300">
            <wp:extent cx="5269865" cy="3575050"/>
            <wp:effectExtent l="0" t="0" r="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0"/>
                    <a:stretch>
                      <a:fillRect/>
                    </a:stretch>
                  </pic:blipFill>
                  <pic:spPr>
                    <a:xfrm>
                      <a:off x="0" y="0"/>
                      <a:ext cx="5269865" cy="3575050"/>
                    </a:xfrm>
                    <a:prstGeom prst="rect">
                      <a:avLst/>
                    </a:prstGeom>
                    <a:noFill/>
                    <a:ln>
                      <a:noFill/>
                    </a:ln>
                  </pic:spPr>
                </pic:pic>
              </a:graphicData>
            </a:graphic>
          </wp:inline>
        </w:drawing>
      </w:r>
    </w:p>
    <w:p w14:paraId="1400AECB">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4-4 咨询师与预约模块流程图</w:t>
      </w:r>
    </w:p>
    <w:p w14:paraId="2BDADB35">
      <w:pPr>
        <w:rPr>
          <w:rFonts w:hint="default"/>
          <w:lang w:val="en-US" w:eastAsia="zh-CN"/>
        </w:rPr>
      </w:pPr>
    </w:p>
    <w:p w14:paraId="67DDBB87">
      <w:pPr>
        <w:ind w:firstLine="562" w:firstLineChars="20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4.5 咨询记录、咨询存证与反馈</w:t>
      </w:r>
    </w:p>
    <w:p w14:paraId="48CC774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咨询记录模块前端提供记录填写表单，后端提供记录提交接口，记录创建时自动生成存证记录。为实现咨询存证，系统以 consultationId、appointmentId、咨询摘要、干预建议和更新时间等字段构造规范化摘要并计算哈希，在链上配置可用时调用咨询存证合约完成上链，并将 recordHash、txHash、blockNumber、chainId、contractAddress、revision 和 recordedAt 等结果写回本地存证记录。反馈模块前端提供满意度反馈表单，后端提供反馈提交接口，支持点赞功能。系统生成统计数据供咨询师与管理员查看。如图4-5所示。</w:t>
      </w:r>
    </w:p>
    <w:p w14:paraId="00EF34A2">
      <w:pPr>
        <w:pStyle w:val="3"/>
        <w:jc w:val="center"/>
      </w:pPr>
      <w:r>
        <w:drawing>
          <wp:inline distT="0" distB="0" distL="114300" distR="114300">
            <wp:extent cx="5293995" cy="4013200"/>
            <wp:effectExtent l="0" t="0" r="0" b="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21"/>
                    <a:stretch>
                      <a:fillRect/>
                    </a:stretch>
                  </pic:blipFill>
                  <pic:spPr>
                    <a:xfrm>
                      <a:off x="0" y="0"/>
                      <a:ext cx="5293995" cy="4013200"/>
                    </a:xfrm>
                    <a:prstGeom prst="rect">
                      <a:avLst/>
                    </a:prstGeom>
                    <a:noFill/>
                    <a:ln>
                      <a:noFill/>
                    </a:ln>
                  </pic:spPr>
                </pic:pic>
              </a:graphicData>
            </a:graphic>
          </wp:inline>
        </w:drawing>
      </w:r>
    </w:p>
    <w:p w14:paraId="6744CCB7">
      <w:pPr>
        <w:pStyle w:val="3"/>
        <w:jc w:val="center"/>
        <w:rPr>
          <w:rFonts w:hint="eastAsia" w:ascii="宋体" w:hAnsi="宋体" w:eastAsia="宋体"/>
          <w:sz w:val="18"/>
          <w:szCs w:val="18"/>
          <w:lang w:val="en-US" w:eastAsia="zh-CN"/>
        </w:rPr>
      </w:pPr>
      <w:r>
        <w:rPr>
          <w:rFonts w:hint="eastAsia" w:eastAsia="宋体"/>
          <w:lang w:val="en-US" w:eastAsia="zh-CN"/>
        </w:rPr>
        <w:t xml:space="preserve">图 </w:t>
      </w:r>
      <w:r>
        <w:rPr>
          <w:rFonts w:hint="eastAsia" w:ascii="宋体" w:hAnsi="宋体" w:eastAsia="宋体"/>
          <w:sz w:val="18"/>
          <w:szCs w:val="18"/>
          <w:lang w:val="en-US" w:eastAsia="zh-CN"/>
        </w:rPr>
        <w:t>4-5 咨询记录与反馈模块流程图</w:t>
      </w:r>
    </w:p>
    <w:p w14:paraId="6756D58F">
      <w:pPr>
        <w:rPr>
          <w:rFonts w:hint="eastAsia"/>
          <w:lang w:val="en-US" w:eastAsia="zh-CN"/>
        </w:rPr>
      </w:pPr>
    </w:p>
    <w:p w14:paraId="68776D4F">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4.6 论坛社区</w:t>
      </w:r>
    </w:p>
    <w:p w14:paraId="1680A04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论坛模块前端提供帖子发布、评论、点赞界面，后端提供帖子、评论、点赞接口。帖子需经过管理员审核后展示，评论可以实时发送。帖子创建时生成存证记录，确保内容可追溯。如图4-6所示。</w:t>
      </w:r>
    </w:p>
    <w:p w14:paraId="55453DB2">
      <w:pPr>
        <w:pStyle w:val="3"/>
        <w:jc w:val="center"/>
      </w:pPr>
      <w:r>
        <w:drawing>
          <wp:inline distT="0" distB="0" distL="114300" distR="114300">
            <wp:extent cx="5287645" cy="3627755"/>
            <wp:effectExtent l="0" t="0" r="0" b="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2"/>
                    <a:stretch>
                      <a:fillRect/>
                    </a:stretch>
                  </pic:blipFill>
                  <pic:spPr>
                    <a:xfrm>
                      <a:off x="0" y="0"/>
                      <a:ext cx="5287645" cy="3627755"/>
                    </a:xfrm>
                    <a:prstGeom prst="rect">
                      <a:avLst/>
                    </a:prstGeom>
                    <a:noFill/>
                    <a:ln>
                      <a:noFill/>
                    </a:ln>
                  </pic:spPr>
                </pic:pic>
              </a:graphicData>
            </a:graphic>
          </wp:inline>
        </w:drawing>
      </w:r>
    </w:p>
    <w:p w14:paraId="32C60FB9">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4-6 论坛社区模块流程图</w:t>
      </w:r>
    </w:p>
    <w:p w14:paraId="2C612C1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8E569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4.7 消息与聊天</w:t>
      </w:r>
    </w:p>
    <w:p w14:paraId="7AA0BDD4">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消息模块前端提供消息中心界面，后端提供系统消息推送接口。聊天模块前端提供聊天界面，支持消息撤回与删除，后端提供聊天接口，采用滚动加载机制。消息中心统一管理各类通知。如图4-7所示。</w:t>
      </w:r>
    </w:p>
    <w:p w14:paraId="36521365">
      <w:pPr>
        <w:pStyle w:val="3"/>
        <w:jc w:val="center"/>
      </w:pPr>
      <w:r>
        <w:drawing>
          <wp:inline distT="0" distB="0" distL="114300" distR="114300">
            <wp:extent cx="5280025" cy="3462020"/>
            <wp:effectExtent l="0" t="0" r="0" b="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23"/>
                    <a:stretch>
                      <a:fillRect/>
                    </a:stretch>
                  </pic:blipFill>
                  <pic:spPr>
                    <a:xfrm>
                      <a:off x="0" y="0"/>
                      <a:ext cx="5280025" cy="3462020"/>
                    </a:xfrm>
                    <a:prstGeom prst="rect">
                      <a:avLst/>
                    </a:prstGeom>
                    <a:noFill/>
                    <a:ln>
                      <a:noFill/>
                    </a:ln>
                  </pic:spPr>
                </pic:pic>
              </a:graphicData>
            </a:graphic>
          </wp:inline>
        </w:drawing>
      </w:r>
    </w:p>
    <w:p w14:paraId="791AB92A">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4-7 消息与聊天模块流程图</w:t>
      </w:r>
    </w:p>
    <w:p w14:paraId="47A59D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4267486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4.8 举报与审核</w:t>
      </w:r>
    </w:p>
    <w:p w14:paraId="2D61475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举报模块前端提供举报提交表单，后端提供举报提交接口，举报创建时自动生成存证记录。审核模块前端提供举报列表和处理界面，后端提供审核处理接口，处理结果通知举报人。如图4-8所示。</w:t>
      </w:r>
    </w:p>
    <w:p w14:paraId="5ABBE24B">
      <w:pPr>
        <w:pStyle w:val="3"/>
        <w:jc w:val="center"/>
        <w:rPr>
          <w:rFonts w:hint="eastAsia" w:asciiTheme="minorEastAsia" w:hAnsiTheme="minorEastAsia" w:cstheme="minorEastAsia"/>
          <w:kern w:val="2"/>
          <w:sz w:val="24"/>
          <w:szCs w:val="24"/>
          <w:lang w:val="en-US" w:eastAsia="zh-CN" w:bidi="ar-SA"/>
        </w:rPr>
      </w:pPr>
      <w:r>
        <w:drawing>
          <wp:inline distT="0" distB="0" distL="114300" distR="114300">
            <wp:extent cx="5295265" cy="3846830"/>
            <wp:effectExtent l="0" t="0" r="0" b="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4"/>
                    <a:stretch>
                      <a:fillRect/>
                    </a:stretch>
                  </pic:blipFill>
                  <pic:spPr>
                    <a:xfrm>
                      <a:off x="0" y="0"/>
                      <a:ext cx="5295265" cy="3846830"/>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4-8 举报与审核模块流程图</w:t>
      </w:r>
    </w:p>
    <w:p w14:paraId="6BA81D3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67A8E3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362E0F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FE0DF2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4944ED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7389F51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73B8ED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730DAB4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0BB586B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A3BF71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098FAE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642174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D9BAA4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6DBA41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bookmarkEnd w:id="23"/>
    <w:bookmarkEnd w:id="24"/>
    <w:p w14:paraId="3D078076">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Pr>
      <w:bookmarkStart w:id="25" w:name="_Toc10265"/>
      <w:bookmarkStart w:id="26" w:name="_Toc25084"/>
      <w:r>
        <w:rPr>
          <w:rFonts w:hint="eastAsia" w:asciiTheme="majorEastAsia" w:hAnsiTheme="majorEastAsia" w:eastAsiaTheme="majorEastAsia" w:cstheme="majorEastAsia"/>
          <w:b/>
          <w:bCs/>
          <w:sz w:val="30"/>
          <w:szCs w:val="30"/>
          <w:lang w:val="en-US" w:eastAsia="zh-CN"/>
        </w:rPr>
        <w:t>5 系统实现</w:t>
      </w:r>
    </w:p>
    <w:bookmarkEnd w:id="25"/>
    <w:bookmarkEnd w:id="26"/>
    <w:p w14:paraId="4B58D54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5.1 登录与注册</w:t>
      </w:r>
    </w:p>
    <w:p w14:paraId="23E5635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5.1.1 用户注册流程</w:t>
      </w:r>
    </w:p>
    <w:p w14:paraId="1BFBEF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用户注册模块，要求用户提供QQ邮箱、密码、学号/工号和验证码信息，成功创建账户后即可登录校园心理咨询系统。前端获取用户输入的注册信息调用handleSubmit方法将用户信息和验证码传输到后端调用register实现注册逻辑，检查输入的邮箱和学号是否重复、验证码是否有效，如是新用户则插入用户数据，注册成功后，用户可以进入校园心理咨询系统主页面。用户注册流程页面如图5-1-1所示。</w:t>
      </w:r>
    </w:p>
    <w:p w14:paraId="3E53198D">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5-1-1 用户注册流程页面</w:t>
      </w:r>
    </w:p>
    <w:p w14:paraId="2078A19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5.1.2 登录与权限认证</w:t>
      </w:r>
    </w:p>
    <w:p w14:paraId="12A9F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用户登录模块，用户需输入QQ邮箱和密码进行身份验证，验证成功后才能进入校园心理咨询系统主页面，若验证失败则提示错误信息并无法访问校园心理咨询系统。前端获取用户输入的登录信息调用handleSubmit方法将用户信息传输到后端调用login实现登录逻辑，检查输入的邮箱和密码是否正确，如不正确则弹出错误提示，登录成功后，用户可以进入校园心理咨询系统主页面。登录与权限认证页面如图5-1-2所示。</w:t>
      </w:r>
    </w:p>
    <w:p w14:paraId="3C078904">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5-1-2 登录与权限认证页面</w:t>
      </w:r>
    </w:p>
    <w:p w14:paraId="4DF070AE">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5.2 心理测评与测评存证</w:t>
      </w:r>
      <w:bookmarkStart w:id="46" w:name="_GoBack"/>
      <w:bookmarkEnd w:id="46"/>
    </w:p>
    <w:p w14:paraId="681DF4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心理测评与测评存证模块在用户完成答题后，由后端按照量表规则计算测评分值与等级，并将结果写入测评结果表。随后系统自动创建对应的测评存证记录，对测评结果构造规范化 JSON 摘要并计算 keccak256 哈希；当测评存证合约已完成部署且链上配置可用时，系统调用 AssessmentEvidenceRegistry 合约写入测评结果摘要哈希，并将交易哈希、区块高度、链标识、合约地址、修订版本和链上记录时间回填到本地存证记录中。若链上环境未配置或调用失败，则保留待同步状态，以便后续确认与校验。该模块设计也参考了AI心理风险识别系统中“早筛+分级反馈”的流程思想[20]。心理测评页面如图5-2所示。</w:t>
      </w:r>
    </w:p>
    <w:p w14:paraId="09C3B3E0">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5-2 心理测评页面</w:t>
      </w:r>
    </w:p>
    <w:p w14:paraId="403BBC4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5.3 咨询师与预约</w:t>
      </w:r>
    </w:p>
    <w:p w14:paraId="0829B1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咨询师申请与档期模块，普通用户可提交咨询师资质申请并上传附件，由管理员审核通过后开通咨询师权限；咨询师可设置可预约时段、服务方式和地点，并仅能提前取消本人尚未被预约的可用档期。来访者完成预约后，如需变更，由来访者本人通过预约接口发起取消。前端获取用户或咨询师的操作调用相应方法传输到后端调用 counselor 或 schedule 相关接口实现申请、档期与预约逻辑，申请成功或失败均会弹出提示信息。咨询师与预约页面如图5-3所示。</w:t>
      </w:r>
    </w:p>
    <w:p w14:paraId="322F737B">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5-3 咨询师与预约页面</w:t>
      </w:r>
    </w:p>
    <w:p w14:paraId="06C1AE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5.4 咨询记录、咨询存证与反馈</w:t>
      </w:r>
    </w:p>
    <w:p w14:paraId="1D15EB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咨询记录、咨询存证与反馈模块是系统的核心功能之一。咨询师在完成会谈后填写咨询记录，后端将记录信息与预约信息绑定后写入咨询记录表，并同步创建咨询存证记录。系统对 consultationId、appointmentId、咨询摘要、问题分类、干预建议、作业和更新时间等字段构造规范化 JSON 摘要并计算 keccak256 哈希；当咨询存证合约已部署且链上配置可用时，系统调用 ConsultationEvidenceRegistry 合约写入咨询摘要哈希，并将交易哈希、区块高度、链标识、合约地址、修订版本和链上记录时间写回本地存证记录。用户对已完成咨询提交满意度反馈与点赞后，反馈数据仍保留在业务系统中供统计查询，而咨询记录的摘要哈希则可通过存证查询接口与链上最新记录进行一致性校验。咨询记录与反馈页面如图5-4所示。</w:t>
      </w:r>
    </w:p>
    <w:p w14:paraId="2FA501CE">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5-4 咨询记录与反馈页面</w:t>
      </w:r>
    </w:p>
    <w:p w14:paraId="727DC510">
      <w:pPr>
        <w:rPr>
          <w:rFonts w:hint="eastAsia"/>
          <w:lang w:val="en-US" w:eastAsia="zh-CN"/>
        </w:rPr>
      </w:pPr>
    </w:p>
    <w:p w14:paraId="65374987">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5.5 论坛社区</w:t>
      </w:r>
    </w:p>
    <w:p w14:paraId="41B0C78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论坛模块提供帖子发布与审核、评论与点赞功能。主要是用户发布帖子后需管理员审核通过方可展示，用户可对帖子进行评论与点赞。前端获取用户输入的帖子或评论内容调用相应方法将数据传输到后端调用forum相关接口实现发布与审核逻辑，帖子创建时生成存证记录。论坛社区页面如图5-5所示。</w:t>
      </w:r>
    </w:p>
    <w:p w14:paraId="4C7E8B4D">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5-5 论坛社区页面</w:t>
      </w:r>
    </w:p>
    <w:p w14:paraId="13B72E5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5.6 消息与聊天</w:t>
      </w:r>
    </w:p>
    <w:p w14:paraId="566655F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消息与聊天模块支持系统通知、好友申请与好友间聊天。主要是系统自动发送预约、审核等通知消息，用户可发送好友申请、接受或拒绝申请，好友间可发送与查看聊天消息并支持撤回与删除。前端获取用户操作或消息内容调用相应方法将数据传输到后端调用notification、friend或chat接口实现消息与聊天逻辑。消息与聊天页面如图5-6所示。</w:t>
      </w:r>
    </w:p>
    <w:p w14:paraId="517DDDBB">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5-6 消息与聊天页面</w:t>
      </w:r>
    </w:p>
    <w:p w14:paraId="114FDD79">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5.7 举报与审核</w:t>
      </w:r>
    </w:p>
    <w:p w14:paraId="730678F3">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举报与审核模块支持用户对用户、帖子或评论提交举报，管理员对举报进行处理。主要是用户选择举报目标并填写原因与附件，举报创建时生成存证记录并通知管理员，管理员可查看举报列表并处理，处理结果通知举报人。前端获取用户填写的举报信息或管理员的操作调用相应方法将数据传输到后端调用report或admin接口实现举报与处理逻辑。举报与审核页面如图5-7所示。</w:t>
      </w:r>
    </w:p>
    <w:p w14:paraId="4A1D288A">
      <w:pPr>
        <w:pStyle w:val="3"/>
        <w:jc w:val="center"/>
        <w:rPr>
          <w:rFonts w:hint="eastAsia" w:asciiTheme="majorEastAsia" w:hAnsiTheme="majorEastAsia" w:eastAsiaTheme="majorEastAsia" w:cstheme="majorEastAsia"/>
          <w:b/>
          <w:bCs/>
          <w:sz w:val="30"/>
          <w:szCs w:val="30"/>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5-7 举报与审核页面</w:t>
      </w:r>
      <w:bookmarkStart w:id="27" w:name="_Toc11409"/>
      <w:bookmarkStart w:id="28" w:name="_Toc7573"/>
    </w:p>
    <w:p w14:paraId="4534D96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3854FB3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0007724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63F352C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4648594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5A97760C">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18CCCD9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7D851A7B">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74700505">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41789B9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056EDAE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26A8E41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2EC81065">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0"/>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 系统测试与评估</w:t>
      </w:r>
      <w:bookmarkEnd w:id="27"/>
      <w:bookmarkEnd w:id="28"/>
    </w:p>
    <w:p w14:paraId="6E72CEEB">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6.1 系统测试环境</w:t>
      </w:r>
    </w:p>
    <w:p w14:paraId="2E515E4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1、操作系统：Windows 11 / macOS / Linux</w:t>
      </w:r>
    </w:p>
    <w:p w14:paraId="0263B0E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2、前端开发环境：Node.js 18.x、Next.js 14.2.3、TypeScript 5.5.4</w:t>
      </w:r>
    </w:p>
    <w:p w14:paraId="6DA3EB5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3、后端开发环境：Node.js 18.x、Koa 3.1.1、TypeScript 5.9.3</w:t>
      </w:r>
    </w:p>
    <w:p w14:paraId="249727B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4、数据库：MySQL 8.0</w:t>
      </w:r>
    </w:p>
    <w:p w14:paraId="0C4D3FF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5、测试工具：Postman、Bun test</w:t>
      </w:r>
    </w:p>
    <w:p w14:paraId="507FD35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6、浏览器：Chrome、Firefox、Safari、Edge</w:t>
      </w:r>
    </w:p>
    <w:p w14:paraId="724C04C0">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6.2 系统模块测试</w:t>
      </w:r>
    </w:p>
    <w:p w14:paraId="534931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针对注册登录、心理测评、预约、咨询记录、论坛、聊天与举报等模块进行功能测试，验证输入校验、业务流程与权限控制的正确性。部分测试用例如表6-1所示。</w:t>
      </w:r>
    </w:p>
    <w:p w14:paraId="25A1CA0F">
      <w:pPr>
        <w:snapToGrid w:val="0"/>
        <w:spacing w:line="360" w:lineRule="auto"/>
        <w:jc w:val="center"/>
        <w:rPr>
          <w:rFonts w:hint="eastAsia"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 xml:space="preserve">表 </w:t>
      </w:r>
      <w:r>
        <w:rPr>
          <w:rFonts w:hint="eastAsia" w:asciiTheme="minorEastAsia" w:hAnsiTheme="minorEastAsia"/>
          <w:color w:val="000000" w:themeColor="text1"/>
          <w:sz w:val="18"/>
          <w:szCs w:val="18"/>
          <w:lang w:val="en-US" w:eastAsia="zh-CN"/>
          <w14:textFill>
            <w14:solidFill>
              <w14:schemeClr w14:val="tx1"/>
            </w14:solidFill>
          </w14:textFill>
        </w:rPr>
        <w:t>6</w:t>
      </w:r>
      <w:r>
        <w:rPr>
          <w:rFonts w:hint="eastAsia" w:asciiTheme="minorEastAsia" w:hAnsiTheme="minorEastAsia"/>
          <w:color w:val="000000" w:themeColor="text1"/>
          <w:sz w:val="18"/>
          <w:szCs w:val="18"/>
          <w14:textFill>
            <w14:solidFill>
              <w14:schemeClr w14:val="tx1"/>
            </w14:solidFill>
          </w14:textFill>
        </w:rPr>
        <w:t>-1</w:t>
      </w:r>
      <w:r>
        <w:rPr>
          <w:rFonts w:hint="eastAsia" w:asciiTheme="minorEastAsia" w:hAnsiTheme="minorEastAsia"/>
          <w:color w:val="000000" w:themeColor="text1"/>
          <w:sz w:val="18"/>
          <w:szCs w:val="18"/>
          <w:lang w:val="en-US" w:eastAsia="zh-CN"/>
          <w14:textFill>
            <w14:solidFill>
              <w14:schemeClr w14:val="tx1"/>
            </w14:solidFill>
          </w14:textFill>
        </w:rPr>
        <w:t>部分系统模块测试</w:t>
      </w:r>
      <w:r>
        <w:rPr>
          <w:rFonts w:hint="eastAsia" w:asciiTheme="minorEastAsia" w:hAnsiTheme="minorEastAsia"/>
          <w:color w:val="000000" w:themeColor="text1"/>
          <w:sz w:val="18"/>
          <w:szCs w:val="18"/>
          <w14:textFill>
            <w14:solidFill>
              <w14:schemeClr w14:val="tx1"/>
            </w14:solidFill>
          </w14:textFill>
        </w:rPr>
        <w:t>表</w:t>
      </w:r>
    </w:p>
    <w:tbl>
      <w:tblPr>
        <w:tblStyle w:val="18"/>
        <w:tblW w:w="828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1428"/>
        <w:gridCol w:w="2819"/>
        <w:gridCol w:w="1544"/>
        <w:gridCol w:w="1069"/>
      </w:tblGrid>
      <w:tr w14:paraId="12B339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428" w:type="dxa"/>
            <w:tcBorders>
              <w:bottom w:val="single" w:color="000000" w:themeColor="text1" w:sz="4" w:space="0"/>
              <w:insideH w:val="single" w:sz="4" w:space="0"/>
            </w:tcBorders>
          </w:tcPr>
          <w:p w14:paraId="0E7E8C53">
            <w:pPr>
              <w:spacing w:line="440" w:lineRule="exact"/>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测试用例</w:t>
            </w:r>
          </w:p>
        </w:tc>
        <w:tc>
          <w:tcPr>
            <w:tcW w:w="1428" w:type="dxa"/>
            <w:tcBorders>
              <w:bottom w:val="single" w:color="000000" w:themeColor="text1" w:sz="4" w:space="0"/>
              <w:insideH w:val="single" w:sz="4" w:space="0"/>
            </w:tcBorders>
          </w:tcPr>
          <w:p w14:paraId="27D9F225">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目的</w:t>
            </w:r>
          </w:p>
        </w:tc>
        <w:tc>
          <w:tcPr>
            <w:tcW w:w="2819" w:type="dxa"/>
            <w:tcBorders>
              <w:bottom w:val="single" w:color="000000" w:themeColor="text1" w:sz="4" w:space="0"/>
              <w:insideH w:val="single" w:sz="4" w:space="0"/>
            </w:tcBorders>
          </w:tcPr>
          <w:p w14:paraId="6F2B2C70">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步骤</w:t>
            </w:r>
          </w:p>
        </w:tc>
        <w:tc>
          <w:tcPr>
            <w:tcW w:w="1544" w:type="dxa"/>
            <w:tcBorders>
              <w:bottom w:val="single" w:color="000000" w:themeColor="text1" w:sz="4" w:space="0"/>
              <w:insideH w:val="single" w:sz="4" w:space="0"/>
            </w:tcBorders>
          </w:tcPr>
          <w:p w14:paraId="6654AAF6">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预期结果</w:t>
            </w:r>
          </w:p>
        </w:tc>
        <w:tc>
          <w:tcPr>
            <w:tcW w:w="1069" w:type="dxa"/>
            <w:tcBorders>
              <w:bottom w:val="single" w:color="000000" w:themeColor="text1" w:sz="4" w:space="0"/>
              <w:insideH w:val="single" w:sz="4" w:space="0"/>
            </w:tcBorders>
          </w:tcPr>
          <w:p w14:paraId="592F9D52">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实际结果</w:t>
            </w:r>
          </w:p>
        </w:tc>
      </w:tr>
      <w:tr w14:paraId="24555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4" w:hRule="atLeast"/>
        </w:trPr>
        <w:tc>
          <w:tcPr>
            <w:tcW w:w="1428" w:type="dxa"/>
          </w:tcPr>
          <w:p w14:paraId="00B537CA">
            <w:pPr>
              <w:spacing w:line="360" w:lineRule="auto"/>
              <w:rPr>
                <w:rFonts w:hint="default" w:asciiTheme="minorEastAsia" w:hAnsiTheme="minorEastAsia" w:eastAsiaTheme="minorEastAsia"/>
                <w:b w:val="0"/>
                <w:bCs w:val="0"/>
                <w:color w:val="000000" w:themeColor="text1"/>
                <w:lang w:val="en-US" w:eastAsia="zh-CN"/>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注册登录</w:t>
            </w:r>
          </w:p>
        </w:tc>
        <w:tc>
          <w:tcPr>
            <w:tcW w:w="1428" w:type="dxa"/>
          </w:tcPr>
          <w:p w14:paraId="432A035E">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验证注册与登录流程正确性</w:t>
            </w:r>
          </w:p>
        </w:tc>
        <w:tc>
          <w:tcPr>
            <w:tcW w:w="2819" w:type="dxa"/>
          </w:tcPr>
          <w:p w14:paraId="3DD015D3">
            <w:pPr>
              <w:numPr>
                <w:ilvl w:val="0"/>
                <w:numId w:val="3"/>
              </w:num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使用合法 QQ 邮箱与白名单学号/工号注册</w:t>
            </w:r>
          </w:p>
          <w:p w14:paraId="02067568">
            <w:pPr>
              <w:numPr>
                <w:ilvl w:val="0"/>
                <w:numId w:val="3"/>
              </w:numPr>
              <w:spacing w:line="360" w:lineRule="auto"/>
              <w:ind w:left="0" w:leftChars="0" w:firstLine="0" w:firstLineChars="0"/>
              <w:rPr>
                <w:rFonts w:hint="default" w:asciiTheme="minorEastAsia" w:hAnsiTheme="minorEastAsia"/>
                <w:color w:val="000000" w:themeColor="text1"/>
                <w:lang w:val="en-US" w:eastAsia="zh-CN"/>
                <w14:textFill>
                  <w14:solidFill>
                    <w14:schemeClr w14:val="tx1"/>
                  </w14:solidFill>
                </w14:textFill>
              </w:rPr>
            </w:pPr>
            <w:r>
              <w:rPr>
                <w:rFonts w:hint="default" w:asciiTheme="minorEastAsia" w:hAnsiTheme="minorEastAsia"/>
                <w:color w:val="000000" w:themeColor="text1"/>
                <w:lang w:val="en-US" w:eastAsia="zh-CN"/>
                <w14:textFill>
                  <w14:solidFill>
                    <w14:schemeClr w14:val="tx1"/>
                  </w14:solidFill>
                </w14:textFill>
              </w:rPr>
              <w:t>确认返回状态码为200（成功状态）</w:t>
            </w:r>
          </w:p>
          <w:p w14:paraId="540C7417">
            <w:pPr>
              <w:numPr>
                <w:ilvl w:val="0"/>
                <w:numId w:val="0"/>
              </w:numPr>
              <w:spacing w:line="360" w:lineRule="auto"/>
              <w:ind w:leftChars="0"/>
              <w:rPr>
                <w:rFonts w:hint="default" w:asciiTheme="minorEastAsia" w:hAnsiTheme="minorEastAsia"/>
                <w:color w:val="000000" w:themeColor="text1"/>
                <w:lang w:val="en-US" w:eastAsia="zh-CN"/>
                <w14:textFill>
                  <w14:solidFill>
                    <w14:schemeClr w14:val="tx1"/>
                  </w14:solidFill>
                </w14:textFill>
              </w:rPr>
            </w:pPr>
            <w:r>
              <w:rPr>
                <w:rFonts w:hint="default" w:asciiTheme="minorEastAsia" w:hAnsiTheme="minorEastAsia"/>
                <w:color w:val="000000" w:themeColor="text1"/>
                <w:lang w:val="en-US" w:eastAsia="zh-CN"/>
                <w14:textFill>
                  <w14:solidFill>
                    <w14:schemeClr w14:val="tx1"/>
                  </w14:solidFill>
                </w14:textFill>
              </w:rPr>
              <w:t>3.使用相同账号登录系统</w:t>
            </w:r>
          </w:p>
        </w:tc>
        <w:tc>
          <w:tcPr>
            <w:tcW w:w="1544" w:type="dxa"/>
          </w:tcPr>
          <w:p w14:paraId="72E21B70">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注册成功并可正常登录</w:t>
            </w:r>
          </w:p>
        </w:tc>
        <w:tc>
          <w:tcPr>
            <w:tcW w:w="1069" w:type="dxa"/>
          </w:tcPr>
          <w:p w14:paraId="67438515">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758532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tcPr>
          <w:p w14:paraId="791C5054">
            <w:pPr>
              <w:spacing w:line="360" w:lineRule="auto"/>
              <w:rPr>
                <w:rFonts w:asciiTheme="minorEastAsia" w:hAnsiTheme="minorEastAsia"/>
                <w:b w:val="0"/>
                <w:bCs w:val="0"/>
                <w:color w:val="000000" w:themeColor="text1"/>
                <w14:textFill>
                  <w14:solidFill>
                    <w14:schemeClr w14:val="tx1"/>
                  </w14:solidFill>
                </w14:textFill>
              </w:rPr>
            </w:pPr>
            <w:r>
              <w:rPr>
                <w:rFonts w:hint="eastAsia" w:asciiTheme="minorEastAsia" w:hAnsiTheme="minorEastAsia"/>
                <w:b w:val="0"/>
                <w:bCs w:val="0"/>
                <w:color w:val="000000" w:themeColor="text1"/>
                <w14:textFill>
                  <w14:solidFill>
                    <w14:schemeClr w14:val="tx1"/>
                  </w14:solidFill>
                </w14:textFill>
              </w:rPr>
              <w:t>预约提交</w:t>
            </w:r>
          </w:p>
        </w:tc>
        <w:tc>
          <w:tcPr>
            <w:tcW w:w="1428" w:type="dxa"/>
          </w:tcPr>
          <w:p w14:paraId="4E42B029">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验证预约提交与状态流转</w:t>
            </w:r>
          </w:p>
        </w:tc>
        <w:tc>
          <w:tcPr>
            <w:tcW w:w="2819" w:type="dxa"/>
          </w:tcPr>
          <w:p w14:paraId="1C6259E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1.选择可预约档期提交预约</w:t>
            </w:r>
          </w:p>
          <w:p w14:paraId="6DE92646">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2.确认返回状态码为201（创建成功）</w:t>
            </w:r>
          </w:p>
          <w:p w14:paraId="6F6CE24B">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3.查询预约列表核对状态</w:t>
            </w:r>
            <w:r>
              <w:rPr>
                <w:rFonts w:hint="eastAsia" w:asciiTheme="minorEastAsia" w:hAnsiTheme="minorEastAsia"/>
                <w:color w:val="000000" w:themeColor="text1"/>
                <w14:textFill>
                  <w14:solidFill>
                    <w14:schemeClr w14:val="tx1"/>
                  </w14:solidFill>
                </w14:textFill>
              </w:rPr>
              <w:tab/>
            </w:r>
          </w:p>
        </w:tc>
        <w:tc>
          <w:tcPr>
            <w:tcW w:w="1544" w:type="dxa"/>
          </w:tcPr>
          <w:p w14:paraId="073820A3">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预约成功创建，状态为已预约</w:t>
            </w:r>
          </w:p>
        </w:tc>
        <w:tc>
          <w:tcPr>
            <w:tcW w:w="1069" w:type="dxa"/>
          </w:tcPr>
          <w:p w14:paraId="0F48C39E">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56444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5A6030AC">
            <w:pPr>
              <w:spacing w:line="360" w:lineRule="auto"/>
              <w:rPr>
                <w:rFonts w:asciiTheme="minorEastAsia" w:hAnsiTheme="minorEastAsia" w:eastAsiaTheme="minorEastAsia" w:cstheme="minorBidi"/>
                <w:b w:val="0"/>
                <w:bCs w:val="0"/>
                <w:color w:val="000000" w:themeColor="text1"/>
                <w:kern w:val="2"/>
                <w:sz w:val="21"/>
                <w:szCs w:val="24"/>
                <w:lang w:val="en-US" w:eastAsia="zh-CN" w:bidi="ar-SA"/>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咨询记录提交</w:t>
            </w:r>
          </w:p>
        </w:tc>
        <w:tc>
          <w:tcPr>
            <w:tcW w:w="1428" w:type="dxa"/>
            <w:shd w:val="clear" w:color="auto" w:fill="auto"/>
            <w:vAlign w:val="top"/>
          </w:tcPr>
          <w:p w14:paraId="06617638">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验证咨询记录绑定预约</w:t>
            </w:r>
          </w:p>
        </w:tc>
        <w:tc>
          <w:tcPr>
            <w:tcW w:w="2819" w:type="dxa"/>
            <w:shd w:val="clear" w:color="auto" w:fill="auto"/>
            <w:vAlign w:val="top"/>
          </w:tcPr>
          <w:p w14:paraId="66BD910A">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1.心理师在预约完成后提交咨询记录</w:t>
            </w:r>
          </w:p>
          <w:p w14:paraId="6E6BD315">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2.确认返回状态码为201（创建成功）</w:t>
            </w:r>
          </w:p>
          <w:p w14:paraId="5798C29E">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3.查询咨询记录详情</w:t>
            </w:r>
          </w:p>
        </w:tc>
        <w:tc>
          <w:tcPr>
            <w:tcW w:w="1544" w:type="dxa"/>
            <w:shd w:val="clear" w:color="auto" w:fill="auto"/>
            <w:vAlign w:val="top"/>
          </w:tcPr>
          <w:p w14:paraId="32E7986E">
            <w:pPr>
              <w:spacing w:line="360" w:lineRule="auto"/>
              <w:rPr>
                <w:rFonts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咨询记录与预约绑定正确</w:t>
            </w:r>
          </w:p>
        </w:tc>
        <w:tc>
          <w:tcPr>
            <w:tcW w:w="1069" w:type="dxa"/>
            <w:shd w:val="clear" w:color="auto" w:fill="auto"/>
            <w:vAlign w:val="top"/>
          </w:tcPr>
          <w:p w14:paraId="515D3F22">
            <w:pPr>
              <w:spacing w:line="360" w:lineRule="auto"/>
              <w:rPr>
                <w:rFonts w:hint="eastAsia"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7FB46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6D5D1160">
            <w:pPr>
              <w:spacing w:line="360" w:lineRule="auto"/>
              <w:rPr>
                <w:rFonts w:hint="default" w:asciiTheme="minorEastAsia" w:hAnsiTheme="minorEastAsia" w:eastAsiaTheme="minorEastAsia" w:cstheme="minorBidi"/>
                <w:b w:val="0"/>
                <w:bCs w:val="0"/>
                <w:color w:val="000000" w:themeColor="text1"/>
                <w:kern w:val="2"/>
                <w:sz w:val="21"/>
                <w:szCs w:val="24"/>
                <w:lang w:val="en-US" w:eastAsia="zh-CN" w:bidi="ar-SA"/>
                <w14:textFill>
                  <w14:solidFill>
                    <w14:schemeClr w14:val="tx1"/>
                  </w14:solidFill>
                </w14:textFill>
              </w:rPr>
            </w:pPr>
            <w:r>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t>论坛发帖与审核</w:t>
            </w:r>
          </w:p>
        </w:tc>
        <w:tc>
          <w:tcPr>
            <w:tcW w:w="1428" w:type="dxa"/>
            <w:shd w:val="clear" w:color="auto" w:fill="auto"/>
            <w:vAlign w:val="top"/>
          </w:tcPr>
          <w:p w14:paraId="7CCA1BB2">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验证帖子审核流程</w:t>
            </w:r>
          </w:p>
        </w:tc>
        <w:tc>
          <w:tcPr>
            <w:tcW w:w="2819" w:type="dxa"/>
            <w:shd w:val="clear" w:color="auto" w:fill="auto"/>
            <w:vAlign w:val="top"/>
          </w:tcPr>
          <w:p w14:paraId="2E7376C2">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1.用户提交帖子</w:t>
            </w:r>
          </w:p>
          <w:p w14:paraId="2E81EE4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2.管理员审核通过</w:t>
            </w:r>
          </w:p>
          <w:p w14:paraId="7E76AE7F">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3.前台展示帖子</w:t>
            </w:r>
          </w:p>
        </w:tc>
        <w:tc>
          <w:tcPr>
            <w:tcW w:w="1544" w:type="dxa"/>
            <w:shd w:val="clear" w:color="auto" w:fill="auto"/>
            <w:vAlign w:val="top"/>
          </w:tcPr>
          <w:p w14:paraId="528004E9">
            <w:pPr>
              <w:spacing w:line="360" w:lineRule="auto"/>
              <w:rPr>
                <w:rFonts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帖子审核通过后可见</w:t>
            </w:r>
          </w:p>
        </w:tc>
        <w:tc>
          <w:tcPr>
            <w:tcW w:w="1069" w:type="dxa"/>
            <w:shd w:val="clear" w:color="auto" w:fill="auto"/>
            <w:vAlign w:val="top"/>
          </w:tcPr>
          <w:p w14:paraId="18FD4602">
            <w:pPr>
              <w:spacing w:line="360" w:lineRule="auto"/>
              <w:rPr>
                <w:rFonts w:hint="eastAsia"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33B260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347E79A9">
            <w:pPr>
              <w:spacing w:line="360" w:lineRule="auto"/>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pPr>
            <w:bookmarkStart w:id="29" w:name="_Toc2384"/>
            <w:bookmarkStart w:id="30" w:name="_Toc4355"/>
            <w:r>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t>举报提交</w:t>
            </w:r>
          </w:p>
        </w:tc>
        <w:tc>
          <w:tcPr>
            <w:tcW w:w="1428" w:type="dxa"/>
            <w:shd w:val="clear" w:color="auto" w:fill="auto"/>
            <w:vAlign w:val="top"/>
          </w:tcPr>
          <w:p w14:paraId="2AE91960">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验证举报流程</w:t>
            </w:r>
          </w:p>
        </w:tc>
        <w:tc>
          <w:tcPr>
            <w:tcW w:w="2819" w:type="dxa"/>
            <w:shd w:val="clear" w:color="auto" w:fill="auto"/>
            <w:vAlign w:val="top"/>
          </w:tcPr>
          <w:p w14:paraId="459BAE30">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1.提交举报并上传附件</w:t>
            </w:r>
          </w:p>
          <w:p w14:paraId="42C52F0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2.管理员处理举报</w:t>
            </w:r>
          </w:p>
          <w:p w14:paraId="38EBC5E1">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3.通知举报人</w:t>
            </w:r>
          </w:p>
        </w:tc>
        <w:tc>
          <w:tcPr>
            <w:tcW w:w="1544" w:type="dxa"/>
            <w:shd w:val="clear" w:color="auto" w:fill="auto"/>
            <w:vAlign w:val="top"/>
          </w:tcPr>
          <w:p w14:paraId="537BD9CB">
            <w:pPr>
              <w:spacing w:line="360" w:lineRule="auto"/>
              <w:rPr>
                <w:rFonts w:hint="eastAsia"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举报可被处理且有通知反馈</w:t>
            </w:r>
          </w:p>
        </w:tc>
        <w:tc>
          <w:tcPr>
            <w:tcW w:w="1069" w:type="dxa"/>
            <w:shd w:val="clear" w:color="auto" w:fill="auto"/>
            <w:vAlign w:val="top"/>
          </w:tcPr>
          <w:p w14:paraId="4D194C4A">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bl>
    <w:p w14:paraId="2817E18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6.3 系统集成测试</w:t>
      </w:r>
      <w:bookmarkEnd w:id="29"/>
      <w:bookmarkEnd w:id="30"/>
    </w:p>
    <w:p w14:paraId="63F09A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集成测试主要测试系统的多个模块如何协作，确保各功能模块能够协调运行，优化终端用户的交互体验。部分集成用例如表6-2所示。</w:t>
      </w:r>
    </w:p>
    <w:p w14:paraId="621A8638">
      <w:pPr>
        <w:snapToGrid w:val="0"/>
        <w:spacing w:line="360" w:lineRule="auto"/>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表</w:t>
      </w:r>
      <w:r>
        <w:rPr>
          <w:rFonts w:hint="eastAsia" w:asciiTheme="minorEastAsia" w:hAnsiTheme="minorEastAsia"/>
          <w:color w:val="000000" w:themeColor="text1"/>
          <w:sz w:val="18"/>
          <w:szCs w:val="18"/>
          <w:lang w:val="en-US" w:eastAsia="zh-CN"/>
          <w14:textFill>
            <w14:solidFill>
              <w14:schemeClr w14:val="tx1"/>
            </w14:solidFill>
          </w14:textFill>
        </w:rPr>
        <w:t>6</w:t>
      </w:r>
      <w:r>
        <w:rPr>
          <w:rFonts w:hint="eastAsia" w:asciiTheme="minorEastAsia" w:hAnsiTheme="minorEastAsia"/>
          <w:color w:val="000000" w:themeColor="text1"/>
          <w:sz w:val="18"/>
          <w:szCs w:val="18"/>
          <w14:textFill>
            <w14:solidFill>
              <w14:schemeClr w14:val="tx1"/>
            </w14:solidFill>
          </w14:textFill>
        </w:rPr>
        <w:t>-2集成用例表</w:t>
      </w:r>
    </w:p>
    <w:tbl>
      <w:tblPr>
        <w:tblStyle w:val="18"/>
        <w:tblW w:w="833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2836"/>
        <w:gridCol w:w="1553"/>
        <w:gridCol w:w="1076"/>
      </w:tblGrid>
      <w:tr w14:paraId="3613E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1436" w:type="dxa"/>
            <w:tcBorders>
              <w:bottom w:val="single" w:color="000000" w:themeColor="text1" w:sz="4" w:space="0"/>
              <w:insideH w:val="single" w:sz="4" w:space="0"/>
            </w:tcBorders>
          </w:tcPr>
          <w:p w14:paraId="2E9BEF8E">
            <w:pPr>
              <w:spacing w:line="440" w:lineRule="exact"/>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测试用例</w:t>
            </w:r>
          </w:p>
        </w:tc>
        <w:tc>
          <w:tcPr>
            <w:tcW w:w="1436" w:type="dxa"/>
            <w:tcBorders>
              <w:bottom w:val="single" w:color="000000" w:themeColor="text1" w:sz="4" w:space="0"/>
              <w:insideH w:val="single" w:sz="4" w:space="0"/>
            </w:tcBorders>
          </w:tcPr>
          <w:p w14:paraId="2F41F2EE">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目的</w:t>
            </w:r>
          </w:p>
        </w:tc>
        <w:tc>
          <w:tcPr>
            <w:tcW w:w="2836" w:type="dxa"/>
            <w:tcBorders>
              <w:bottom w:val="single" w:color="000000" w:themeColor="text1" w:sz="4" w:space="0"/>
              <w:insideH w:val="single" w:sz="4" w:space="0"/>
            </w:tcBorders>
          </w:tcPr>
          <w:p w14:paraId="10114DDC">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步骤</w:t>
            </w:r>
          </w:p>
        </w:tc>
        <w:tc>
          <w:tcPr>
            <w:tcW w:w="1553" w:type="dxa"/>
            <w:tcBorders>
              <w:bottom w:val="single" w:color="000000" w:themeColor="text1" w:sz="4" w:space="0"/>
              <w:insideH w:val="single" w:sz="4" w:space="0"/>
            </w:tcBorders>
          </w:tcPr>
          <w:p w14:paraId="02E4A9A6">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预期结果</w:t>
            </w:r>
          </w:p>
        </w:tc>
        <w:tc>
          <w:tcPr>
            <w:tcW w:w="1076" w:type="dxa"/>
            <w:tcBorders>
              <w:bottom w:val="single" w:color="000000" w:themeColor="text1" w:sz="4" w:space="0"/>
              <w:insideH w:val="single" w:sz="4" w:space="0"/>
            </w:tcBorders>
          </w:tcPr>
          <w:p w14:paraId="194CE5AD">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实际结果</w:t>
            </w:r>
          </w:p>
        </w:tc>
      </w:tr>
      <w:tr w14:paraId="0A9B43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w14:paraId="543D832D">
            <w:pPr>
              <w:spacing w:line="360" w:lineRule="auto"/>
              <w:rPr>
                <w:rFonts w:asciiTheme="minorEastAsia" w:hAnsiTheme="minorEastAsia"/>
                <w:b w:val="0"/>
                <w:bCs w:val="0"/>
                <w:color w:val="000000" w:themeColor="text1"/>
                <w14:textFill>
                  <w14:solidFill>
                    <w14:schemeClr w14:val="tx1"/>
                  </w14:solidFill>
                </w14:textFill>
              </w:rPr>
            </w:pPr>
            <w:r>
              <w:rPr>
                <w:rFonts w:asciiTheme="minorEastAsia" w:hAnsiTheme="minorEastAsia"/>
                <w:b w:val="0"/>
                <w:bCs w:val="0"/>
                <w:color w:val="000000" w:themeColor="text1"/>
                <w14:textFill>
                  <w14:solidFill>
                    <w14:schemeClr w14:val="tx1"/>
                  </w14:solidFill>
                </w14:textFill>
              </w:rPr>
              <w:t>用户权限验证</w:t>
            </w:r>
          </w:p>
        </w:tc>
        <w:tc>
          <w:tcPr>
            <w:tcW w:w="1436" w:type="dxa"/>
          </w:tcPr>
          <w:p w14:paraId="56DE4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olor w:val="000000" w:themeColor="text1"/>
                <w:lang w:val="en-US" w:eastAsia="zh-CN"/>
                <w14:textFill>
                  <w14:solidFill>
                    <w14:schemeClr w14:val="tx1"/>
                  </w14:solidFill>
                </w14:textFill>
              </w:rPr>
            </w:pPr>
            <w:r>
              <w:rPr>
                <w:rFonts w:asciiTheme="minorEastAsia" w:hAnsiTheme="minorEastAsia"/>
                <w:color w:val="000000" w:themeColor="text1"/>
                <w14:textFill>
                  <w14:solidFill>
                    <w14:schemeClr w14:val="tx1"/>
                  </w14:solidFill>
                </w14:textFill>
              </w:rPr>
              <w:t>确保</w:t>
            </w:r>
            <w:r>
              <w:rPr>
                <w:rFonts w:hint="eastAsia" w:asciiTheme="minorEastAsia" w:hAnsiTheme="minorEastAsia"/>
                <w:color w:val="000000" w:themeColor="text1"/>
                <w:lang w:val="en-US" w:eastAsia="zh-CN"/>
                <w14:textFill>
                  <w14:solidFill>
                    <w14:schemeClr w14:val="tx1"/>
                  </w14:solidFill>
                </w14:textFill>
              </w:rPr>
              <w:t>系统具有完善的权限管理功能</w:t>
            </w:r>
          </w:p>
        </w:tc>
        <w:tc>
          <w:tcPr>
            <w:tcW w:w="2836" w:type="dxa"/>
          </w:tcPr>
          <w:p w14:paraId="3341E090">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1.使用不同权限的账户登录</w:t>
            </w:r>
            <w:r>
              <w:rPr>
                <w:rFonts w:hint="eastAsia" w:asciiTheme="minorEastAsia" w:hAnsiTheme="minorEastAsia"/>
                <w:color w:val="000000" w:themeColor="text1"/>
                <w:lang w:val="en-US" w:eastAsia="zh-CN"/>
                <w14:textFill>
                  <w14:solidFill>
                    <w14:schemeClr w14:val="tx1"/>
                  </w14:solidFill>
                </w14:textFill>
              </w:rPr>
              <w:t>系统</w:t>
            </w:r>
            <w:r>
              <w:rPr>
                <w:rFonts w:asciiTheme="minorEastAsia" w:hAnsiTheme="minorEastAsia"/>
                <w:color w:val="000000" w:themeColor="text1"/>
                <w14:textFill>
                  <w14:solidFill>
                    <w14:schemeClr w14:val="tx1"/>
                  </w14:solidFill>
                </w14:textFill>
              </w:rPr>
              <w:t>。</w:t>
            </w:r>
          </w:p>
          <w:p w14:paraId="1280512C">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2.尝试访问受限功能或数据。</w:t>
            </w:r>
          </w:p>
          <w:p w14:paraId="275D183D">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3.</w:t>
            </w:r>
            <w:r>
              <w:rPr>
                <w:rFonts w:hint="eastAsia" w:asciiTheme="minorEastAsia" w:hAnsiTheme="minorEastAsia"/>
                <w:color w:val="000000" w:themeColor="text1"/>
                <w:lang w:val="en-US" w:eastAsia="zh-CN"/>
                <w14:textFill>
                  <w14:solidFill>
                    <w14:schemeClr w14:val="tx1"/>
                  </w14:solidFill>
                </w14:textFill>
              </w:rPr>
              <w:t>检查</w:t>
            </w:r>
            <w:r>
              <w:rPr>
                <w:rFonts w:asciiTheme="minorEastAsia" w:hAnsiTheme="minorEastAsia"/>
                <w:color w:val="000000" w:themeColor="text1"/>
                <w14:textFill>
                  <w14:solidFill>
                    <w14:schemeClr w14:val="tx1"/>
                  </w14:solidFill>
                </w14:textFill>
              </w:rPr>
              <w:t>系统是否正确</w:t>
            </w:r>
            <w:r>
              <w:rPr>
                <w:rFonts w:hint="eastAsia" w:asciiTheme="minorEastAsia" w:hAnsiTheme="minorEastAsia"/>
                <w:color w:val="000000" w:themeColor="text1"/>
                <w:lang w:val="en-US" w:eastAsia="zh-CN"/>
                <w14:textFill>
                  <w14:solidFill>
                    <w14:schemeClr w14:val="tx1"/>
                  </w14:solidFill>
                </w14:textFill>
              </w:rPr>
              <w:t>执行了权限控制</w:t>
            </w:r>
            <w:r>
              <w:rPr>
                <w:rFonts w:asciiTheme="minorEastAsia" w:hAnsiTheme="minorEastAsia"/>
                <w:color w:val="000000" w:themeColor="text1"/>
                <w14:textFill>
                  <w14:solidFill>
                    <w14:schemeClr w14:val="tx1"/>
                  </w14:solidFill>
                </w14:textFill>
              </w:rPr>
              <w:t>。</w:t>
            </w:r>
          </w:p>
        </w:tc>
        <w:tc>
          <w:tcPr>
            <w:tcW w:w="1553" w:type="dxa"/>
          </w:tcPr>
          <w:p w14:paraId="3977964E">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asciiTheme="minorEastAsia" w:hAnsiTheme="minorEastAsia"/>
                <w:color w:val="000000" w:themeColor="text1"/>
                <w14:textFill>
                  <w14:solidFill>
                    <w14:schemeClr w14:val="tx1"/>
                  </w14:solidFill>
                </w14:textFill>
              </w:rPr>
              <w:t>系统</w:t>
            </w:r>
            <w:r>
              <w:rPr>
                <w:rFonts w:hint="eastAsia" w:asciiTheme="minorEastAsia" w:hAnsiTheme="minorEastAsia"/>
                <w:color w:val="000000" w:themeColor="text1"/>
                <w:lang w:val="en-US" w:eastAsia="zh-CN"/>
                <w14:textFill>
                  <w14:solidFill>
                    <w14:schemeClr w14:val="tx1"/>
                  </w14:solidFill>
                </w14:textFill>
              </w:rPr>
              <w:t>依照用户权限，正确判断并执行了相应访问</w:t>
            </w:r>
          </w:p>
          <w:p w14:paraId="3BCE0661">
            <w:pPr>
              <w:spacing w:line="360" w:lineRule="auto"/>
              <w:rPr>
                <w:rFonts w:asciiTheme="minorEastAsia" w:hAnsiTheme="minorEastAsia"/>
                <w:color w:val="000000" w:themeColor="text1"/>
                <w14:textFill>
                  <w14:solidFill>
                    <w14:schemeClr w14:val="tx1"/>
                  </w14:solidFill>
                </w14:textFill>
              </w:rPr>
            </w:pPr>
          </w:p>
        </w:tc>
        <w:tc>
          <w:tcPr>
            <w:tcW w:w="1076" w:type="dxa"/>
          </w:tcPr>
          <w:p w14:paraId="69D77B1F">
            <w:pPr>
              <w:spacing w:line="44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p>
        </w:tc>
      </w:tr>
      <w:tr w14:paraId="56CF5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w14:paraId="2E71B27C">
            <w:pPr>
              <w:spacing w:line="360" w:lineRule="auto"/>
              <w:rPr>
                <w:rFonts w:hint="default" w:asciiTheme="minorEastAsia" w:hAnsiTheme="minorEastAsia" w:eastAsiaTheme="minorEastAsia"/>
                <w:b w:val="0"/>
                <w:bCs w:val="0"/>
                <w:color w:val="000000" w:themeColor="text1"/>
                <w:lang w:val="en-US" w:eastAsia="zh-CN"/>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动态数据管理</w:t>
            </w:r>
          </w:p>
        </w:tc>
        <w:tc>
          <w:tcPr>
            <w:tcW w:w="1436" w:type="dxa"/>
          </w:tcPr>
          <w:p w14:paraId="7A4E3D91">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确保前台数据可以实时更新</w:t>
            </w:r>
          </w:p>
        </w:tc>
        <w:tc>
          <w:tcPr>
            <w:tcW w:w="2836" w:type="dxa"/>
          </w:tcPr>
          <w:p w14:paraId="4E13801D">
            <w:pPr>
              <w:numPr>
                <w:ilvl w:val="0"/>
                <w:numId w:val="4"/>
              </w:numPr>
              <w:spacing w:line="360" w:lineRule="auto"/>
              <w:rPr>
                <w:rFonts w:hint="eastAsia"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管理员对相关功能信息进行修改</w:t>
            </w:r>
          </w:p>
          <w:p w14:paraId="4C5D9F4D">
            <w:pPr>
              <w:numPr>
                <w:ilvl w:val="0"/>
                <w:numId w:val="4"/>
              </w:numPr>
              <w:spacing w:line="360" w:lineRule="auto"/>
              <w:rPr>
                <w:rFonts w:hint="default"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用户登录前台系统后可以看到管理员更改后的信息</w:t>
            </w:r>
          </w:p>
        </w:tc>
        <w:tc>
          <w:tcPr>
            <w:tcW w:w="1553" w:type="dxa"/>
          </w:tcPr>
          <w:p w14:paraId="7FAB06D3">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用户可以看到实时更新后的信息</w:t>
            </w:r>
          </w:p>
        </w:tc>
        <w:tc>
          <w:tcPr>
            <w:tcW w:w="1076" w:type="dxa"/>
          </w:tcPr>
          <w:p w14:paraId="531B559C">
            <w:pPr>
              <w:spacing w:line="440" w:lineRule="exact"/>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w:t>
            </w:r>
          </w:p>
        </w:tc>
      </w:tr>
    </w:tbl>
    <w:p w14:paraId="6ED628A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31" w:name="_Toc24929"/>
      <w:bookmarkStart w:id="32" w:name="_Toc23359"/>
      <w:r>
        <w:rPr>
          <w:rFonts w:hint="eastAsia" w:asciiTheme="majorEastAsia" w:hAnsiTheme="majorEastAsia" w:eastAsiaTheme="majorEastAsia" w:cstheme="majorEastAsia"/>
          <w:b/>
          <w:bCs/>
          <w:sz w:val="28"/>
          <w:szCs w:val="28"/>
          <w:lang w:val="en-US" w:eastAsia="zh-CN"/>
        </w:rPr>
        <w:t>6.4 性能测试</w:t>
      </w:r>
      <w:bookmarkEnd w:id="31"/>
      <w:bookmarkEnd w:id="32"/>
    </w:p>
    <w:p w14:paraId="16518F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心理咨询系统的性能测试主要考察并发处理能力，验证多用户同时登录和操作时系统的稳定性，避免系统性能下降或服务中断，测试内容包括多用户登录状态验证及登录后的功能操作流畅性。测试数据如图6-3所示。</w:t>
      </w:r>
    </w:p>
    <w:p w14:paraId="34EFF924">
      <w:pPr>
        <w:pStyle w:val="3"/>
        <w:jc w:val="center"/>
        <w:rPr>
          <w:rFonts w:hint="eastAsia" w:asciiTheme="minorEastAsia" w:hAnsiTheme="minorEastAsia" w:cstheme="minorEastAsia"/>
          <w:kern w:val="2"/>
          <w:sz w:val="24"/>
          <w:szCs w:val="24"/>
          <w:lang w:val="en-US" w:eastAsia="zh-CN" w:bidi="ar-SA"/>
        </w:rPr>
      </w:pPr>
      <w:r>
        <w:rPr>
          <w:rFonts w:ascii="宋体" w:hAnsi="宋体" w:eastAsia="宋体"/>
          <w:sz w:val="18"/>
          <w:szCs w:val="18"/>
        </w:rPr>
        <w:t xml:space="preserve">图 </w:t>
      </w:r>
      <w:r>
        <w:rPr>
          <w:rFonts w:hint="eastAsia" w:ascii="宋体" w:hAnsi="宋体" w:eastAsia="宋体"/>
          <w:sz w:val="18"/>
          <w:szCs w:val="18"/>
          <w:lang w:val="en-US" w:eastAsia="zh-CN"/>
        </w:rPr>
        <w:t>6-3 性能测试图</w:t>
      </w:r>
    </w:p>
    <w:p w14:paraId="51F49990">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default" w:asciiTheme="minorEastAsia" w:hAnsiTheme="minorEastAsia" w:cstheme="minorEastAsia"/>
          <w:kern w:val="2"/>
          <w:sz w:val="24"/>
          <w:szCs w:val="24"/>
          <w:lang w:val="en-US" w:eastAsia="zh-CN" w:bidi="ar-SA"/>
        </w:rPr>
      </w:pPr>
      <w:r>
        <w:rPr>
          <w:rFonts w:hint="default" w:asciiTheme="minorEastAsia" w:hAnsiTheme="minorEastAsia" w:cstheme="minorEastAsia"/>
          <w:kern w:val="2"/>
          <w:sz w:val="24"/>
          <w:szCs w:val="24"/>
          <w:lang w:val="en-US" w:eastAsia="zh-CN" w:bidi="ar-SA"/>
        </w:rPr>
        <w:drawing>
          <wp:inline distT="0" distB="0" distL="114300" distR="114300">
            <wp:extent cx="5271770" cy="1603375"/>
            <wp:effectExtent l="0" t="0" r="11430" b="9525"/>
            <wp:docPr id="24" name="图片 24" descr="Snipaste_2025-04-02_05-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04-02_05-33-04"/>
                    <pic:cNvPicPr>
                      <a:picLocks noChangeAspect="1"/>
                    </pic:cNvPicPr>
                  </pic:nvPicPr>
                  <pic:blipFill>
                    <a:blip r:embed="rId25"/>
                    <a:stretch>
                      <a:fillRect/>
                    </a:stretch>
                  </pic:blipFill>
                  <pic:spPr>
                    <a:xfrm>
                      <a:off x="0" y="0"/>
                      <a:ext cx="5271770" cy="1603375"/>
                    </a:xfrm>
                    <a:prstGeom prst="rect">
                      <a:avLst/>
                    </a:prstGeom>
                  </pic:spPr>
                </pic:pic>
              </a:graphicData>
            </a:graphic>
          </wp:inline>
        </w:drawing>
      </w:r>
    </w:p>
    <w:p w14:paraId="227054E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33" w:name="_Toc29104"/>
      <w:bookmarkStart w:id="34" w:name="_Toc8562"/>
      <w:r>
        <w:rPr>
          <w:rFonts w:hint="eastAsia" w:asciiTheme="majorEastAsia" w:hAnsiTheme="majorEastAsia" w:eastAsiaTheme="majorEastAsia" w:cstheme="majorEastAsia"/>
          <w:b/>
          <w:bCs/>
          <w:sz w:val="28"/>
          <w:szCs w:val="28"/>
          <w:lang w:val="en-US" w:eastAsia="zh-CN"/>
        </w:rPr>
        <w:t>6.5 测试总结</w:t>
      </w:r>
      <w:bookmarkEnd w:id="33"/>
      <w:bookmarkEnd w:id="34"/>
    </w:p>
    <w:p w14:paraId="4A520D2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bookmarkStart w:id="35" w:name="_Toc3091"/>
      <w:bookmarkStart w:id="36" w:name="_Toc26803"/>
      <w:r>
        <w:rPr>
          <w:rFonts w:hint="eastAsia" w:asciiTheme="minorEastAsia" w:hAnsiTheme="minorEastAsia" w:cstheme="minorEastAsia"/>
          <w:kern w:val="2"/>
          <w:sz w:val="24"/>
          <w:szCs w:val="24"/>
          <w:lang w:val="en-US" w:eastAsia="zh-CN" w:bidi="ar-SA"/>
        </w:rPr>
        <w:t>测试结果表明系统能稳定支撑校园心理咨询的主要业务流程，功能正确性与可用性满足预期。各模块功能测试通过，集成测试验证了系统各模块协作正常，性能测试显示系统响应速度满足需求。</w:t>
      </w:r>
    </w:p>
    <w:bookmarkEnd w:id="35"/>
    <w:bookmarkEnd w:id="36"/>
    <w:p w14:paraId="20A5FA8E">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bookmarkStart w:id="37" w:name="_Toc23671"/>
      <w:bookmarkStart w:id="38" w:name="_Toc27593"/>
    </w:p>
    <w:p w14:paraId="602E56C4">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512B9B1F">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1827E762">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10E60808">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7 总结与展望</w:t>
      </w:r>
    </w:p>
    <w:bookmarkEnd w:id="37"/>
    <w:bookmarkEnd w:id="38"/>
    <w:p w14:paraId="117BA048">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7.1 论文工作总结</w:t>
      </w:r>
    </w:p>
    <w:p w14:paraId="10C1F9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Pr>
      <w:bookmarkStart w:id="39" w:name="_Toc19050"/>
      <w:bookmarkStart w:id="40" w:name="_Toc8851"/>
      <w:r>
        <w:rPr>
          <w:rFonts w:hint="eastAsia" w:asciiTheme="minorEastAsia" w:hAnsiTheme="minorEastAsia" w:cstheme="minorEastAsia"/>
          <w:kern w:val="2"/>
          <w:sz w:val="24"/>
          <w:szCs w:val="24"/>
          <w:lang w:val="en-US" w:eastAsia="zh-CN" w:bidi="ar-SA"/>
        </w:rPr>
        <w:t>本文围绕校园心理咨询记录的隐私保护与存证留痕展开，完成了基于 Next.js + Koa + MySQL 的系统设计与实现。系统覆盖注册登录、心理测评、预约与档期、咨询记录与反馈、论坛社区、消息聊天、举报审核与管理员管理等流程，通过 RBAC 与存证记录表实现权限控制与审计留痕，并结合区块链存证模块完成关键业务数据摘要的链上存证。</w:t>
      </w:r>
    </w:p>
    <w:bookmarkEnd w:id="39"/>
    <w:bookmarkEnd w:id="40"/>
    <w:p w14:paraId="55B5024A">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7.2 存在问题与改进方向</w:t>
      </w:r>
    </w:p>
    <w:p w14:paraId="0DDD5A1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当前系统已实现链上存证功能，但仍以基础存证流程和本地测试环境验证为主；消息与论坛内容的合规审核能力仍可细化（例如敏感词检测、举报分级处理）；统计维度可扩展到更细粒度的危机预警与测评趋势分析。</w:t>
      </w:r>
    </w:p>
    <w:p w14:paraId="4CD67C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7.3 对未来展望</w:t>
      </w:r>
    </w:p>
    <w:p w14:paraId="1A373C7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41" w:name="_Toc10387"/>
      <w:bookmarkStart w:id="42" w:name="_Toc24464"/>
      <w:r>
        <w:rPr>
          <w:rFonts w:hint="eastAsia" w:asciiTheme="minorEastAsia" w:hAnsiTheme="minorEastAsia" w:cstheme="minorEastAsia"/>
          <w:kern w:val="2"/>
          <w:sz w:val="24"/>
          <w:szCs w:val="24"/>
          <w:lang w:val="en-US" w:eastAsia="zh-CN" w:bidi="ar-SA"/>
        </w:rPr>
        <w:t>后续将进一步完善联盟链或许可链部署方案，优化存证验证流程与链上确认体验；探索同态加密、联邦学习等隐私计算能力，支持跨部门数据分析；优化用户体验与移动端适配，提升咨询服务的可达性与响应效率。</w:t>
      </w:r>
      <w:bookmarkEnd w:id="41"/>
      <w:bookmarkEnd w:id="42"/>
    </w:p>
    <w:p w14:paraId="095D2E1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53253D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341FD4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2F267B9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57A357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5738AA4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5AA7F0D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086E8CC">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4A69FD9">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6D14F77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B10874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1C884D6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B86CFC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6F16CDCE">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70D66A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2E94AFF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default" w:asciiTheme="majorEastAsia" w:hAnsiTheme="majorEastAsia" w:eastAsiaTheme="majorEastAsia" w:cstheme="majorEastAsia"/>
          <w:b/>
          <w:bCs/>
          <w:sz w:val="32"/>
          <w:szCs w:val="32"/>
          <w:lang w:val="en-US" w:eastAsia="zh-CN"/>
        </w:rPr>
      </w:pPr>
      <w:bookmarkStart w:id="43" w:name="_Toc4851"/>
      <w:bookmarkStart w:id="44" w:name="_Toc21258"/>
      <w:r>
        <w:rPr>
          <w:rFonts w:hint="eastAsia" w:asciiTheme="majorEastAsia" w:hAnsiTheme="majorEastAsia" w:eastAsiaTheme="majorEastAsia" w:cstheme="majorEastAsia"/>
          <w:b/>
          <w:bCs/>
          <w:sz w:val="32"/>
          <w:szCs w:val="32"/>
          <w:lang w:val="en-US" w:eastAsia="zh-CN"/>
        </w:rPr>
        <w:t>参考文献</w:t>
      </w:r>
      <w:bookmarkEnd w:id="43"/>
      <w:bookmarkEnd w:id="44"/>
    </w:p>
    <w:p w14:paraId="1793BE8B">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default" w:ascii="Times New Roman" w:hAnsi="Times New Roman" w:eastAsiaTheme="minorEastAsia"/>
          <w:sz w:val="21"/>
          <w:szCs w:val="21"/>
          <w:lang w:val="en-US" w:eastAsia="zh-CN"/>
        </w:rPr>
        <w:br w:type="page"/>
      </w:r>
      <w:r>
        <w:rPr>
          <w:rFonts w:hint="eastAsia" w:ascii="Times New Roman" w:hAnsi="Times New Roman" w:cs="Times New Roman"/>
          <w:spacing w:val="0"/>
          <w:sz w:val="21"/>
          <w:szCs w:val="21"/>
          <w:lang w:val="en-US"/>
        </w:rPr>
        <w:t>姜来为,廖江亨,刘鑫,等.UANET中基于任务感知的区块链共识与存储协同优化研究[J].通信学报,2026,47(1):223-238.</w:t>
      </w:r>
    </w:p>
    <w:p w14:paraId="220457C3">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闫逸菲,卢浩翔,陈潮.司法区块链电子证据安全存管与访问控制模型研究[J].网络安全技术与应用,2026(2):124-127.</w:t>
      </w:r>
    </w:p>
    <w:p w14:paraId="1CB33D0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杨志和,周晓雨.基于专利情报的区块链身份认证与数字身份领域发展态势研究[J].中国发明与专利,2026,23(1):32-45.</w:t>
      </w:r>
    </w:p>
    <w:p w14:paraId="4E77D0D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W</w:t>
      </w:r>
      <w:r>
        <w:rPr>
          <w:rFonts w:hint="eastAsia" w:ascii="Times New Roman" w:hAnsi="Times New Roman" w:cs="Times New Roman"/>
          <w:spacing w:val="0"/>
          <w:sz w:val="21"/>
          <w:szCs w:val="21"/>
          <w:lang w:val="en-US"/>
        </w:rPr>
        <w:t>ani A A, Mangral S M. Psychological Pathways to Academic Success: Evidences from Tribal and Non-Tribal Adolescent Students in Kashmir[J]. International Journal of Trend in Scientific Research and Development, 2024, 8(6):1357-1361.</w:t>
      </w:r>
    </w:p>
    <w:p w14:paraId="77E608B8">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D</w:t>
      </w:r>
      <w:r>
        <w:rPr>
          <w:rFonts w:hint="eastAsia" w:ascii="Times New Roman" w:hAnsi="Times New Roman" w:cs="Times New Roman"/>
          <w:spacing w:val="0"/>
          <w:sz w:val="21"/>
          <w:szCs w:val="21"/>
          <w:lang w:val="en-US"/>
        </w:rPr>
        <w:t>hanaraj P M, Arunagirinathan N. The Impact of Life Skills Interventions on Psychological Well-being and Self-Esteem among Adolescent College Students: A Counselling Psychology Perspective[J]. International Journal of Trend in Scientific Research and Development, 2025, 9(2):415-417.</w:t>
      </w:r>
    </w:p>
    <w:p w14:paraId="5F17C48C">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K</w:t>
      </w:r>
      <w:r>
        <w:rPr>
          <w:rFonts w:hint="eastAsia" w:ascii="Times New Roman" w:hAnsi="Times New Roman" w:cs="Times New Roman"/>
          <w:spacing w:val="0"/>
          <w:sz w:val="21"/>
          <w:szCs w:val="21"/>
          <w:lang w:val="en-US"/>
        </w:rPr>
        <w:t>iwinga N W, Nyagwencha S K. Predictors of Psychological Resilience: A Cross-Sectional Study Among Adults in Nairobi and Kiambu Counties in Kenya[J]. International Journal of Trend in Scientific Research and Development, 2026, 10(2):11-19.</w:t>
      </w:r>
    </w:p>
    <w:p w14:paraId="3BDF8CF5">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林丹,卢顺峰,刘姿妍,等.大语言模型赋能区块链服务安全研究综述：现状、挑战与机遇(特邀)[J].计算机工程,2026,52(1):1-21.</w:t>
      </w:r>
    </w:p>
    <w:p w14:paraId="1E8759EB">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韩英杰,朱琦.基于区块链的频谱共享算法[J].2026.DOI:10.11959/j.issn.1000-0801.2026006.</w:t>
      </w:r>
    </w:p>
    <w:p w14:paraId="1CFB32FE">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褚玲毅,雷奕,刘满.人工智能与区块链技术在肿瘤护理中的应用现状与挑战[J].广西医学,2026,48(1):143-146.</w:t>
      </w:r>
    </w:p>
    <w:p w14:paraId="37614EB1">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夏云峰.区块链赋能储能供应链溯源体系建设：价值、困境与实现路径[J].物流科技,2026,49(2):168-171.</w:t>
      </w:r>
    </w:p>
    <w:p w14:paraId="4FE09519">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德吉卓嘎,周振东,卫志强.基于区块链的电网工程造价信息共享系统研究[J].石河子科技,2026(2):30-31.</w:t>
      </w:r>
    </w:p>
    <w:p w14:paraId="631DBD41">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马永强.论区块链数字货币监管的理念重塑与路径调适[J].2025(6):39-54.DOI:10.16823/j.cnki.10-1281/d.2025.06.007.</w:t>
      </w:r>
    </w:p>
    <w:p w14:paraId="0A92D49D">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陈敬.区块链赋能供应链减排决策的影响机制研究[D].太原:山西财经大学,2025.</w:t>
      </w:r>
    </w:p>
    <w:p w14:paraId="067EE0D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丁奕炜.基于区块链的钢铁供应链碳排放管理系统[D].南京:南京邮电大学,2024.</w:t>
      </w:r>
    </w:p>
    <w:p w14:paraId="3DA22298">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Jha M, Sengupta M. Culture and Human Development: Educational and Psychological Perspectives[J]. International Journal of Trend in Scientific Research and Development, 2026, 10(1):205-209.</w:t>
      </w:r>
    </w:p>
    <w:p w14:paraId="6CF0A14F">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苏晔.区块链赋能教育数字化平台建设路径研究[J].湖北第二师范学院学报,2026,43(1):19-26.</w:t>
      </w:r>
    </w:p>
    <w:p w14:paraId="7BF1EC54">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李立成,季君,周建宁.基于“区块链+隐私计算”的公安交管数据安全共享路径研究[J].道路交通管理,2026(1):36-39.</w:t>
      </w:r>
    </w:p>
    <w:p w14:paraId="522414EC">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曾光.基于区块链的分布式电力交易平台设计与应用[J].中国设备工程,2026(2):107-109.</w:t>
      </w:r>
    </w:p>
    <w:p w14:paraId="7128A2F0">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唐敏文,戴吾蛟,欧景雯,等.基于区块链的国土空间规划传导体系实现方法[J].地理空间信息,2026,24(2):37-43.</w:t>
      </w:r>
    </w:p>
    <w:p w14:paraId="5F99B794">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Purankar J, Lehal K K, Tiwari J, et al. AI in Mental Health: Analyzing the Role of Mental Well in Psychological Disorder Prevention and Management[J]. International Journal of Trend in Scientific Research and Development, 2025(Special Issue):480-486.</w:t>
      </w:r>
    </w:p>
    <w:p w14:paraId="03FC8F74">
      <w:pPr>
        <w:pStyle w:val="55"/>
        <w:numPr>
          <w:ilvl w:val="0"/>
          <w:numId w:val="0"/>
        </w:numPr>
        <w:autoSpaceDE/>
        <w:autoSpaceDN/>
        <w:spacing w:line="360" w:lineRule="exact"/>
        <w:rPr>
          <w:rFonts w:hint="eastAsia" w:ascii="Times New Roman" w:hAnsi="Times New Roman" w:cs="Times New Roman"/>
          <w:spacing w:val="0"/>
          <w:sz w:val="21"/>
          <w:szCs w:val="21"/>
          <w:lang w:val="en-US"/>
        </w:rPr>
        <w:sectPr>
          <w:headerReference r:id="rId5"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p w14:paraId="4E96829E">
      <w:pPr>
        <w:ind w:left="479" w:leftChars="228" w:firstLine="0" w:firstLineChars="0"/>
        <w:rPr>
          <w:rFonts w:hint="default" w:ascii="Times New Roman" w:hAnsi="Times New Roman" w:eastAsiaTheme="minorEastAsia"/>
          <w:sz w:val="21"/>
          <w:szCs w:val="21"/>
          <w:lang w:val="en-US" w:eastAsia="zh-CN"/>
        </w:rPr>
      </w:pPr>
    </w:p>
    <w:p w14:paraId="10BD55E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Theme="majorEastAsia" w:hAnsiTheme="majorEastAsia" w:eastAsiaTheme="majorEastAsia" w:cstheme="majorEastAsia"/>
          <w:b/>
          <w:bCs/>
          <w:sz w:val="32"/>
          <w:szCs w:val="32"/>
          <w:lang w:val="en-US" w:eastAsia="zh-CN"/>
        </w:rPr>
      </w:pPr>
      <w:bookmarkStart w:id="45" w:name="_Toc167221527"/>
      <w:r>
        <w:rPr>
          <w:rFonts w:hint="eastAsia" w:asciiTheme="majorEastAsia" w:hAnsiTheme="majorEastAsia" w:eastAsiaTheme="majorEastAsia" w:cstheme="majorEastAsia"/>
          <w:b/>
          <w:bCs/>
          <w:sz w:val="32"/>
          <w:szCs w:val="32"/>
          <w:lang w:val="en-US" w:eastAsia="zh-CN"/>
        </w:rPr>
        <w:t>致谢</w:t>
      </w:r>
      <w:bookmarkEnd w:id="45"/>
    </w:p>
    <w:p w14:paraId="78006DA9">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在论文完成过程中，感谢指导教师的耐心指导与帮助，感谢同学们在需求调研与系统测试中提供的支持，也感谢学校提供良好的学习与研究环境。</w:t>
      </w:r>
    </w:p>
    <w:p w14:paraId="6404FB28">
      <w:pPr>
        <w:rPr>
          <w:rFonts w:hint="eastAsia" w:ascii="宋体" w:hAnsi="宋体" w:eastAsia="宋体"/>
          <w:sz w:val="24"/>
          <w:szCs w:val="24"/>
          <w:lang w:val="en-US" w:eastAsia="zh-CN"/>
        </w:rPr>
      </w:pPr>
      <w:r>
        <w:rPr>
          <w:rFonts w:hint="eastAsia" w:ascii="宋体" w:hAnsi="宋体" w:eastAsia="宋体"/>
          <w:sz w:val="24"/>
          <w:szCs w:val="24"/>
          <w:lang w:val="en-US" w:eastAsia="zh-CN"/>
        </w:rPr>
        <w:t>特别感谢在系统开发过程中给予技术支持和建议的各位老师和同学，他们的宝贵意见对本研究的完成起到了重要作用。</w:t>
      </w:r>
    </w:p>
    <w:p w14:paraId="7F07BEC8">
      <w:pPr>
        <w:ind w:firstLine="480" w:firstLineChars="200"/>
      </w:pPr>
      <w:r>
        <w:rPr>
          <w:rFonts w:hint="eastAsia" w:ascii="宋体" w:hAnsi="宋体" w:eastAsia="宋体"/>
          <w:sz w:val="24"/>
          <w:szCs w:val="24"/>
          <w:lang w:val="en-US" w:eastAsia="zh-CN"/>
        </w:rPr>
        <w:t>最后，感谢家人的理解与支持，让我能够专注于研究工作，顺利完成毕业论文的撰写。</w:t>
      </w:r>
    </w:p>
    <w:sectPr>
      <w:footerReference r:id="rId6" w:type="default"/>
      <w:footnotePr>
        <w:numFmt w:val="decimal"/>
      </w:footnotePr>
      <w:pgSz w:w="11912" w:h="16841"/>
      <w:pgMar w:top="1431" w:right="1786" w:bottom="945" w:left="1786" w:header="0" w:footer="7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41733">
    <w:pPr>
      <w:tabs>
        <w:tab w:val="left" w:pos="4665"/>
      </w:tabs>
      <w:spacing w:line="171" w:lineRule="auto"/>
      <w:rPr>
        <w:rFonts w:hint="eastAsia" w:ascii="宋体" w:hAnsi="宋体" w:eastAsia="宋体" w:cs="宋体"/>
        <w:sz w:val="18"/>
        <w:szCs w:val="18"/>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3F43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-92710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6617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7.3pt;height:144pt;width:144pt;mso-position-horizontal:center;mso-position-horizontal-relative:margin;mso-wrap-style:none;z-index:251659264;mso-width-relative:page;mso-height-relative:page;" filled="f" stroked="f" coordsize="21600,21600" o:gfxdata="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om6351gAAAAgBAAAPAAAAAAAAAAEAIAAAACIAAABkcnMvZG93bnJldi54bWxQ&#10;SwECFAAUAAAACACHTuJAlt8PCTICAABjBAAADgAAAAAAAAABACAAAAAlAQAAZHJzL2Uyb0RvYy54&#10;bWxQSwUGAAAAAAYABgBZAQAAyQUAAAAA&#10;">
              <v:fill on="f" focussize="0,0"/>
              <v:stroke on="f" weight="0.5pt"/>
              <v:imagedata o:title=""/>
              <o:lock v:ext="edit" aspectratio="f"/>
              <v:textbox inset="0mm,0mm,0mm,0mm" style="mso-fit-shape-to-text:t;">
                <w:txbxContent>
                  <w:p w14:paraId="3A86617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0721">
    <w:pPr>
      <w:tabs>
        <w:tab w:val="left" w:pos="4665"/>
      </w:tabs>
      <w:spacing w:line="171" w:lineRule="auto"/>
      <w:rPr>
        <w:rFonts w:hint="eastAsia" w:ascii="宋体" w:hAnsi="宋体" w:eastAsia="宋体" w:cs="宋体"/>
        <w:sz w:val="18"/>
        <w:szCs w:val="18"/>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F007B">
    <w:pPr>
      <w:pStyle w:val="8"/>
      <w:pBdr>
        <w:bottom w:val="single" w:color="auto" w:sz="4" w:space="1"/>
      </w:pBdr>
      <w:rPr>
        <w:rFonts w:hint="default" w:eastAsia="宋体"/>
        <w:b w:val="0"/>
        <w:bCs w:val="0"/>
        <w:lang w:val="en-US" w:eastAsia="zh-CN"/>
      </w:rPr>
    </w:pPr>
    <w:r>
      <w:rPr>
        <w:rFonts w:hint="eastAsia"/>
        <w:b w:val="0"/>
        <w:bCs w:val="0"/>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A1DD4"/>
    <w:multiLevelType w:val="singleLevel"/>
    <w:tmpl w:val="A8DA1DD4"/>
    <w:lvl w:ilvl="0" w:tentative="0">
      <w:start w:val="1"/>
      <w:numFmt w:val="decimal"/>
      <w:pStyle w:val="55"/>
      <w:suff w:val="space"/>
      <w:lvlText w:val="[%1]"/>
      <w:lvlJc w:val="left"/>
      <w:pPr>
        <w:ind w:left="0" w:firstLine="476"/>
      </w:pPr>
      <w:rPr>
        <w:rFonts w:hint="default"/>
      </w:rPr>
    </w:lvl>
  </w:abstractNum>
  <w:abstractNum w:abstractNumId="1">
    <w:nsid w:val="CF4DD793"/>
    <w:multiLevelType w:val="singleLevel"/>
    <w:tmpl w:val="CF4DD793"/>
    <w:lvl w:ilvl="0" w:tentative="0">
      <w:start w:val="1"/>
      <w:numFmt w:val="decimal"/>
      <w:lvlText w:val="%1."/>
      <w:lvlJc w:val="left"/>
      <w:pPr>
        <w:tabs>
          <w:tab w:val="left" w:pos="312"/>
        </w:tabs>
      </w:pPr>
    </w:lvl>
  </w:abstractNum>
  <w:abstractNum w:abstractNumId="2">
    <w:nsid w:val="046A2344"/>
    <w:multiLevelType w:val="singleLevel"/>
    <w:tmpl w:val="046A2344"/>
    <w:lvl w:ilvl="0" w:tentative="0">
      <w:start w:val="1"/>
      <w:numFmt w:val="decimal"/>
      <w:suff w:val="nothing"/>
      <w:lvlText w:val="%1、"/>
      <w:lvlJc w:val="left"/>
    </w:lvl>
  </w:abstractNum>
  <w:abstractNum w:abstractNumId="3">
    <w:nsid w:val="0C17B1F4"/>
    <w:multiLevelType w:val="multilevel"/>
    <w:tmpl w:val="0C17B1F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422"/>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zZmI2NDNhOTlkNzFjYTc5MTM0M2U3YzAzYTM5NjgifQ=="/>
    <w:docVar w:name="EN.InstantFormat" w:val="&lt;ENInstantFormat&gt;&lt;Enabled&gt;1&lt;/Enabled&gt;&lt;ScanUnformatted&gt;1&lt;/ScanUnformatted&gt;&lt;ScanChanges&gt;1&lt;/ScanChanges&gt;&lt;Suspended&gt;0&lt;/Suspended&gt;&lt;/ENInstantFormat&gt;"/>
    <w:docVar w:name="EN.Layout" w:val="&lt;ENLayout&gt;&lt;Style&gt;Chinese Std GBT7714 (numeric)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025ee0e52sddepf0av0av2e5zvafrvsevp&quot;&gt;My EndNote Library&lt;record-ids&gt;&lt;item&gt;2&lt;/item&gt;&lt;item&gt;4&lt;/item&gt;&lt;item&gt;5&lt;/item&gt;&lt;item&gt;6&lt;/item&gt;&lt;item&gt;7&lt;/item&gt;&lt;item&gt;8&lt;/item&gt;&lt;item&gt;9&lt;/item&gt;&lt;item&gt;10&lt;/item&gt;&lt;item&gt;11&lt;/item&gt;&lt;item&gt;12&lt;/item&gt;&lt;item&gt;13&lt;/item&gt;&lt;item&gt;14&lt;/item&gt;&lt;item&gt;15&lt;/item&gt;&lt;/record-ids&gt;&lt;/item&gt;&lt;/Libraries&gt;"/>
  </w:docVars>
  <w:rsids>
    <w:rsidRoot w:val="0896285D"/>
    <w:rsid w:val="000E0CD3"/>
    <w:rsid w:val="00917EE0"/>
    <w:rsid w:val="00D20B4D"/>
    <w:rsid w:val="00D62385"/>
    <w:rsid w:val="00EC29B2"/>
    <w:rsid w:val="012D4559"/>
    <w:rsid w:val="019D1480"/>
    <w:rsid w:val="01D759F7"/>
    <w:rsid w:val="01DD7611"/>
    <w:rsid w:val="022E4790"/>
    <w:rsid w:val="023674B5"/>
    <w:rsid w:val="02614378"/>
    <w:rsid w:val="02B33A18"/>
    <w:rsid w:val="02C26F6C"/>
    <w:rsid w:val="02CF1B64"/>
    <w:rsid w:val="02D91237"/>
    <w:rsid w:val="031F3DF1"/>
    <w:rsid w:val="03457E2E"/>
    <w:rsid w:val="037F405A"/>
    <w:rsid w:val="03A22A2A"/>
    <w:rsid w:val="03AB6E19"/>
    <w:rsid w:val="03DA24D8"/>
    <w:rsid w:val="04396D4D"/>
    <w:rsid w:val="048D5092"/>
    <w:rsid w:val="04A22082"/>
    <w:rsid w:val="04AA413D"/>
    <w:rsid w:val="04D61B8B"/>
    <w:rsid w:val="04E36741"/>
    <w:rsid w:val="04ED10C7"/>
    <w:rsid w:val="05076361"/>
    <w:rsid w:val="050B0AD1"/>
    <w:rsid w:val="05107E95"/>
    <w:rsid w:val="052D580A"/>
    <w:rsid w:val="05362844"/>
    <w:rsid w:val="054449E7"/>
    <w:rsid w:val="05603619"/>
    <w:rsid w:val="058B65BE"/>
    <w:rsid w:val="05A84937"/>
    <w:rsid w:val="05B9052D"/>
    <w:rsid w:val="05BE1F9A"/>
    <w:rsid w:val="05C1471D"/>
    <w:rsid w:val="05DE0325"/>
    <w:rsid w:val="05E24C49"/>
    <w:rsid w:val="05FE231A"/>
    <w:rsid w:val="06124705"/>
    <w:rsid w:val="0616408D"/>
    <w:rsid w:val="06253E14"/>
    <w:rsid w:val="064C5DB5"/>
    <w:rsid w:val="065C6BB3"/>
    <w:rsid w:val="066932F2"/>
    <w:rsid w:val="066C6990"/>
    <w:rsid w:val="06723A46"/>
    <w:rsid w:val="06804322"/>
    <w:rsid w:val="06A7015A"/>
    <w:rsid w:val="06CC773E"/>
    <w:rsid w:val="06D21C84"/>
    <w:rsid w:val="072034F0"/>
    <w:rsid w:val="07740BAF"/>
    <w:rsid w:val="07A11279"/>
    <w:rsid w:val="07F015F5"/>
    <w:rsid w:val="08012B30"/>
    <w:rsid w:val="082719E0"/>
    <w:rsid w:val="084904A9"/>
    <w:rsid w:val="084F2C83"/>
    <w:rsid w:val="08555E8D"/>
    <w:rsid w:val="085F6DF0"/>
    <w:rsid w:val="08613354"/>
    <w:rsid w:val="088A5170"/>
    <w:rsid w:val="08905DED"/>
    <w:rsid w:val="08923091"/>
    <w:rsid w:val="0896285D"/>
    <w:rsid w:val="08B2053B"/>
    <w:rsid w:val="08BC04CB"/>
    <w:rsid w:val="09041024"/>
    <w:rsid w:val="0923288D"/>
    <w:rsid w:val="092A7C70"/>
    <w:rsid w:val="092E158E"/>
    <w:rsid w:val="099A2423"/>
    <w:rsid w:val="09AC1534"/>
    <w:rsid w:val="09F417D4"/>
    <w:rsid w:val="0A3A35CC"/>
    <w:rsid w:val="0A7D5FCD"/>
    <w:rsid w:val="0A9E3CF0"/>
    <w:rsid w:val="0ADA2654"/>
    <w:rsid w:val="0AE05CC8"/>
    <w:rsid w:val="0AE40B42"/>
    <w:rsid w:val="0B161D6C"/>
    <w:rsid w:val="0B246449"/>
    <w:rsid w:val="0B5E7B32"/>
    <w:rsid w:val="0B6B051B"/>
    <w:rsid w:val="0B7B5C3A"/>
    <w:rsid w:val="0BA54B88"/>
    <w:rsid w:val="0BC11A15"/>
    <w:rsid w:val="0BC23F01"/>
    <w:rsid w:val="0BC63740"/>
    <w:rsid w:val="0BD734D9"/>
    <w:rsid w:val="0BE77549"/>
    <w:rsid w:val="0BF84E49"/>
    <w:rsid w:val="0C13779A"/>
    <w:rsid w:val="0C1947F9"/>
    <w:rsid w:val="0C481BA0"/>
    <w:rsid w:val="0CB860E4"/>
    <w:rsid w:val="0CD619C5"/>
    <w:rsid w:val="0D230698"/>
    <w:rsid w:val="0D316A46"/>
    <w:rsid w:val="0D3B6CD1"/>
    <w:rsid w:val="0D490DFB"/>
    <w:rsid w:val="0D4D469D"/>
    <w:rsid w:val="0D517F91"/>
    <w:rsid w:val="0D7E55E5"/>
    <w:rsid w:val="0DB81FDD"/>
    <w:rsid w:val="0DD71E98"/>
    <w:rsid w:val="0DD95BF2"/>
    <w:rsid w:val="0DF5199B"/>
    <w:rsid w:val="0DFD0FF8"/>
    <w:rsid w:val="0E236766"/>
    <w:rsid w:val="0E574D87"/>
    <w:rsid w:val="0E6E7DC7"/>
    <w:rsid w:val="0E812F2D"/>
    <w:rsid w:val="0E9654AA"/>
    <w:rsid w:val="0EC444CE"/>
    <w:rsid w:val="0EC97443"/>
    <w:rsid w:val="0ED4462A"/>
    <w:rsid w:val="0EE02FCE"/>
    <w:rsid w:val="0EE04D7C"/>
    <w:rsid w:val="0F102E23"/>
    <w:rsid w:val="0F164A2F"/>
    <w:rsid w:val="0F1E44C4"/>
    <w:rsid w:val="0F2413EE"/>
    <w:rsid w:val="0F2A6DA2"/>
    <w:rsid w:val="0F3B4AA4"/>
    <w:rsid w:val="0F876CAA"/>
    <w:rsid w:val="0F9E52CA"/>
    <w:rsid w:val="0FAE4D09"/>
    <w:rsid w:val="0FE5188F"/>
    <w:rsid w:val="0FE57A8B"/>
    <w:rsid w:val="101A4F37"/>
    <w:rsid w:val="102C368A"/>
    <w:rsid w:val="103B58EB"/>
    <w:rsid w:val="106109DE"/>
    <w:rsid w:val="10840ECA"/>
    <w:rsid w:val="10911088"/>
    <w:rsid w:val="10A05DEA"/>
    <w:rsid w:val="10A54F1C"/>
    <w:rsid w:val="10AC308C"/>
    <w:rsid w:val="10D10E21"/>
    <w:rsid w:val="10EF3311"/>
    <w:rsid w:val="10FA155B"/>
    <w:rsid w:val="11260B5B"/>
    <w:rsid w:val="1127433B"/>
    <w:rsid w:val="113849FC"/>
    <w:rsid w:val="114A5F32"/>
    <w:rsid w:val="114B4B78"/>
    <w:rsid w:val="114E576B"/>
    <w:rsid w:val="11573496"/>
    <w:rsid w:val="119360D6"/>
    <w:rsid w:val="11B6318F"/>
    <w:rsid w:val="11B7030E"/>
    <w:rsid w:val="11BD13A5"/>
    <w:rsid w:val="11C501BA"/>
    <w:rsid w:val="11D32B00"/>
    <w:rsid w:val="11DC1820"/>
    <w:rsid w:val="12133839"/>
    <w:rsid w:val="125629DD"/>
    <w:rsid w:val="12767C6C"/>
    <w:rsid w:val="12A56A47"/>
    <w:rsid w:val="12B126C3"/>
    <w:rsid w:val="12EB68F6"/>
    <w:rsid w:val="13311AF3"/>
    <w:rsid w:val="13322BE9"/>
    <w:rsid w:val="133F0289"/>
    <w:rsid w:val="1356385F"/>
    <w:rsid w:val="136A3109"/>
    <w:rsid w:val="136F2F5A"/>
    <w:rsid w:val="138959E3"/>
    <w:rsid w:val="13946135"/>
    <w:rsid w:val="13BC37B8"/>
    <w:rsid w:val="13C04961"/>
    <w:rsid w:val="13FF0056"/>
    <w:rsid w:val="141B767E"/>
    <w:rsid w:val="142E0313"/>
    <w:rsid w:val="14520761"/>
    <w:rsid w:val="14611E2E"/>
    <w:rsid w:val="14670547"/>
    <w:rsid w:val="1469430D"/>
    <w:rsid w:val="14891A12"/>
    <w:rsid w:val="14A77233"/>
    <w:rsid w:val="14BE2C2B"/>
    <w:rsid w:val="14D40EF8"/>
    <w:rsid w:val="14EF7885"/>
    <w:rsid w:val="14F51A89"/>
    <w:rsid w:val="155E3991"/>
    <w:rsid w:val="15603A94"/>
    <w:rsid w:val="15802E15"/>
    <w:rsid w:val="15971A96"/>
    <w:rsid w:val="15A44D56"/>
    <w:rsid w:val="15AA6325"/>
    <w:rsid w:val="15BC32DC"/>
    <w:rsid w:val="15DB29F7"/>
    <w:rsid w:val="166C7871"/>
    <w:rsid w:val="1674297A"/>
    <w:rsid w:val="167A49DB"/>
    <w:rsid w:val="16FB00D6"/>
    <w:rsid w:val="17067369"/>
    <w:rsid w:val="173619DD"/>
    <w:rsid w:val="173D2D0B"/>
    <w:rsid w:val="17474C67"/>
    <w:rsid w:val="176C7C25"/>
    <w:rsid w:val="17B374D2"/>
    <w:rsid w:val="17F13B56"/>
    <w:rsid w:val="17F87179"/>
    <w:rsid w:val="182D03F5"/>
    <w:rsid w:val="18481314"/>
    <w:rsid w:val="184E51BC"/>
    <w:rsid w:val="18601181"/>
    <w:rsid w:val="186F04A3"/>
    <w:rsid w:val="188816E3"/>
    <w:rsid w:val="18A87611"/>
    <w:rsid w:val="18B26869"/>
    <w:rsid w:val="18D314AE"/>
    <w:rsid w:val="18D3325C"/>
    <w:rsid w:val="18E23274"/>
    <w:rsid w:val="18E23C2A"/>
    <w:rsid w:val="18ED03CD"/>
    <w:rsid w:val="18FA1546"/>
    <w:rsid w:val="19894C64"/>
    <w:rsid w:val="19D90559"/>
    <w:rsid w:val="1A1C2C01"/>
    <w:rsid w:val="1A4357AF"/>
    <w:rsid w:val="1A442A69"/>
    <w:rsid w:val="1A473F4B"/>
    <w:rsid w:val="1A694281"/>
    <w:rsid w:val="1AC34903"/>
    <w:rsid w:val="1B00219A"/>
    <w:rsid w:val="1B3A5AA4"/>
    <w:rsid w:val="1B4204EE"/>
    <w:rsid w:val="1B4E14D4"/>
    <w:rsid w:val="1B65531B"/>
    <w:rsid w:val="1B774608"/>
    <w:rsid w:val="1B85582A"/>
    <w:rsid w:val="1B920007"/>
    <w:rsid w:val="1B9B1872"/>
    <w:rsid w:val="1BFE2CE6"/>
    <w:rsid w:val="1C1C30F3"/>
    <w:rsid w:val="1C3C0450"/>
    <w:rsid w:val="1C3E1334"/>
    <w:rsid w:val="1C4F3B2F"/>
    <w:rsid w:val="1C8A29D2"/>
    <w:rsid w:val="1CC730D8"/>
    <w:rsid w:val="1CD04BA2"/>
    <w:rsid w:val="1CE27F12"/>
    <w:rsid w:val="1CE65C54"/>
    <w:rsid w:val="1D0654FC"/>
    <w:rsid w:val="1D1207F7"/>
    <w:rsid w:val="1D2121DE"/>
    <w:rsid w:val="1D2C1C3B"/>
    <w:rsid w:val="1D40190D"/>
    <w:rsid w:val="1D641A3B"/>
    <w:rsid w:val="1D724FBA"/>
    <w:rsid w:val="1D7360E0"/>
    <w:rsid w:val="1D954CC3"/>
    <w:rsid w:val="1D9A4D6E"/>
    <w:rsid w:val="1DA908A0"/>
    <w:rsid w:val="1DB806C1"/>
    <w:rsid w:val="1DBA49EB"/>
    <w:rsid w:val="1DCD0E2A"/>
    <w:rsid w:val="1E336318"/>
    <w:rsid w:val="1E786D7F"/>
    <w:rsid w:val="1E8E637C"/>
    <w:rsid w:val="1EDA3179"/>
    <w:rsid w:val="1F256949"/>
    <w:rsid w:val="1F441A93"/>
    <w:rsid w:val="1F5B21BE"/>
    <w:rsid w:val="1F630954"/>
    <w:rsid w:val="1F8443A2"/>
    <w:rsid w:val="1FA6756F"/>
    <w:rsid w:val="1FB30453"/>
    <w:rsid w:val="1FD205B4"/>
    <w:rsid w:val="20014799"/>
    <w:rsid w:val="203E7B55"/>
    <w:rsid w:val="205660BD"/>
    <w:rsid w:val="2062664D"/>
    <w:rsid w:val="2068199F"/>
    <w:rsid w:val="206C0B34"/>
    <w:rsid w:val="206D151A"/>
    <w:rsid w:val="208A6CE1"/>
    <w:rsid w:val="20BE2687"/>
    <w:rsid w:val="20C506F5"/>
    <w:rsid w:val="20D3065E"/>
    <w:rsid w:val="21157114"/>
    <w:rsid w:val="211803A6"/>
    <w:rsid w:val="21244A8E"/>
    <w:rsid w:val="2127357E"/>
    <w:rsid w:val="214D15F0"/>
    <w:rsid w:val="21835419"/>
    <w:rsid w:val="219B703A"/>
    <w:rsid w:val="21A701F0"/>
    <w:rsid w:val="21A77F6C"/>
    <w:rsid w:val="21BF3B5D"/>
    <w:rsid w:val="21C802CF"/>
    <w:rsid w:val="21CD6B72"/>
    <w:rsid w:val="21D550A9"/>
    <w:rsid w:val="21E604A4"/>
    <w:rsid w:val="21F4496F"/>
    <w:rsid w:val="21FF50C2"/>
    <w:rsid w:val="22194EB7"/>
    <w:rsid w:val="22274417"/>
    <w:rsid w:val="22361059"/>
    <w:rsid w:val="22482F0D"/>
    <w:rsid w:val="2249387E"/>
    <w:rsid w:val="225322DB"/>
    <w:rsid w:val="226107F1"/>
    <w:rsid w:val="22885070"/>
    <w:rsid w:val="229F2EDC"/>
    <w:rsid w:val="22E5250A"/>
    <w:rsid w:val="22EA50F3"/>
    <w:rsid w:val="23150E4F"/>
    <w:rsid w:val="235513EE"/>
    <w:rsid w:val="235976EC"/>
    <w:rsid w:val="236C3A84"/>
    <w:rsid w:val="23990D0C"/>
    <w:rsid w:val="23BE19B4"/>
    <w:rsid w:val="23C73E2E"/>
    <w:rsid w:val="23D447D9"/>
    <w:rsid w:val="23E44D65"/>
    <w:rsid w:val="23E813BD"/>
    <w:rsid w:val="23F2379E"/>
    <w:rsid w:val="240D360E"/>
    <w:rsid w:val="24136710"/>
    <w:rsid w:val="24BC0CFB"/>
    <w:rsid w:val="24CC572F"/>
    <w:rsid w:val="24FD7FDE"/>
    <w:rsid w:val="25103DE8"/>
    <w:rsid w:val="252268A0"/>
    <w:rsid w:val="25494FD2"/>
    <w:rsid w:val="254D730D"/>
    <w:rsid w:val="25E81A23"/>
    <w:rsid w:val="261750D0"/>
    <w:rsid w:val="261915A4"/>
    <w:rsid w:val="264E03C6"/>
    <w:rsid w:val="265F4953"/>
    <w:rsid w:val="26661A29"/>
    <w:rsid w:val="268C39FB"/>
    <w:rsid w:val="269359A8"/>
    <w:rsid w:val="2697330D"/>
    <w:rsid w:val="26BE763B"/>
    <w:rsid w:val="26C47709"/>
    <w:rsid w:val="26CC7C68"/>
    <w:rsid w:val="26D31687"/>
    <w:rsid w:val="26DB0683"/>
    <w:rsid w:val="27070CA1"/>
    <w:rsid w:val="278774F8"/>
    <w:rsid w:val="27933CD9"/>
    <w:rsid w:val="27B379B2"/>
    <w:rsid w:val="281D411F"/>
    <w:rsid w:val="28650375"/>
    <w:rsid w:val="286B3A4E"/>
    <w:rsid w:val="289203FF"/>
    <w:rsid w:val="28AA222B"/>
    <w:rsid w:val="28BF095C"/>
    <w:rsid w:val="28CC5549"/>
    <w:rsid w:val="28E33031"/>
    <w:rsid w:val="28E407F3"/>
    <w:rsid w:val="28E70DA8"/>
    <w:rsid w:val="28F42E82"/>
    <w:rsid w:val="29064F88"/>
    <w:rsid w:val="291458F7"/>
    <w:rsid w:val="2946619F"/>
    <w:rsid w:val="2946642F"/>
    <w:rsid w:val="294E0E83"/>
    <w:rsid w:val="29575D4E"/>
    <w:rsid w:val="296F27F7"/>
    <w:rsid w:val="29795D4A"/>
    <w:rsid w:val="29DE2D00"/>
    <w:rsid w:val="29EF0897"/>
    <w:rsid w:val="2A6952D3"/>
    <w:rsid w:val="2A711591"/>
    <w:rsid w:val="2AB06293"/>
    <w:rsid w:val="2AC82E3D"/>
    <w:rsid w:val="2B044FE5"/>
    <w:rsid w:val="2B43049B"/>
    <w:rsid w:val="2B6D07A6"/>
    <w:rsid w:val="2B7B675B"/>
    <w:rsid w:val="2B893B72"/>
    <w:rsid w:val="2B96500B"/>
    <w:rsid w:val="2BA240C6"/>
    <w:rsid w:val="2BCB5516"/>
    <w:rsid w:val="2BD46E35"/>
    <w:rsid w:val="2BE55328"/>
    <w:rsid w:val="2BEE6E3B"/>
    <w:rsid w:val="2C793A2E"/>
    <w:rsid w:val="2C901738"/>
    <w:rsid w:val="2CC808CC"/>
    <w:rsid w:val="2CF97A59"/>
    <w:rsid w:val="2D4C002C"/>
    <w:rsid w:val="2D64477B"/>
    <w:rsid w:val="2D844C86"/>
    <w:rsid w:val="2DA978C9"/>
    <w:rsid w:val="2DEA131C"/>
    <w:rsid w:val="2DF70155"/>
    <w:rsid w:val="2E204F3D"/>
    <w:rsid w:val="2E301AB4"/>
    <w:rsid w:val="2E31032F"/>
    <w:rsid w:val="2E5036D6"/>
    <w:rsid w:val="2ED975A3"/>
    <w:rsid w:val="2F001C61"/>
    <w:rsid w:val="2F135073"/>
    <w:rsid w:val="2F382C4F"/>
    <w:rsid w:val="2F556449"/>
    <w:rsid w:val="2F556852"/>
    <w:rsid w:val="2F5729E1"/>
    <w:rsid w:val="2F607D45"/>
    <w:rsid w:val="2F8C7767"/>
    <w:rsid w:val="2F943FCB"/>
    <w:rsid w:val="30024B76"/>
    <w:rsid w:val="302723B3"/>
    <w:rsid w:val="30474804"/>
    <w:rsid w:val="305B2007"/>
    <w:rsid w:val="308D1CC8"/>
    <w:rsid w:val="30BF6B16"/>
    <w:rsid w:val="30E7658E"/>
    <w:rsid w:val="31565409"/>
    <w:rsid w:val="31705152"/>
    <w:rsid w:val="317251C4"/>
    <w:rsid w:val="31D677DA"/>
    <w:rsid w:val="31E91474"/>
    <w:rsid w:val="321876AA"/>
    <w:rsid w:val="323C1F80"/>
    <w:rsid w:val="32751BDF"/>
    <w:rsid w:val="327E20F9"/>
    <w:rsid w:val="32903052"/>
    <w:rsid w:val="3290431A"/>
    <w:rsid w:val="32A007AA"/>
    <w:rsid w:val="32AD727A"/>
    <w:rsid w:val="32C35685"/>
    <w:rsid w:val="32DC4415"/>
    <w:rsid w:val="32F8466E"/>
    <w:rsid w:val="3306699B"/>
    <w:rsid w:val="330D42CF"/>
    <w:rsid w:val="3334226B"/>
    <w:rsid w:val="335E4D22"/>
    <w:rsid w:val="33D8614C"/>
    <w:rsid w:val="33D92513"/>
    <w:rsid w:val="34864F4E"/>
    <w:rsid w:val="349E251A"/>
    <w:rsid w:val="34E97A94"/>
    <w:rsid w:val="35093625"/>
    <w:rsid w:val="350A6AB8"/>
    <w:rsid w:val="350B5077"/>
    <w:rsid w:val="35650039"/>
    <w:rsid w:val="359D0926"/>
    <w:rsid w:val="35D84DFA"/>
    <w:rsid w:val="35EE71D9"/>
    <w:rsid w:val="36201D7F"/>
    <w:rsid w:val="36230D24"/>
    <w:rsid w:val="36304DE6"/>
    <w:rsid w:val="36686D57"/>
    <w:rsid w:val="3685699E"/>
    <w:rsid w:val="36A111C5"/>
    <w:rsid w:val="36C2126F"/>
    <w:rsid w:val="36E87AC3"/>
    <w:rsid w:val="36F67C60"/>
    <w:rsid w:val="36F70AE6"/>
    <w:rsid w:val="3701636F"/>
    <w:rsid w:val="37140AEA"/>
    <w:rsid w:val="371B01E8"/>
    <w:rsid w:val="37355187"/>
    <w:rsid w:val="37415953"/>
    <w:rsid w:val="375821C8"/>
    <w:rsid w:val="37590204"/>
    <w:rsid w:val="3785792F"/>
    <w:rsid w:val="37F115D7"/>
    <w:rsid w:val="37F7345E"/>
    <w:rsid w:val="38022E9C"/>
    <w:rsid w:val="3825542A"/>
    <w:rsid w:val="38526457"/>
    <w:rsid w:val="38652851"/>
    <w:rsid w:val="3870012C"/>
    <w:rsid w:val="387B504A"/>
    <w:rsid w:val="38910B5D"/>
    <w:rsid w:val="38B26102"/>
    <w:rsid w:val="38C5664D"/>
    <w:rsid w:val="38D60AEA"/>
    <w:rsid w:val="38EA49A4"/>
    <w:rsid w:val="38F512A1"/>
    <w:rsid w:val="39057BE7"/>
    <w:rsid w:val="39215EFE"/>
    <w:rsid w:val="3940440F"/>
    <w:rsid w:val="39BB7E3A"/>
    <w:rsid w:val="39DC55CC"/>
    <w:rsid w:val="39E41315"/>
    <w:rsid w:val="3A4F4D7F"/>
    <w:rsid w:val="3A5236B8"/>
    <w:rsid w:val="3A564787"/>
    <w:rsid w:val="3A7B6D86"/>
    <w:rsid w:val="3A903D1F"/>
    <w:rsid w:val="3AA71D0D"/>
    <w:rsid w:val="3AD4310F"/>
    <w:rsid w:val="3AF23796"/>
    <w:rsid w:val="3B0D0B61"/>
    <w:rsid w:val="3B651E25"/>
    <w:rsid w:val="3B7266C3"/>
    <w:rsid w:val="3BAD042C"/>
    <w:rsid w:val="3BC11221"/>
    <w:rsid w:val="3BDC6826"/>
    <w:rsid w:val="3BE67F74"/>
    <w:rsid w:val="3C12795D"/>
    <w:rsid w:val="3C192E96"/>
    <w:rsid w:val="3C2105FF"/>
    <w:rsid w:val="3CF1101D"/>
    <w:rsid w:val="3D213755"/>
    <w:rsid w:val="3D527239"/>
    <w:rsid w:val="3D5938EC"/>
    <w:rsid w:val="3D6F7148"/>
    <w:rsid w:val="3D7B2612"/>
    <w:rsid w:val="3DE55DF3"/>
    <w:rsid w:val="3E500D27"/>
    <w:rsid w:val="3E5275B5"/>
    <w:rsid w:val="3E57527A"/>
    <w:rsid w:val="3E872B8A"/>
    <w:rsid w:val="3EA33686"/>
    <w:rsid w:val="3EE20045"/>
    <w:rsid w:val="3EEB5440"/>
    <w:rsid w:val="3EF753F8"/>
    <w:rsid w:val="3EF92FA4"/>
    <w:rsid w:val="3EFE6E21"/>
    <w:rsid w:val="3F1104B7"/>
    <w:rsid w:val="3F423694"/>
    <w:rsid w:val="3F4F0FDF"/>
    <w:rsid w:val="3F641BC2"/>
    <w:rsid w:val="3F8955FF"/>
    <w:rsid w:val="3F966D80"/>
    <w:rsid w:val="3FA306A5"/>
    <w:rsid w:val="3FAE504C"/>
    <w:rsid w:val="3FD85FB3"/>
    <w:rsid w:val="3FE020B5"/>
    <w:rsid w:val="401B136F"/>
    <w:rsid w:val="40277BFF"/>
    <w:rsid w:val="407A02DD"/>
    <w:rsid w:val="40916DB0"/>
    <w:rsid w:val="40955341"/>
    <w:rsid w:val="40E863B2"/>
    <w:rsid w:val="416C0ADB"/>
    <w:rsid w:val="417116E0"/>
    <w:rsid w:val="41766B61"/>
    <w:rsid w:val="41A973DD"/>
    <w:rsid w:val="41FF0A9A"/>
    <w:rsid w:val="420805D6"/>
    <w:rsid w:val="422E4911"/>
    <w:rsid w:val="42763AAD"/>
    <w:rsid w:val="42A66C22"/>
    <w:rsid w:val="42FF16EA"/>
    <w:rsid w:val="43132C33"/>
    <w:rsid w:val="435700E2"/>
    <w:rsid w:val="43664A52"/>
    <w:rsid w:val="43874946"/>
    <w:rsid w:val="43A333AD"/>
    <w:rsid w:val="43F6411F"/>
    <w:rsid w:val="440B3856"/>
    <w:rsid w:val="44884B34"/>
    <w:rsid w:val="448E4357"/>
    <w:rsid w:val="44CB55AC"/>
    <w:rsid w:val="45010FCD"/>
    <w:rsid w:val="45143723"/>
    <w:rsid w:val="4518015D"/>
    <w:rsid w:val="453749EF"/>
    <w:rsid w:val="45483DDD"/>
    <w:rsid w:val="458D52AA"/>
    <w:rsid w:val="459736E0"/>
    <w:rsid w:val="459756F8"/>
    <w:rsid w:val="45BA3BB3"/>
    <w:rsid w:val="45CF2276"/>
    <w:rsid w:val="45EC3D2C"/>
    <w:rsid w:val="464909B5"/>
    <w:rsid w:val="464B2231"/>
    <w:rsid w:val="46542EDA"/>
    <w:rsid w:val="46A0422A"/>
    <w:rsid w:val="46D76D9D"/>
    <w:rsid w:val="46E42955"/>
    <w:rsid w:val="470B1E18"/>
    <w:rsid w:val="47246DE4"/>
    <w:rsid w:val="47547BC6"/>
    <w:rsid w:val="475568ED"/>
    <w:rsid w:val="47742A84"/>
    <w:rsid w:val="477B348A"/>
    <w:rsid w:val="47A0687C"/>
    <w:rsid w:val="47FF10B4"/>
    <w:rsid w:val="48332D71"/>
    <w:rsid w:val="48403C51"/>
    <w:rsid w:val="48405B78"/>
    <w:rsid w:val="485B6C46"/>
    <w:rsid w:val="4880181A"/>
    <w:rsid w:val="48BE13B5"/>
    <w:rsid w:val="48C26263"/>
    <w:rsid w:val="48C43F17"/>
    <w:rsid w:val="48CD1D9E"/>
    <w:rsid w:val="49092250"/>
    <w:rsid w:val="490A5461"/>
    <w:rsid w:val="490F775C"/>
    <w:rsid w:val="491C63D6"/>
    <w:rsid w:val="492437C3"/>
    <w:rsid w:val="493A2D00"/>
    <w:rsid w:val="496913DD"/>
    <w:rsid w:val="496E5909"/>
    <w:rsid w:val="497B376E"/>
    <w:rsid w:val="497F0713"/>
    <w:rsid w:val="49AB1223"/>
    <w:rsid w:val="49C65347"/>
    <w:rsid w:val="49FF380D"/>
    <w:rsid w:val="4A3D0EBD"/>
    <w:rsid w:val="4A410A06"/>
    <w:rsid w:val="4A647FF2"/>
    <w:rsid w:val="4A70502C"/>
    <w:rsid w:val="4A862200"/>
    <w:rsid w:val="4A89631E"/>
    <w:rsid w:val="4AA9341C"/>
    <w:rsid w:val="4AC04264"/>
    <w:rsid w:val="4ACB77C3"/>
    <w:rsid w:val="4AE35481"/>
    <w:rsid w:val="4B266B52"/>
    <w:rsid w:val="4B490FD8"/>
    <w:rsid w:val="4B4C51F0"/>
    <w:rsid w:val="4B772165"/>
    <w:rsid w:val="4B7D129F"/>
    <w:rsid w:val="4BC22F8F"/>
    <w:rsid w:val="4C261B9A"/>
    <w:rsid w:val="4C26537C"/>
    <w:rsid w:val="4C3D3255"/>
    <w:rsid w:val="4C7976A6"/>
    <w:rsid w:val="4CC7027D"/>
    <w:rsid w:val="4CC748AA"/>
    <w:rsid w:val="4CC84165"/>
    <w:rsid w:val="4D0B6C4F"/>
    <w:rsid w:val="4D331DCC"/>
    <w:rsid w:val="4D467FBE"/>
    <w:rsid w:val="4D55335E"/>
    <w:rsid w:val="4D5E5140"/>
    <w:rsid w:val="4D686888"/>
    <w:rsid w:val="4D720187"/>
    <w:rsid w:val="4D7A28EA"/>
    <w:rsid w:val="4D830915"/>
    <w:rsid w:val="4E2F0C9B"/>
    <w:rsid w:val="4E4D62BB"/>
    <w:rsid w:val="4E7E7E38"/>
    <w:rsid w:val="4E841AB7"/>
    <w:rsid w:val="4E865886"/>
    <w:rsid w:val="4EC4367D"/>
    <w:rsid w:val="4EC61D61"/>
    <w:rsid w:val="4EEC7E33"/>
    <w:rsid w:val="4F0F0EEB"/>
    <w:rsid w:val="4F2B14B1"/>
    <w:rsid w:val="4F5F4528"/>
    <w:rsid w:val="4F6C10C4"/>
    <w:rsid w:val="4F701229"/>
    <w:rsid w:val="4FC4310C"/>
    <w:rsid w:val="4FD521A6"/>
    <w:rsid w:val="4FE724B5"/>
    <w:rsid w:val="500F37B7"/>
    <w:rsid w:val="50291142"/>
    <w:rsid w:val="50740CF9"/>
    <w:rsid w:val="50DD221E"/>
    <w:rsid w:val="50DD5B5E"/>
    <w:rsid w:val="50E833E9"/>
    <w:rsid w:val="50F30E68"/>
    <w:rsid w:val="51071719"/>
    <w:rsid w:val="513B7615"/>
    <w:rsid w:val="51685537"/>
    <w:rsid w:val="517B5039"/>
    <w:rsid w:val="51894111"/>
    <w:rsid w:val="518F5B09"/>
    <w:rsid w:val="526850F9"/>
    <w:rsid w:val="52730B24"/>
    <w:rsid w:val="52A116FA"/>
    <w:rsid w:val="52B95EFF"/>
    <w:rsid w:val="52D42F85"/>
    <w:rsid w:val="52D9327C"/>
    <w:rsid w:val="530D6275"/>
    <w:rsid w:val="53132A08"/>
    <w:rsid w:val="53296783"/>
    <w:rsid w:val="5349426B"/>
    <w:rsid w:val="53614C5A"/>
    <w:rsid w:val="539F72D3"/>
    <w:rsid w:val="53F6133F"/>
    <w:rsid w:val="5405097D"/>
    <w:rsid w:val="54100863"/>
    <w:rsid w:val="541D74A6"/>
    <w:rsid w:val="54323DFC"/>
    <w:rsid w:val="54516FCD"/>
    <w:rsid w:val="54CA3122"/>
    <w:rsid w:val="54D25100"/>
    <w:rsid w:val="54DE4283"/>
    <w:rsid w:val="54F5082C"/>
    <w:rsid w:val="5542295A"/>
    <w:rsid w:val="558E1B4B"/>
    <w:rsid w:val="559E6D78"/>
    <w:rsid w:val="55DD42BD"/>
    <w:rsid w:val="55E664D3"/>
    <w:rsid w:val="55F52488"/>
    <w:rsid w:val="560D46CA"/>
    <w:rsid w:val="564C707D"/>
    <w:rsid w:val="56612007"/>
    <w:rsid w:val="56753CBB"/>
    <w:rsid w:val="56FC0602"/>
    <w:rsid w:val="57275B41"/>
    <w:rsid w:val="572F3CE6"/>
    <w:rsid w:val="57326782"/>
    <w:rsid w:val="576B6EA2"/>
    <w:rsid w:val="57821531"/>
    <w:rsid w:val="57CD38E1"/>
    <w:rsid w:val="57D91499"/>
    <w:rsid w:val="57DB4A0B"/>
    <w:rsid w:val="57DE1D03"/>
    <w:rsid w:val="580F5A44"/>
    <w:rsid w:val="58217F95"/>
    <w:rsid w:val="58416076"/>
    <w:rsid w:val="58453969"/>
    <w:rsid w:val="58453A07"/>
    <w:rsid w:val="58510563"/>
    <w:rsid w:val="5858520B"/>
    <w:rsid w:val="58594C0D"/>
    <w:rsid w:val="588C1048"/>
    <w:rsid w:val="588D51EF"/>
    <w:rsid w:val="589079BC"/>
    <w:rsid w:val="589B2F40"/>
    <w:rsid w:val="58A7424A"/>
    <w:rsid w:val="58E56D52"/>
    <w:rsid w:val="58E67940"/>
    <w:rsid w:val="58FF38C1"/>
    <w:rsid w:val="590925F5"/>
    <w:rsid w:val="59250EFD"/>
    <w:rsid w:val="5929278A"/>
    <w:rsid w:val="5978426A"/>
    <w:rsid w:val="59844C8D"/>
    <w:rsid w:val="59FC46D9"/>
    <w:rsid w:val="5A3572F7"/>
    <w:rsid w:val="5A3D49EC"/>
    <w:rsid w:val="5A451548"/>
    <w:rsid w:val="5A5D7239"/>
    <w:rsid w:val="5A754462"/>
    <w:rsid w:val="5AA57EDE"/>
    <w:rsid w:val="5AC33671"/>
    <w:rsid w:val="5ADE5E2A"/>
    <w:rsid w:val="5AEC7755"/>
    <w:rsid w:val="5BA346FC"/>
    <w:rsid w:val="5BAC73A6"/>
    <w:rsid w:val="5BBE2C55"/>
    <w:rsid w:val="5BC25909"/>
    <w:rsid w:val="5BE10DB9"/>
    <w:rsid w:val="5C1B2307"/>
    <w:rsid w:val="5C1B50F9"/>
    <w:rsid w:val="5C29183A"/>
    <w:rsid w:val="5C472F68"/>
    <w:rsid w:val="5C8A1FAC"/>
    <w:rsid w:val="5C8D7E9B"/>
    <w:rsid w:val="5CC62FA9"/>
    <w:rsid w:val="5CC978F2"/>
    <w:rsid w:val="5CD64FB8"/>
    <w:rsid w:val="5D0A1622"/>
    <w:rsid w:val="5D0A1F3D"/>
    <w:rsid w:val="5D0A59DD"/>
    <w:rsid w:val="5D0F471A"/>
    <w:rsid w:val="5D303DA6"/>
    <w:rsid w:val="5D41118A"/>
    <w:rsid w:val="5D506DDA"/>
    <w:rsid w:val="5D65620F"/>
    <w:rsid w:val="5D777802"/>
    <w:rsid w:val="5D8453A4"/>
    <w:rsid w:val="5DF56605"/>
    <w:rsid w:val="5E51429A"/>
    <w:rsid w:val="5E6463FD"/>
    <w:rsid w:val="5E7E05A8"/>
    <w:rsid w:val="5EA55DFC"/>
    <w:rsid w:val="5EAC0835"/>
    <w:rsid w:val="5EAD184E"/>
    <w:rsid w:val="5F1119B5"/>
    <w:rsid w:val="5F2F7495"/>
    <w:rsid w:val="5F3833E6"/>
    <w:rsid w:val="5F906DEA"/>
    <w:rsid w:val="5FBA01E9"/>
    <w:rsid w:val="5FBA4AC7"/>
    <w:rsid w:val="5FC700AB"/>
    <w:rsid w:val="5FDB77FF"/>
    <w:rsid w:val="5FFF756D"/>
    <w:rsid w:val="60011169"/>
    <w:rsid w:val="601F78BB"/>
    <w:rsid w:val="603A402A"/>
    <w:rsid w:val="603F1471"/>
    <w:rsid w:val="60421B4F"/>
    <w:rsid w:val="60612BC9"/>
    <w:rsid w:val="608F727F"/>
    <w:rsid w:val="60F65903"/>
    <w:rsid w:val="611834CF"/>
    <w:rsid w:val="61962B41"/>
    <w:rsid w:val="61A11445"/>
    <w:rsid w:val="61A13A37"/>
    <w:rsid w:val="61AF405A"/>
    <w:rsid w:val="61D2651A"/>
    <w:rsid w:val="61F03E13"/>
    <w:rsid w:val="62132191"/>
    <w:rsid w:val="62441011"/>
    <w:rsid w:val="62882711"/>
    <w:rsid w:val="629B729B"/>
    <w:rsid w:val="62A16E7E"/>
    <w:rsid w:val="62AC3ECF"/>
    <w:rsid w:val="62DC1355"/>
    <w:rsid w:val="62E429CC"/>
    <w:rsid w:val="62EA400E"/>
    <w:rsid w:val="63175732"/>
    <w:rsid w:val="636E7A11"/>
    <w:rsid w:val="63756389"/>
    <w:rsid w:val="63943403"/>
    <w:rsid w:val="639C0FD0"/>
    <w:rsid w:val="63A043D4"/>
    <w:rsid w:val="63AD61BA"/>
    <w:rsid w:val="63B02952"/>
    <w:rsid w:val="63B20DEF"/>
    <w:rsid w:val="63CB1C68"/>
    <w:rsid w:val="63D40888"/>
    <w:rsid w:val="63EB0B4B"/>
    <w:rsid w:val="64095351"/>
    <w:rsid w:val="643B3383"/>
    <w:rsid w:val="643B43E5"/>
    <w:rsid w:val="64515C6C"/>
    <w:rsid w:val="645514C1"/>
    <w:rsid w:val="64760C38"/>
    <w:rsid w:val="647B433D"/>
    <w:rsid w:val="649C470A"/>
    <w:rsid w:val="64F8789F"/>
    <w:rsid w:val="655965CC"/>
    <w:rsid w:val="656D5266"/>
    <w:rsid w:val="657F2646"/>
    <w:rsid w:val="65940C43"/>
    <w:rsid w:val="659B018E"/>
    <w:rsid w:val="65B669F2"/>
    <w:rsid w:val="65CF4C4B"/>
    <w:rsid w:val="65EB292A"/>
    <w:rsid w:val="65F76A9D"/>
    <w:rsid w:val="661B5DF7"/>
    <w:rsid w:val="66654CDE"/>
    <w:rsid w:val="66E33816"/>
    <w:rsid w:val="66E63977"/>
    <w:rsid w:val="66E70752"/>
    <w:rsid w:val="672313D9"/>
    <w:rsid w:val="674019F0"/>
    <w:rsid w:val="674E7656"/>
    <w:rsid w:val="675C5D85"/>
    <w:rsid w:val="678B66EC"/>
    <w:rsid w:val="679408FD"/>
    <w:rsid w:val="67A66F83"/>
    <w:rsid w:val="67C176E8"/>
    <w:rsid w:val="67C72353"/>
    <w:rsid w:val="67CF09C8"/>
    <w:rsid w:val="67D45789"/>
    <w:rsid w:val="67F629EB"/>
    <w:rsid w:val="68003C0A"/>
    <w:rsid w:val="680F1F02"/>
    <w:rsid w:val="682754C4"/>
    <w:rsid w:val="683E5F38"/>
    <w:rsid w:val="68486D9C"/>
    <w:rsid w:val="688A241D"/>
    <w:rsid w:val="68AF6130"/>
    <w:rsid w:val="68E3372E"/>
    <w:rsid w:val="68E97798"/>
    <w:rsid w:val="691A5C56"/>
    <w:rsid w:val="69401815"/>
    <w:rsid w:val="69583CA4"/>
    <w:rsid w:val="69807E63"/>
    <w:rsid w:val="69822DF5"/>
    <w:rsid w:val="698A0B27"/>
    <w:rsid w:val="69B07996"/>
    <w:rsid w:val="6A0D5502"/>
    <w:rsid w:val="6A5165FE"/>
    <w:rsid w:val="6A753740"/>
    <w:rsid w:val="6ABB660F"/>
    <w:rsid w:val="6ACB1DBB"/>
    <w:rsid w:val="6AD95B90"/>
    <w:rsid w:val="6AF82C05"/>
    <w:rsid w:val="6B112CBA"/>
    <w:rsid w:val="6B1B5A59"/>
    <w:rsid w:val="6B2E5727"/>
    <w:rsid w:val="6B3A3155"/>
    <w:rsid w:val="6B593F1A"/>
    <w:rsid w:val="6BAF2F67"/>
    <w:rsid w:val="6C0024CA"/>
    <w:rsid w:val="6C1C0317"/>
    <w:rsid w:val="6C1F118E"/>
    <w:rsid w:val="6C353187"/>
    <w:rsid w:val="6C377B47"/>
    <w:rsid w:val="6C4268BF"/>
    <w:rsid w:val="6C4F5B61"/>
    <w:rsid w:val="6C53378E"/>
    <w:rsid w:val="6C542B4F"/>
    <w:rsid w:val="6C623024"/>
    <w:rsid w:val="6C6F6414"/>
    <w:rsid w:val="6C7742CC"/>
    <w:rsid w:val="6CB06CB1"/>
    <w:rsid w:val="6CC65FED"/>
    <w:rsid w:val="6CD81C1E"/>
    <w:rsid w:val="6D0C2CD9"/>
    <w:rsid w:val="6D37776E"/>
    <w:rsid w:val="6D3E606B"/>
    <w:rsid w:val="6D3F2CCD"/>
    <w:rsid w:val="6D4318D3"/>
    <w:rsid w:val="6D6111F4"/>
    <w:rsid w:val="6D763C79"/>
    <w:rsid w:val="6D8754F4"/>
    <w:rsid w:val="6D985F74"/>
    <w:rsid w:val="6DAE3184"/>
    <w:rsid w:val="6DE066F9"/>
    <w:rsid w:val="6DE60E5A"/>
    <w:rsid w:val="6DE704B1"/>
    <w:rsid w:val="6DE74955"/>
    <w:rsid w:val="6E192CE7"/>
    <w:rsid w:val="6E212FE8"/>
    <w:rsid w:val="6E8A64E9"/>
    <w:rsid w:val="6EDB2F69"/>
    <w:rsid w:val="6EE9790F"/>
    <w:rsid w:val="6F3140B1"/>
    <w:rsid w:val="6F3C76CE"/>
    <w:rsid w:val="6F471A93"/>
    <w:rsid w:val="6F60657D"/>
    <w:rsid w:val="6F65685E"/>
    <w:rsid w:val="6F9C351D"/>
    <w:rsid w:val="6FA0300D"/>
    <w:rsid w:val="6FD57B29"/>
    <w:rsid w:val="6FDB48F2"/>
    <w:rsid w:val="6FF05157"/>
    <w:rsid w:val="6FF10759"/>
    <w:rsid w:val="704C196B"/>
    <w:rsid w:val="706860AB"/>
    <w:rsid w:val="70C573B0"/>
    <w:rsid w:val="70C8281B"/>
    <w:rsid w:val="70CF6023"/>
    <w:rsid w:val="70F42C90"/>
    <w:rsid w:val="70FE01A5"/>
    <w:rsid w:val="7103668C"/>
    <w:rsid w:val="71115527"/>
    <w:rsid w:val="711C4915"/>
    <w:rsid w:val="711F2F44"/>
    <w:rsid w:val="713849B2"/>
    <w:rsid w:val="714D5C7E"/>
    <w:rsid w:val="7180566E"/>
    <w:rsid w:val="71A1363F"/>
    <w:rsid w:val="71C05C07"/>
    <w:rsid w:val="71E644D0"/>
    <w:rsid w:val="71F56EC1"/>
    <w:rsid w:val="72343EE1"/>
    <w:rsid w:val="724E11E1"/>
    <w:rsid w:val="72693B8A"/>
    <w:rsid w:val="726F73DC"/>
    <w:rsid w:val="72AE3C93"/>
    <w:rsid w:val="72B92E82"/>
    <w:rsid w:val="72CE7A64"/>
    <w:rsid w:val="72D96B1C"/>
    <w:rsid w:val="72E871A5"/>
    <w:rsid w:val="72F00B64"/>
    <w:rsid w:val="7320374B"/>
    <w:rsid w:val="73260519"/>
    <w:rsid w:val="732879E6"/>
    <w:rsid w:val="73300A75"/>
    <w:rsid w:val="73A43F05"/>
    <w:rsid w:val="73B56FD3"/>
    <w:rsid w:val="73DC038C"/>
    <w:rsid w:val="74175B1A"/>
    <w:rsid w:val="747D56CB"/>
    <w:rsid w:val="74AD3F2D"/>
    <w:rsid w:val="74E71951"/>
    <w:rsid w:val="753733D7"/>
    <w:rsid w:val="75402BE1"/>
    <w:rsid w:val="754D2617"/>
    <w:rsid w:val="755A5744"/>
    <w:rsid w:val="75774E55"/>
    <w:rsid w:val="758919A7"/>
    <w:rsid w:val="758A070F"/>
    <w:rsid w:val="760B6D06"/>
    <w:rsid w:val="760D6F22"/>
    <w:rsid w:val="76186B40"/>
    <w:rsid w:val="76273BED"/>
    <w:rsid w:val="7681540E"/>
    <w:rsid w:val="768947FB"/>
    <w:rsid w:val="768C7E47"/>
    <w:rsid w:val="76A43C1D"/>
    <w:rsid w:val="76C61E2D"/>
    <w:rsid w:val="76DE49AA"/>
    <w:rsid w:val="76E01F41"/>
    <w:rsid w:val="76E71522"/>
    <w:rsid w:val="7725069B"/>
    <w:rsid w:val="773F11BD"/>
    <w:rsid w:val="77455DB4"/>
    <w:rsid w:val="778D3DCD"/>
    <w:rsid w:val="77CB499F"/>
    <w:rsid w:val="77D317A4"/>
    <w:rsid w:val="78445A9C"/>
    <w:rsid w:val="7853187C"/>
    <w:rsid w:val="78625B30"/>
    <w:rsid w:val="789D27E0"/>
    <w:rsid w:val="78A03DC8"/>
    <w:rsid w:val="78CB5A16"/>
    <w:rsid w:val="78CC05E7"/>
    <w:rsid w:val="78CE526E"/>
    <w:rsid w:val="78FC3213"/>
    <w:rsid w:val="79024059"/>
    <w:rsid w:val="793A6280"/>
    <w:rsid w:val="79425EA8"/>
    <w:rsid w:val="794A6680"/>
    <w:rsid w:val="79814692"/>
    <w:rsid w:val="79A30953"/>
    <w:rsid w:val="79AC0800"/>
    <w:rsid w:val="79ED32F3"/>
    <w:rsid w:val="7A0379B9"/>
    <w:rsid w:val="7A4D2F1A"/>
    <w:rsid w:val="7A562C54"/>
    <w:rsid w:val="7A805F15"/>
    <w:rsid w:val="7A922DC0"/>
    <w:rsid w:val="7AA8652D"/>
    <w:rsid w:val="7ADF5F09"/>
    <w:rsid w:val="7AEE561C"/>
    <w:rsid w:val="7AFE6E3A"/>
    <w:rsid w:val="7B087066"/>
    <w:rsid w:val="7B1B7961"/>
    <w:rsid w:val="7B545385"/>
    <w:rsid w:val="7B6F2C8A"/>
    <w:rsid w:val="7B732CC2"/>
    <w:rsid w:val="7BFD3595"/>
    <w:rsid w:val="7C1B078E"/>
    <w:rsid w:val="7C3743CF"/>
    <w:rsid w:val="7C7D6986"/>
    <w:rsid w:val="7C8068B3"/>
    <w:rsid w:val="7C8C0423"/>
    <w:rsid w:val="7CC24A6B"/>
    <w:rsid w:val="7CCB7772"/>
    <w:rsid w:val="7CE05980"/>
    <w:rsid w:val="7CE13896"/>
    <w:rsid w:val="7D1E30DE"/>
    <w:rsid w:val="7D280154"/>
    <w:rsid w:val="7D4963AA"/>
    <w:rsid w:val="7D5546F3"/>
    <w:rsid w:val="7D752734"/>
    <w:rsid w:val="7D755AD9"/>
    <w:rsid w:val="7D875308"/>
    <w:rsid w:val="7D891DC9"/>
    <w:rsid w:val="7DA31916"/>
    <w:rsid w:val="7DDD77FE"/>
    <w:rsid w:val="7DFA31C3"/>
    <w:rsid w:val="7E0157C0"/>
    <w:rsid w:val="7E070AE2"/>
    <w:rsid w:val="7E48253D"/>
    <w:rsid w:val="7E4F7101"/>
    <w:rsid w:val="7E673586"/>
    <w:rsid w:val="7E9B5E7E"/>
    <w:rsid w:val="7EBF0FE7"/>
    <w:rsid w:val="7EE018FD"/>
    <w:rsid w:val="7F047724"/>
    <w:rsid w:val="7F3648B6"/>
    <w:rsid w:val="7F475176"/>
    <w:rsid w:val="7F703475"/>
    <w:rsid w:val="7F7D704A"/>
    <w:rsid w:val="7F8B1C50"/>
    <w:rsid w:val="7F954467"/>
    <w:rsid w:val="7FA10075"/>
    <w:rsid w:val="7FBF2613"/>
    <w:rsid w:val="7FC62727"/>
    <w:rsid w:val="7FD722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annotation text"/>
    <w:basedOn w:val="1"/>
    <w:qFormat/>
    <w:uiPriority w:val="0"/>
    <w:pPr>
      <w:jc w:val="left"/>
    </w:pPr>
  </w:style>
  <w:style w:type="paragraph" w:styleId="5">
    <w:name w:val="Body Text"/>
    <w:basedOn w:val="1"/>
    <w:link w:val="22"/>
    <w:unhideWhenUsed/>
    <w:qFormat/>
    <w:uiPriority w:val="99"/>
    <w:pPr>
      <w:autoSpaceDE w:val="0"/>
      <w:autoSpaceDN w:val="0"/>
      <w:spacing w:after="120"/>
      <w:jc w:val="left"/>
    </w:pPr>
    <w:rPr>
      <w:rFonts w:ascii="宋体" w:hAnsi="宋体" w:eastAsia="宋体" w:cs="宋体"/>
      <w:kern w:val="0"/>
      <w:sz w:val="22"/>
      <w:szCs w:val="22"/>
      <w:lang w:val="zh-CN" w:bidi="zh-CN"/>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paragraph" w:customStyle="1" w:styleId="16">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spacing w:line="360" w:lineRule="exact"/>
      <w:jc w:val="center"/>
    </w:pPr>
    <w:rPr>
      <w:rFonts w:ascii="Calibri" w:hAnsi="Calibri" w:eastAsia="宋体" w:cs="Calibri"/>
      <w:kern w:val="2"/>
      <w:sz w:val="20"/>
      <w:szCs w:val="21"/>
      <w:lang w:val="en-US" w:eastAsia="zh-CN" w:bidi="ar-SA"/>
    </w:rPr>
  </w:style>
  <w:style w:type="paragraph" w:customStyle="1" w:styleId="17">
    <w:name w:val="EndNote Bibliography"/>
    <w:qFormat/>
    <w:uiPriority w:val="0"/>
    <w:pPr>
      <w:pBdr>
        <w:top w:val="none" w:color="auto" w:sz="0" w:space="0"/>
        <w:left w:val="none" w:color="auto" w:sz="0" w:space="0"/>
        <w:bottom w:val="none" w:color="auto" w:sz="0" w:space="0"/>
        <w:right w:val="none" w:color="auto" w:sz="0" w:space="0"/>
        <w:between w:val="none" w:color="auto" w:sz="0" w:space="0"/>
      </w:pBdr>
      <w:spacing w:line="240" w:lineRule="exact"/>
      <w:jc w:val="center"/>
    </w:pPr>
    <w:rPr>
      <w:rFonts w:ascii="Calibri" w:hAnsi="Calibri" w:eastAsia="宋体" w:cs="Calibri"/>
      <w:kern w:val="2"/>
      <w:sz w:val="20"/>
      <w:szCs w:val="21"/>
      <w:lang w:val="en-US" w:eastAsia="zh-CN" w:bidi="ar-SA"/>
    </w:rPr>
  </w:style>
  <w:style w:type="table" w:customStyle="1" w:styleId="18">
    <w:name w:val="清单表 6 彩色1"/>
    <w:basedOn w:val="12"/>
    <w:qFormat/>
    <w:uiPriority w:val="51"/>
    <w:rPr>
      <w:color w:val="000000" w:themeColor="text1"/>
      <w:sz w:val="18"/>
      <w14:textFill>
        <w14:solidFill>
          <w14:schemeClr w14:val="tx1"/>
        </w14:solidFill>
      </w14:textFill>
    </w:rPr>
    <w:tblPr>
      <w:tblBorders>
        <w:top w:val="single" w:color="auto" w:sz="12" w:space="0"/>
        <w:bottom w:val="single" w:color="auto" w:sz="12"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样式1"/>
    <w:basedOn w:val="1"/>
    <w:qFormat/>
    <w:uiPriority w:val="0"/>
    <w:pPr>
      <w:spacing w:line="360" w:lineRule="exact"/>
    </w:pPr>
    <w:rPr>
      <w:rFonts w:ascii="Times New Roman" w:hAnsi="Times New Roman"/>
      <w:szCs w:val="21"/>
    </w:rPr>
  </w:style>
  <w:style w:type="character" w:customStyle="1" w:styleId="22">
    <w:name w:val="正文文本 Char"/>
    <w:link w:val="5"/>
    <w:qFormat/>
    <w:uiPriority w:val="99"/>
    <w:rPr>
      <w:rFonts w:ascii="宋体" w:hAnsi="宋体" w:eastAsia="宋体" w:cs="宋体"/>
      <w:kern w:val="0"/>
      <w:sz w:val="22"/>
      <w:szCs w:val="22"/>
      <w:lang w:val="zh-CN" w:bidi="zh-CN"/>
    </w:rPr>
  </w:style>
  <w:style w:type="paragraph" w:customStyle="1" w:styleId="23">
    <w:name w:val="Source Code"/>
    <w:qFormat/>
    <w:uiPriority w:val="0"/>
    <w:pPr>
      <w:wordWrap w:val="0"/>
    </w:pPr>
    <w:rPr>
      <w:rFonts w:ascii="Times New Roman" w:hAnsi="Times New Roman" w:eastAsia="宋体" w:cs="Times New Roman"/>
    </w:rPr>
  </w:style>
  <w:style w:type="character" w:customStyle="1" w:styleId="24">
    <w:name w:val="KeywordTok"/>
    <w:qFormat/>
    <w:uiPriority w:val="0"/>
    <w:rPr>
      <w:b/>
      <w:color w:val="007020"/>
    </w:rPr>
  </w:style>
  <w:style w:type="character" w:customStyle="1" w:styleId="25">
    <w:name w:val="DataTypeTok"/>
    <w:qFormat/>
    <w:uiPriority w:val="0"/>
    <w:rPr>
      <w:color w:val="902000"/>
    </w:rPr>
  </w:style>
  <w:style w:type="character" w:customStyle="1" w:styleId="26">
    <w:name w:val="DecValTok"/>
    <w:qFormat/>
    <w:uiPriority w:val="0"/>
    <w:rPr>
      <w:color w:val="40A070"/>
    </w:rPr>
  </w:style>
  <w:style w:type="character" w:customStyle="1" w:styleId="27">
    <w:name w:val="BaseNTok"/>
    <w:qFormat/>
    <w:uiPriority w:val="0"/>
    <w:rPr>
      <w:color w:val="40A070"/>
    </w:rPr>
  </w:style>
  <w:style w:type="character" w:customStyle="1" w:styleId="28">
    <w:name w:val="FloatTok"/>
    <w:qFormat/>
    <w:uiPriority w:val="0"/>
    <w:rPr>
      <w:color w:val="40A070"/>
    </w:rPr>
  </w:style>
  <w:style w:type="character" w:customStyle="1" w:styleId="29">
    <w:name w:val="ConstantTok"/>
    <w:qFormat/>
    <w:uiPriority w:val="0"/>
    <w:rPr>
      <w:color w:val="880000"/>
    </w:rPr>
  </w:style>
  <w:style w:type="character" w:customStyle="1" w:styleId="30">
    <w:name w:val="CharTok"/>
    <w:qFormat/>
    <w:uiPriority w:val="0"/>
    <w:rPr>
      <w:color w:val="4070A0"/>
    </w:rPr>
  </w:style>
  <w:style w:type="character" w:customStyle="1" w:styleId="31">
    <w:name w:val="SpecialCharTok"/>
    <w:qFormat/>
    <w:uiPriority w:val="0"/>
    <w:rPr>
      <w:color w:val="4070A0"/>
    </w:rPr>
  </w:style>
  <w:style w:type="character" w:customStyle="1" w:styleId="32">
    <w:name w:val="StringTok"/>
    <w:qFormat/>
    <w:uiPriority w:val="0"/>
    <w:rPr>
      <w:color w:val="4070A0"/>
    </w:rPr>
  </w:style>
  <w:style w:type="character" w:customStyle="1" w:styleId="33">
    <w:name w:val="VerbatimStringTok"/>
    <w:qFormat/>
    <w:uiPriority w:val="0"/>
    <w:rPr>
      <w:color w:val="4070A0"/>
    </w:rPr>
  </w:style>
  <w:style w:type="character" w:customStyle="1" w:styleId="34">
    <w:name w:val="SpecialStringTok"/>
    <w:qFormat/>
    <w:uiPriority w:val="0"/>
    <w:rPr>
      <w:color w:val="BB6688"/>
    </w:rPr>
  </w:style>
  <w:style w:type="character" w:customStyle="1" w:styleId="35">
    <w:name w:val="ImportTok"/>
    <w:qFormat/>
    <w:uiPriority w:val="0"/>
    <w:rPr>
      <w:b/>
      <w:color w:val="008000"/>
    </w:rPr>
  </w:style>
  <w:style w:type="character" w:customStyle="1" w:styleId="36">
    <w:name w:val="CommentTok"/>
    <w:qFormat/>
    <w:uiPriority w:val="0"/>
    <w:rPr>
      <w:i/>
      <w:color w:val="60A0B0"/>
    </w:rPr>
  </w:style>
  <w:style w:type="character" w:customStyle="1" w:styleId="37">
    <w:name w:val="DocumentationTok"/>
    <w:qFormat/>
    <w:uiPriority w:val="0"/>
    <w:rPr>
      <w:i/>
      <w:color w:val="BA2121"/>
    </w:rPr>
  </w:style>
  <w:style w:type="character" w:customStyle="1" w:styleId="38">
    <w:name w:val="AnnotationTok"/>
    <w:qFormat/>
    <w:uiPriority w:val="0"/>
    <w:rPr>
      <w:b/>
      <w:i/>
      <w:color w:val="60A0B0"/>
    </w:rPr>
  </w:style>
  <w:style w:type="character" w:customStyle="1" w:styleId="39">
    <w:name w:val="CommentVarTok"/>
    <w:qFormat/>
    <w:uiPriority w:val="0"/>
    <w:rPr>
      <w:b/>
      <w:i/>
      <w:color w:val="60A0B0"/>
    </w:rPr>
  </w:style>
  <w:style w:type="character" w:customStyle="1" w:styleId="40">
    <w:name w:val="OtherTok"/>
    <w:qFormat/>
    <w:uiPriority w:val="0"/>
    <w:rPr>
      <w:color w:val="007020"/>
    </w:rPr>
  </w:style>
  <w:style w:type="character" w:customStyle="1" w:styleId="41">
    <w:name w:val="FunctionTok"/>
    <w:qFormat/>
    <w:uiPriority w:val="0"/>
    <w:rPr>
      <w:color w:val="06287E"/>
    </w:rPr>
  </w:style>
  <w:style w:type="character" w:customStyle="1" w:styleId="42">
    <w:name w:val="VariableTok"/>
    <w:qFormat/>
    <w:uiPriority w:val="0"/>
    <w:rPr>
      <w:color w:val="19177C"/>
    </w:rPr>
  </w:style>
  <w:style w:type="character" w:customStyle="1" w:styleId="43">
    <w:name w:val="ControlFlowTok"/>
    <w:qFormat/>
    <w:uiPriority w:val="0"/>
    <w:rPr>
      <w:b/>
      <w:color w:val="007020"/>
    </w:rPr>
  </w:style>
  <w:style w:type="character" w:customStyle="1" w:styleId="44">
    <w:name w:val="OperatorTok"/>
    <w:qFormat/>
    <w:uiPriority w:val="0"/>
    <w:rPr>
      <w:color w:val="666666"/>
    </w:rPr>
  </w:style>
  <w:style w:type="character" w:customStyle="1" w:styleId="45">
    <w:name w:val="BuiltInTok"/>
    <w:qFormat/>
    <w:uiPriority w:val="0"/>
    <w:rPr>
      <w:color w:val="008000"/>
    </w:rPr>
  </w:style>
  <w:style w:type="character" w:customStyle="1" w:styleId="46">
    <w:name w:val="ExtensionTok"/>
    <w:qFormat/>
    <w:uiPriority w:val="0"/>
  </w:style>
  <w:style w:type="character" w:customStyle="1" w:styleId="47">
    <w:name w:val="PreprocessorTok"/>
    <w:qFormat/>
    <w:uiPriority w:val="0"/>
    <w:rPr>
      <w:color w:val="BC7A00"/>
    </w:rPr>
  </w:style>
  <w:style w:type="character" w:customStyle="1" w:styleId="48">
    <w:name w:val="AttributeTok"/>
    <w:qFormat/>
    <w:uiPriority w:val="0"/>
    <w:rPr>
      <w:color w:val="7D9029"/>
    </w:rPr>
  </w:style>
  <w:style w:type="character" w:customStyle="1" w:styleId="49">
    <w:name w:val="RegionMarkerTok"/>
    <w:qFormat/>
    <w:uiPriority w:val="0"/>
  </w:style>
  <w:style w:type="character" w:customStyle="1" w:styleId="50">
    <w:name w:val="InformationTok"/>
    <w:qFormat/>
    <w:uiPriority w:val="0"/>
    <w:rPr>
      <w:b/>
      <w:i/>
      <w:color w:val="60A0B0"/>
    </w:rPr>
  </w:style>
  <w:style w:type="character" w:customStyle="1" w:styleId="51">
    <w:name w:val="WarningTok"/>
    <w:qFormat/>
    <w:uiPriority w:val="0"/>
    <w:rPr>
      <w:b/>
      <w:i/>
      <w:color w:val="60A0B0"/>
    </w:rPr>
  </w:style>
  <w:style w:type="character" w:customStyle="1" w:styleId="52">
    <w:name w:val="AlertTok"/>
    <w:qFormat/>
    <w:uiPriority w:val="0"/>
    <w:rPr>
      <w:b/>
      <w:color w:val="FF0000"/>
    </w:rPr>
  </w:style>
  <w:style w:type="character" w:customStyle="1" w:styleId="53">
    <w:name w:val="ErrorTok"/>
    <w:qFormat/>
    <w:uiPriority w:val="0"/>
    <w:rPr>
      <w:b/>
      <w:color w:val="FF0000"/>
    </w:rPr>
  </w:style>
  <w:style w:type="character" w:customStyle="1" w:styleId="54">
    <w:name w:val="NormalTok"/>
    <w:qFormat/>
    <w:uiPriority w:val="0"/>
  </w:style>
  <w:style w:type="paragraph" w:customStyle="1" w:styleId="55">
    <w:name w:val="WPSOffice手动目录 3"/>
    <w:basedOn w:val="5"/>
    <w:qFormat/>
    <w:uiPriority w:val="0"/>
    <w:pPr>
      <w:numPr>
        <w:ilvl w:val="0"/>
        <w:numId w:val="1"/>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sectNamePr val="参考文献"/>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113</Words>
  <Characters>127</Characters>
  <Lines>0</Lines>
  <Paragraphs>0</Paragraphs>
  <TotalTime>756</TotalTime>
  <ScaleCrop>false</ScaleCrop>
  <LinksUpToDate>false</LinksUpToDate>
  <CharactersWithSpaces>221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2026-02-06T11:56:00Z</dcterms:created>
  <dc:creator>34605</dc:creator>
  <cp:lastModifiedBy>西柚莓莓</cp:lastModifiedBy>
  <dcterms:modified xsi:type="dcterms:W3CDTF">2026-03-26T05:19:04Z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eyJoZGlkIjoiNzlhMmEwMWE1NGFmZDk3Nzg3N2JkYTExY2Q1ZGQ0MTgiLCJ1c2VySWQiOiIxMzgzMTA1NjEyIn0=</vt:lpwstr>
  </property>
  <property fmtid="{D5CDD505-2E9C-101B-9397-08002B2CF9AE}" pid="3" name="KSOProductBuildVer">
    <vt:lpwstr>2052-12.1.0.25225</vt:lpwstr>
  </property>
  <property fmtid="{D5CDD505-2E9C-101B-9397-08002B2CF9AE}" pid="4" name="ICV">
    <vt:lpwstr>505F0FC9E5EE4CD0AC894F9CD64FC4CD_13</vt:lpwstr>
  </property>
</Properties>
</file>