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F74D5">
      <w:pPr>
        <w:spacing w:before="400" w:after="120"/>
        <w:jc w:val="center"/>
        <w:rPr>
          <w:rFonts w:ascii="黑体" w:hAnsi="黑体" w:eastAsia="黑体"/>
          <w:b/>
          <w:sz w:val="36"/>
          <w:lang w:eastAsia="zh-CN"/>
        </w:rPr>
      </w:pPr>
      <w:bookmarkStart w:id="0" w:name="_GoBack"/>
      <w:bookmarkEnd w:id="0"/>
      <w:r>
        <w:rPr>
          <w:rFonts w:ascii="黑体" w:hAnsi="黑体" w:eastAsia="黑体"/>
          <w:b/>
          <w:sz w:val="36"/>
          <w:lang w:eastAsia="zh-CN"/>
        </w:rPr>
        <w:t>多模态大模型组合推理的强化学习增强方法综</w:t>
      </w:r>
      <w:commentRangeStart w:id="0"/>
      <w:r>
        <w:rPr>
          <w:rFonts w:ascii="黑体" w:hAnsi="黑体" w:eastAsia="黑体"/>
          <w:b/>
          <w:sz w:val="36"/>
          <w:lang w:eastAsia="zh-CN"/>
        </w:rPr>
        <w:t>述</w:t>
      </w:r>
      <w:commentRangeEnd w:id="0"/>
      <w:r>
        <w:rPr>
          <w:rStyle w:val="140"/>
          <w:rFonts w:ascii="黑体" w:hAnsi="黑体" w:eastAsia="黑体"/>
          <w:b/>
          <w:sz w:val="36"/>
          <w:szCs w:val="22"/>
          <w:lang w:eastAsia="zh-CN"/>
        </w:rPr>
        <w:commentReference w:id="0"/>
      </w:r>
    </w:p>
    <w:p w14:paraId="2A2CB1DD">
      <w:pPr>
        <w:spacing w:before="400" w:after="120"/>
        <w:jc w:val="center"/>
        <w:rPr>
          <w:rFonts w:ascii="黑体" w:hAnsi="黑体" w:eastAsia="黑体"/>
          <w:b/>
          <w:sz w:val="36"/>
          <w:lang w:eastAsia="zh-CN"/>
        </w:rPr>
      </w:pPr>
      <w:r>
        <w:rPr>
          <w:rFonts w:hint="eastAsia" w:ascii="黑体" w:hAnsi="黑体" w:eastAsia="黑体"/>
          <w:b/>
          <w:sz w:val="36"/>
          <w:lang w:eastAsia="zh-CN"/>
        </w:rPr>
        <w:t>百度翻译(传统领域机翻，一句一句复制)</w:t>
      </w:r>
    </w:p>
    <w:p w14:paraId="4BDE3823">
      <w:pPr>
        <w:spacing w:before="400" w:after="120"/>
        <w:jc w:val="center"/>
        <w:rPr>
          <w:rFonts w:hint="eastAsia"/>
          <w:lang w:eastAsia="zh-CN"/>
        </w:rPr>
      </w:pPr>
      <w:r>
        <w:rPr>
          <w:rFonts w:hint="eastAsia" w:ascii="黑体" w:hAnsi="黑体" w:eastAsia="黑体"/>
          <w:b/>
          <w:sz w:val="36"/>
          <w:lang w:eastAsia="zh-CN"/>
        </w:rPr>
        <w:t>8.14 修改版中文论文</w:t>
      </w:r>
    </w:p>
    <w:p w14:paraId="17D216A1">
      <w:pPr>
        <w:ind w:firstLine="480"/>
        <w:jc w:val="both"/>
        <w:rPr>
          <w:rFonts w:hint="eastAsia"/>
          <w:lang w:eastAsia="zh-CN"/>
        </w:rPr>
      </w:pPr>
      <w:r>
        <w:rPr>
          <w:lang w:eastAsia="zh-CN"/>
        </w:rPr>
        <w:t>【摘要】组合推理是多模态大模型从</w:t>
      </w:r>
      <w:r>
        <w:rPr>
          <w:rFonts w:hint="eastAsia"/>
          <w:lang w:eastAsia="zh-CN"/>
        </w:rPr>
        <w:t>“</w:t>
      </w:r>
      <w:r>
        <w:rPr>
          <w:lang w:eastAsia="zh-CN"/>
        </w:rPr>
        <w:t>实体识别</w:t>
      </w:r>
      <w:r>
        <w:rPr>
          <w:rFonts w:hint="eastAsia"/>
          <w:lang w:eastAsia="zh-CN"/>
        </w:rPr>
        <w:t>”</w:t>
      </w:r>
      <w:r>
        <w:rPr>
          <w:lang w:eastAsia="zh-CN"/>
        </w:rPr>
        <w:t>迈向</w:t>
      </w:r>
      <w:r>
        <w:rPr>
          <w:rFonts w:hint="eastAsia"/>
          <w:lang w:eastAsia="zh-CN"/>
        </w:rPr>
        <w:t>“</w:t>
      </w:r>
      <w:r>
        <w:rPr>
          <w:lang w:eastAsia="zh-CN"/>
        </w:rPr>
        <w:t>结构化语义理解</w:t>
      </w:r>
      <w:r>
        <w:rPr>
          <w:rFonts w:hint="eastAsia"/>
          <w:lang w:eastAsia="zh-CN"/>
        </w:rPr>
        <w:t>”</w:t>
      </w:r>
      <w:r>
        <w:rPr>
          <w:lang w:eastAsia="zh-CN"/>
        </w:rPr>
        <w:t>的核心能力，也是当前模型普遍存在的显著短板。</w:t>
      </w:r>
      <w:r>
        <w:rPr>
          <w:rFonts w:hint="eastAsia"/>
          <w:lang w:eastAsia="zh-CN"/>
        </w:rPr>
        <w:t>RL逐渐成为提升多模态大模型推理能力的重要后训练方法之一</w:t>
      </w:r>
      <w:r>
        <w:rPr>
          <w:lang w:eastAsia="zh-CN"/>
        </w:rPr>
        <w:t>。本文以</w:t>
      </w:r>
      <w:commentRangeStart w:id="1"/>
      <w:r>
        <w:rPr>
          <w:lang w:eastAsia="zh-CN"/>
        </w:rPr>
        <w:t>AAAI 2026论文</w:t>
      </w:r>
      <w:commentRangeEnd w:id="1"/>
      <w:r>
        <w:rPr>
          <w:rStyle w:val="140"/>
          <w:sz w:val="24"/>
          <w:szCs w:val="22"/>
          <w:lang w:eastAsia="zh-CN"/>
        </w:rPr>
        <w:commentReference w:id="1"/>
      </w:r>
      <w:r>
        <w:rPr>
          <w:lang w:eastAsia="zh-CN"/>
        </w:rPr>
        <w:t>CR³为锚点，聚焦RL方法在MLLM组合推理中的应用，系统梳理规则奖励RL、过程奖励RL、反思驱动RL和搜索增强RL四类范式的奖励设计逻辑与适用边界，在Winoground、SugarCrepe、CoLa、MMVP等标准基准上对比其性能水平，并从数据质量、训练范式、评估标准三个维度分析现存问题与改进方向。</w:t>
      </w:r>
    </w:p>
    <w:p w14:paraId="71BACCB7">
      <w:pPr>
        <w:ind w:firstLine="480"/>
        <w:jc w:val="both"/>
        <w:rPr>
          <w:rFonts w:hint="eastAsia"/>
          <w:lang w:eastAsia="zh-CN"/>
        </w:rPr>
      </w:pPr>
      <w:r>
        <w:rPr>
          <w:lang w:eastAsia="zh-CN"/>
        </w:rPr>
        <w:t>【关键词】多模态大模型；组合推理；强化学习；GRPO；泛化性</w:t>
      </w:r>
    </w:p>
    <w:p w14:paraId="264C8B75">
      <w:pPr>
        <w:pStyle w:val="3"/>
        <w:jc w:val="both"/>
        <w:rPr>
          <w:lang w:eastAsia="zh-CN"/>
        </w:rPr>
      </w:pPr>
      <w:r>
        <w:rPr>
          <w:rFonts w:ascii="黑体" w:hAnsi="黑体" w:eastAsia="黑体"/>
          <w:color w:val="000000"/>
          <w:lang w:eastAsia="zh-CN"/>
        </w:rPr>
        <w:t>一、引言</w:t>
      </w:r>
      <w:commentRangeStart w:id="2"/>
      <w:r>
        <w:rPr>
          <w:rFonts w:ascii="黑体" w:hAnsi="黑体" w:eastAsia="黑体"/>
          <w:color w:val="000000"/>
          <w:lang w:eastAsia="zh-CN"/>
        </w:rPr>
        <w:t>：方向的价值与意义</w:t>
      </w:r>
      <w:commentRangeEnd w:id="2"/>
      <w:r>
        <w:rPr>
          <w:rStyle w:val="140"/>
          <w:sz w:val="28"/>
          <w:szCs w:val="28"/>
          <w:lang w:eastAsia="zh-CN"/>
        </w:rPr>
        <w:commentReference w:id="2"/>
      </w:r>
    </w:p>
    <w:p w14:paraId="618ECE76">
      <w:pPr>
        <w:ind w:firstLine="480"/>
        <w:jc w:val="both"/>
        <w:rPr>
          <w:rFonts w:hint="eastAsia"/>
          <w:lang w:eastAsia="zh-CN"/>
        </w:rPr>
      </w:pPr>
      <w:r>
        <w:rPr>
          <w:rFonts w:cs="宋体"/>
          <w:szCs w:val="24"/>
          <w:lang w:eastAsia="zh-CN"/>
        </w:rPr>
        <w:t>组合推理是指模型能够将复杂视觉场景中的物体、属性和关系等基础语义元素进行结构化组合，并通过跨模态语义绑定完成逻辑判断的能力，是多模态大模型（MLLM）从实体识别迈向结构化语义理解的关键能力，直接影响模型在细粒度场景解析、人机交互等真实任务中的应用效</w:t>
      </w:r>
      <w:r>
        <w:rPr>
          <w:rFonts w:hint="eastAsia" w:cs="宋体"/>
          <w:szCs w:val="24"/>
          <w:lang w:eastAsia="zh-CN"/>
        </w:rPr>
        <w:t>果</w:t>
      </w:r>
      <w:commentRangeStart w:id="3"/>
      <w:r>
        <w:rPr>
          <w:rStyle w:val="138"/>
          <w:lang w:eastAsia="zh-CN"/>
        </w:rPr>
        <w:t>[</w:t>
      </w:r>
      <w:r>
        <w:rPr>
          <w:rStyle w:val="138"/>
        </w:rPr>
        <w:endnoteReference w:id="0"/>
      </w:r>
      <w:r>
        <w:rPr>
          <w:rStyle w:val="138"/>
          <w:lang w:eastAsia="zh-CN"/>
        </w:rPr>
        <w:t>]</w:t>
      </w:r>
      <w:commentRangeEnd w:id="3"/>
      <w:r>
        <w:rPr>
          <w:rStyle w:val="140"/>
          <w:sz w:val="24"/>
          <w:szCs w:val="22"/>
          <w:lang w:eastAsia="zh-CN"/>
        </w:rPr>
        <w:commentReference w:id="3"/>
      </w:r>
      <w:r>
        <w:rPr>
          <w:lang w:eastAsia="zh-CN"/>
        </w:rPr>
        <w:t>。</w:t>
      </w:r>
    </w:p>
    <w:p w14:paraId="3E935F3B">
      <w:pPr>
        <w:ind w:firstLine="480"/>
        <w:jc w:val="both"/>
        <w:rPr>
          <w:rFonts w:hint="eastAsia" w:cs="宋体"/>
          <w:szCs w:val="24"/>
          <w:lang w:eastAsia="zh-CN"/>
        </w:rPr>
      </w:pPr>
      <w:r>
        <w:rPr>
          <w:rFonts w:cs="宋体"/>
          <w:szCs w:val="24"/>
          <w:lang w:eastAsia="zh-CN"/>
        </w:rPr>
        <w:t>多模态大模型的发展经历了视觉-语言预训练、视觉指令微调以及推理能力增强三个阶段。早期方法以CLIP为代表，通过对比学习建立图像与文本之间的全局语义映射，但由于训练目标偏重整体匹配，对细粒度属性绑定和空间关系建模能力有限。随后，</w:t>
      </w:r>
      <w:r>
        <w:rPr>
          <w:rFonts w:hint="eastAsia"/>
          <w:lang w:eastAsia="zh-CN"/>
        </w:rPr>
        <w:t>BLIP-2</w:t>
      </w:r>
      <w:r>
        <w:rPr>
          <w:rStyle w:val="138"/>
          <w:rFonts w:hint="eastAsia"/>
          <w:lang w:eastAsia="zh-CN"/>
        </w:rPr>
        <w:t>[</w:t>
      </w:r>
      <w:r>
        <w:rPr>
          <w:rStyle w:val="138"/>
          <w:rFonts w:hint="eastAsia"/>
        </w:rPr>
        <w:endnoteReference w:id="1"/>
      </w:r>
      <w:r>
        <w:rPr>
          <w:rStyle w:val="138"/>
          <w:rFonts w:hint="eastAsia"/>
          <w:lang w:eastAsia="zh-CN"/>
        </w:rPr>
        <w:t>]</w:t>
      </w:r>
      <w:r>
        <w:rPr>
          <w:rFonts w:hint="eastAsia"/>
          <w:lang w:eastAsia="zh-CN"/>
        </w:rPr>
        <w:t>、Flamingo</w:t>
      </w:r>
      <w:r>
        <w:rPr>
          <w:rStyle w:val="138"/>
          <w:rFonts w:hint="eastAsia"/>
          <w:lang w:eastAsia="zh-CN"/>
        </w:rPr>
        <w:t>[</w:t>
      </w:r>
      <w:r>
        <w:rPr>
          <w:rStyle w:val="138"/>
          <w:rFonts w:hint="eastAsia"/>
        </w:rPr>
        <w:endnoteReference w:id="2"/>
      </w:r>
      <w:r>
        <w:rPr>
          <w:rStyle w:val="138"/>
          <w:rFonts w:hint="eastAsia"/>
          <w:lang w:eastAsia="zh-CN"/>
        </w:rPr>
        <w:t>]</w:t>
      </w:r>
      <w:r>
        <w:rPr>
          <w:rFonts w:hint="eastAsia"/>
          <w:lang w:eastAsia="zh-CN"/>
        </w:rPr>
        <w:t>和LLaVA</w:t>
      </w:r>
      <w:r>
        <w:rPr>
          <w:rStyle w:val="138"/>
          <w:rFonts w:hint="eastAsia"/>
          <w:lang w:eastAsia="zh-CN"/>
        </w:rPr>
        <w:t>[</w:t>
      </w:r>
      <w:r>
        <w:rPr>
          <w:rStyle w:val="138"/>
          <w:rFonts w:hint="eastAsia"/>
        </w:rPr>
        <w:endnoteReference w:id="3"/>
      </w:r>
      <w:r>
        <w:rPr>
          <w:rStyle w:val="138"/>
          <w:rFonts w:hint="eastAsia"/>
          <w:lang w:eastAsia="zh-CN"/>
        </w:rPr>
        <w:t>]</w:t>
      </w:r>
      <w:r>
        <w:rPr>
          <w:rFonts w:cs="宋体"/>
          <w:szCs w:val="24"/>
          <w:lang w:eastAsia="zh-CN"/>
        </w:rPr>
        <w:t>等工作通过视觉编码器与大语言模型结合，显著提升了视觉理解和交互能力。然而，这类方法主要依赖监督微调，组合推理能力仍受到训练数据覆盖范围和视觉表示能力的限制。</w:t>
      </w:r>
    </w:p>
    <w:p w14:paraId="36B93685">
      <w:pPr>
        <w:ind w:firstLine="480"/>
        <w:jc w:val="both"/>
        <w:rPr>
          <w:rFonts w:hint="eastAsia"/>
          <w:lang w:eastAsia="zh-CN"/>
        </w:rPr>
      </w:pPr>
      <w:r>
        <w:rPr>
          <w:lang w:eastAsia="zh-CN"/>
        </w:rPr>
        <w:t>现有MLLM普遍存在</w:t>
      </w:r>
      <w:r>
        <w:rPr>
          <w:rFonts w:hint="eastAsia"/>
          <w:lang w:eastAsia="zh-CN"/>
        </w:rPr>
        <w:t>“</w:t>
      </w:r>
      <w:r>
        <w:rPr>
          <w:lang w:eastAsia="zh-CN"/>
        </w:rPr>
        <w:t>词袋效应</w:t>
      </w:r>
      <w:r>
        <w:rPr>
          <w:rFonts w:hint="eastAsia"/>
          <w:lang w:eastAsia="zh-CN"/>
        </w:rPr>
        <w:t>”</w:t>
      </w:r>
      <w:r>
        <w:rPr>
          <w:lang w:eastAsia="zh-CN"/>
        </w:rPr>
        <w:t>——能识别孤立物体，却难以准确绑定属性与实体、区分关系方向</w:t>
      </w:r>
      <w:r>
        <w:rPr>
          <w:rStyle w:val="138"/>
          <w:lang w:eastAsia="zh-CN"/>
        </w:rPr>
        <w:t>[</w:t>
      </w:r>
      <w:r>
        <w:rPr>
          <w:rStyle w:val="138"/>
        </w:rPr>
        <w:endnoteReference w:id="4"/>
      </w:r>
      <w:r>
        <w:rPr>
          <w:rStyle w:val="138"/>
          <w:lang w:eastAsia="zh-CN"/>
        </w:rPr>
        <w:t>]</w:t>
      </w:r>
      <w:r>
        <w:rPr>
          <w:lang w:eastAsia="zh-CN"/>
        </w:rPr>
        <w:t>。该问题不仅来源于CLIP式预训练对全局语义一致性的偏重，也受到视觉表示压缩、多模态对齐不足以及组合数据规模有限等因素影响。</w:t>
      </w:r>
    </w:p>
    <w:p w14:paraId="7A6D6F38">
      <w:pPr>
        <w:pStyle w:val="32"/>
        <w:rPr>
          <w:rFonts w:hint="eastAsia"/>
        </w:rPr>
      </w:pPr>
      <w:r>
        <w:t>针对上述问题，当前组合推理增强方法主要包括预训练数据优化、架构改进、后训练优化（SFT与RL）以及推理阶段增强等。其中，强化学习（RL）通过奖励信号优化模型决策过程，在无需大幅修改模型结构的情况下提升推理能力，近年来逐渐成为MLLM推理增强的重要方向。相关研</w:t>
      </w:r>
      <w:commentRangeStart w:id="4"/>
      <w:r>
        <w:t>究表明，RL在部分组合推理任务中相比传统监督微调展现出更好的提升潜力</w:t>
      </w:r>
      <w:r>
        <w:rPr>
          <w:rStyle w:val="138"/>
        </w:rPr>
        <w:t>[</w:t>
      </w:r>
      <w:r>
        <w:rPr>
          <w:rStyle w:val="138"/>
        </w:rPr>
        <w:endnoteReference w:id="5"/>
      </w:r>
      <w:r>
        <w:rPr>
          <w:rStyle w:val="138"/>
        </w:rPr>
        <w:t>]</w:t>
      </w:r>
      <w:r>
        <w:rPr>
          <w:rFonts w:hint="eastAsia"/>
        </w:rPr>
        <w:t>。</w:t>
      </w:r>
      <w:commentRangeEnd w:id="4"/>
      <w:r>
        <w:rPr>
          <w:rStyle w:val="140"/>
          <w:rFonts w:hint="eastAsia"/>
          <w:sz w:val="24"/>
          <w:szCs w:val="22"/>
        </w:rPr>
        <w:commentReference w:id="4"/>
      </w:r>
    </w:p>
    <w:p w14:paraId="5350AE8E">
      <w:pPr>
        <w:pStyle w:val="32"/>
        <w:ind w:firstLine="480" w:firstLineChars="200"/>
        <w:rPr>
          <w:rFonts w:hint="eastAsia"/>
        </w:rPr>
      </w:pPr>
      <w:r>
        <w:t>然而，现有RL方法根据奖励设计方式形成了规则奖励RL、过程奖励RL、反思驱动RL和搜索增强RL等多个分支，不同方法在奖励粒度、训练成本和适用场景方面存在明显差异，目前仍缺少系统性的比较框架。因此，</w:t>
      </w:r>
      <w:commentRangeStart w:id="5"/>
      <w:r>
        <w:t>本文</w:t>
      </w:r>
      <w:r>
        <w:rPr>
          <w:rFonts w:hint="eastAsia"/>
        </w:rPr>
        <w:t>以</w:t>
      </w:r>
      <w:r>
        <w:t>CR³</w:t>
      </w:r>
      <w:r>
        <w:rPr>
          <w:rStyle w:val="138"/>
        </w:rPr>
        <w:t>[</w:t>
      </w:r>
      <w:r>
        <w:rPr>
          <w:rStyle w:val="138"/>
        </w:rPr>
        <w:endnoteReference w:id="6"/>
      </w:r>
      <w:r>
        <w:rPr>
          <w:rStyle w:val="138"/>
        </w:rPr>
        <w:t>]</w:t>
      </w:r>
      <w:r>
        <w:rPr>
          <w:rFonts w:hint="eastAsia"/>
        </w:rPr>
        <w:t>为</w:t>
      </w:r>
      <w:commentRangeEnd w:id="5"/>
      <w:r>
        <w:rPr>
          <w:rStyle w:val="140"/>
          <w:rFonts w:hint="eastAsia"/>
          <w:sz w:val="24"/>
          <w:szCs w:val="22"/>
        </w:rPr>
        <w:commentReference w:id="5"/>
      </w:r>
      <w:r>
        <w:rPr>
          <w:rFonts w:hint="eastAsia"/>
        </w:rPr>
        <w:t>核心案例，</w:t>
      </w:r>
      <w:r>
        <w:t>从方法分类、性能表现和现存问题三个方面对强化学习增强多模态大模型组合推理方法进行综述与分析</w:t>
      </w:r>
      <w:commentRangeStart w:id="6"/>
      <w:r>
        <w:t>。</w:t>
      </w:r>
      <w:commentRangeEnd w:id="6"/>
      <w:r>
        <w:rPr>
          <w:rStyle w:val="140"/>
          <w:rFonts w:hint="eastAsia"/>
          <w:sz w:val="24"/>
          <w:szCs w:val="22"/>
        </w:rPr>
        <w:commentReference w:id="6"/>
      </w:r>
    </w:p>
    <w:p w14:paraId="59455720">
      <w:pPr>
        <w:pStyle w:val="3"/>
        <w:jc w:val="both"/>
        <w:rPr>
          <w:lang w:eastAsia="zh-CN"/>
        </w:rPr>
      </w:pPr>
      <w:r>
        <w:rPr>
          <w:rFonts w:ascii="黑体" w:hAnsi="黑体" w:eastAsia="黑体"/>
          <w:color w:val="000000"/>
          <w:lang w:eastAsia="zh-CN"/>
        </w:rPr>
        <w:t>二、常用数据集与评估标准</w:t>
      </w:r>
    </w:p>
    <w:p w14:paraId="542C42C9">
      <w:pPr>
        <w:ind w:firstLine="480"/>
        <w:jc w:val="both"/>
        <w:rPr>
          <w:rFonts w:hint="eastAsia"/>
          <w:lang w:eastAsia="zh-CN"/>
        </w:rPr>
      </w:pPr>
      <w:r>
        <w:rPr>
          <w:lang w:eastAsia="zh-CN"/>
        </w:rPr>
        <w:t>本文所梳理的RL方法主要应用于以下评测基准。</w:t>
      </w:r>
    </w:p>
    <w:p w14:paraId="410B02E5">
      <w:pPr>
        <w:pStyle w:val="4"/>
        <w:jc w:val="both"/>
        <w:rPr>
          <w:lang w:eastAsia="zh-CN"/>
        </w:rPr>
      </w:pPr>
      <w:r>
        <w:rPr>
          <w:rFonts w:ascii="黑体" w:hAnsi="黑体" w:eastAsia="黑体"/>
          <w:color w:val="000000"/>
          <w:lang w:eastAsia="zh-CN"/>
        </w:rPr>
        <w:t>2.1 图文匹配检索类基准</w:t>
      </w:r>
    </w:p>
    <w:p w14:paraId="5E7AD7EB">
      <w:pPr>
        <w:ind w:firstLine="480"/>
        <w:jc w:val="both"/>
        <w:rPr>
          <w:rFonts w:hint="eastAsia"/>
          <w:lang w:eastAsia="zh-CN"/>
        </w:rPr>
      </w:pPr>
      <w:r>
        <w:rPr>
          <w:lang w:eastAsia="zh-CN"/>
        </w:rPr>
        <w:t>Winoground是组合推理最经典的基准，每组包含两对图文硬负样本，图文词相同但语序不同，考察模型对属性与关系绑定的理解能力。SugarCrepe攻属性错配，覆盖颜色、形状、材质、空间关系五个维度。CoLa侧重细粒度组合语义区分。</w:t>
      </w:r>
    </w:p>
    <w:p w14:paraId="29BA2C36">
      <w:pPr>
        <w:pStyle w:val="4"/>
        <w:jc w:val="both"/>
        <w:rPr>
          <w:lang w:eastAsia="zh-CN"/>
        </w:rPr>
      </w:pPr>
      <w:r>
        <w:rPr>
          <w:rFonts w:ascii="黑体" w:hAnsi="黑体" w:eastAsia="黑体"/>
          <w:color w:val="000000"/>
          <w:lang w:eastAsia="zh-CN"/>
        </w:rPr>
        <w:t>2.2 视觉问答</w:t>
      </w:r>
      <w:commentRangeStart w:id="7"/>
      <w:r>
        <w:rPr>
          <w:rFonts w:ascii="黑体" w:hAnsi="黑体" w:eastAsia="黑体"/>
          <w:color w:val="000000"/>
          <w:lang w:eastAsia="zh-CN"/>
        </w:rPr>
        <w:t>类基准</w:t>
      </w:r>
    </w:p>
    <w:p w14:paraId="663EE549">
      <w:pPr>
        <w:ind w:firstLine="480"/>
        <w:jc w:val="both"/>
        <w:rPr>
          <w:rFonts w:hint="eastAsia"/>
          <w:lang w:eastAsia="zh-CN"/>
        </w:rPr>
      </w:pPr>
      <w:r>
        <w:rPr>
          <w:lang w:eastAsia="zh-CN"/>
        </w:rPr>
        <w:t>MMVP以成对相似图</w:t>
      </w:r>
      <w:commentRangeEnd w:id="7"/>
      <w:r>
        <w:rPr>
          <w:rStyle w:val="140"/>
          <w:sz w:val="24"/>
          <w:szCs w:val="22"/>
          <w:lang w:eastAsia="zh-CN"/>
        </w:rPr>
        <w:commentReference w:id="7"/>
      </w:r>
      <w:r>
        <w:rPr>
          <w:lang w:eastAsia="zh-CN"/>
        </w:rPr>
        <w:t>像考察模型对视觉差异的辨识能力，是VQA形式的视觉组合推理基准。</w:t>
      </w:r>
    </w:p>
    <w:p w14:paraId="15EF2146">
      <w:pPr>
        <w:pStyle w:val="4"/>
        <w:jc w:val="both"/>
      </w:pPr>
      <w:r>
        <w:rPr>
          <w:rFonts w:ascii="黑体" w:hAnsi="黑体" w:eastAsia="黑体"/>
          <w:color w:val="000000"/>
        </w:rPr>
        <w:t>2.3 评估指标</w:t>
      </w:r>
    </w:p>
    <w:p w14:paraId="11DC48A8">
      <w:pPr>
        <w:ind w:firstLine="480"/>
        <w:jc w:val="both"/>
        <w:rPr>
          <w:rFonts w:hint="eastAsia"/>
          <w:lang w:eastAsia="zh-CN"/>
        </w:rPr>
      </w:pPr>
      <w:r>
        <w:t>核心指标包括Text Score（图搜文准确率）、Image Score（文搜图准确率）和Group Score（双向同时正确，是最严苛的组合能力指标）。Group Score最为严苛，但存在低估模型真实能力的争议</w:t>
      </w:r>
      <w:r>
        <w:rPr>
          <w:rStyle w:val="138"/>
        </w:rPr>
        <w:t>[</w:t>
      </w:r>
      <w:r>
        <w:rPr>
          <w:rStyle w:val="138"/>
        </w:rPr>
        <w:endnoteReference w:id="7"/>
      </w:r>
      <w:r>
        <w:rPr>
          <w:rStyle w:val="138"/>
        </w:rPr>
        <w:t>]</w:t>
      </w:r>
      <w:r>
        <w:t>。</w:t>
      </w:r>
      <w:r>
        <w:rPr>
          <w:lang w:eastAsia="zh-CN"/>
        </w:rPr>
        <w:t>补充维度包括域内vs域外泛化性、数据效率及推理成本。</w:t>
      </w:r>
    </w:p>
    <w:p w14:paraId="4ADC20C9">
      <w:pPr>
        <w:pStyle w:val="3"/>
        <w:jc w:val="both"/>
        <w:rPr>
          <w:lang w:eastAsia="zh-CN"/>
        </w:rPr>
      </w:pPr>
      <w:r>
        <w:rPr>
          <w:rFonts w:ascii="黑体" w:hAnsi="黑体" w:eastAsia="黑体"/>
          <w:color w:val="000000"/>
          <w:lang w:eastAsia="zh-CN"/>
        </w:rPr>
        <w:t>三、</w:t>
      </w:r>
      <w:r>
        <w:rPr>
          <w:rFonts w:hint="eastAsia" w:ascii="黑体" w:hAnsi="黑体" w:eastAsia="黑体"/>
          <w:color w:val="000000"/>
          <w:lang w:eastAsia="zh-CN"/>
        </w:rPr>
        <w:t>强化学习增强MLLM组合推理的方法分类与机制分析</w:t>
      </w:r>
    </w:p>
    <w:p w14:paraId="79E28AFE">
      <w:pPr>
        <w:pStyle w:val="32"/>
        <w:ind w:firstLine="480" w:firstLineChars="200"/>
        <w:rPr>
          <w:rFonts w:hint="eastAsia"/>
        </w:rPr>
      </w:pPr>
      <w:r>
        <w:t>强化学习最初主要用于语言模型对齐，通过奖励信号优化模型输出行为。随着DeepSeek-R1等工作展示强化学习在复杂推理任务中的潜力，研究者开始探索将RL引入多模态大模型，使模型不仅生成正确答案，还能够学习更加有效的推理策略。</w:t>
      </w:r>
    </w:p>
    <w:p w14:paraId="02FB3986">
      <w:pPr>
        <w:pStyle w:val="32"/>
        <w:ind w:firstLine="480" w:firstLineChars="200"/>
        <w:rPr>
          <w:rFonts w:hint="eastAsia"/>
        </w:rPr>
      </w:pPr>
      <w:r>
        <w:t>强化学习增强MLLM组合推理的发展，本质上体现了模型优化目标从“获得正确答案”向“形成可靠推理过程”的逐步演进。从统一优化框架来看，MLLM可以被视为一个策略模型：</w:t>
      </w:r>
    </w:p>
    <w:p w14:paraId="7ADA77E8">
      <w:pPr>
        <w:pStyle w:val="32"/>
        <w:rPr>
          <w:rFonts w:hAnsi="Cambria Math"/>
        </w:rPr>
      </w:pPr>
      <m:oMathPara>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(y|x</m:t>
          </m:r>
          <m:r>
            <w:rPr>
              <w:rStyle w:val="140"/>
              <w:rFonts w:ascii="Cambria Math" w:hAnsi="Cambria Math"/>
              <w:sz w:val="24"/>
              <w:szCs w:val="22"/>
            </w:rPr>
            <w:commentReference w:id="8"/>
          </m:r>
          <m:r>
            <m:rPr/>
            <w:rPr>
              <w:rFonts w:ascii="Cambria Math" w:hAnsi="Cambria Math"/>
            </w:rPr>
            <m:t>)</m:t>
          </m:r>
        </m:oMath>
      </m:oMathPara>
    </w:p>
    <w:p w14:paraId="2A370243">
      <w:pPr>
        <w:pStyle w:val="32"/>
        <w:rPr>
          <w:rFonts w:hint="eastAsia"/>
        </w:rPr>
      </w:pPr>
      <w:r>
        <w:t>其中，x表示输入的视觉-语言信息，y表示模型生成的答案或推理过程，θ表示模型参数。强化学习通过设计奖励函数</w:t>
      </w:r>
      <w:r>
        <w:rPr>
          <w:rFonts w:hint="eastAsia"/>
        </w:rPr>
        <w:t xml:space="preserve"> </w:t>
      </w:r>
      <m:oMath>
        <m:r>
          <m:rPr/>
          <w:rPr>
            <w:rFonts w:ascii="Cambria Math" w:hAnsi="Cambria Math"/>
          </w:rPr>
          <m:t>R(x,y)</m:t>
        </m:r>
      </m:oMath>
      <w:r>
        <w:rPr>
          <w:rFonts w:hint="eastAsia" w:hAnsi="Cambria Math"/>
        </w:rPr>
        <w:t xml:space="preserve"> </w:t>
      </w:r>
      <w:r>
        <w:t>评价模型输出质量，并通过最大化期望奖励优化模型策略：</w:t>
      </w:r>
    </w:p>
    <w:p w14:paraId="1B5E7C04">
      <w:pPr>
        <w:pStyle w:val="32"/>
        <w:rPr>
          <w:rFonts w:hAnsi="Cambria Math"/>
        </w:rPr>
      </w:pPr>
      <m:oMathPara>
        <m:oMath>
          <m:r>
            <m:rPr/>
            <w:rPr>
              <w:rFonts w:ascii="Cambria Math" w:hAnsi="Cambria Math"/>
            </w:rPr>
            <m:t>J(θ)=</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y∼</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(y|x)</m:t>
              </m:r>
              <m:ctrlPr>
                <w:rPr>
                  <w:rFonts w:ascii="Cambria Math" w:hAnsi="Cambria Math"/>
                </w:rPr>
              </m:ctrlPr>
            </m:sub>
          </m:sSub>
          <m:r>
            <m:rPr/>
            <w:rPr>
              <w:rFonts w:ascii="Cambria Math" w:hAnsi="Cambria Math"/>
            </w:rPr>
            <m:t>[R(x,y)]</m:t>
          </m:r>
        </m:oMath>
      </m:oMathPara>
    </w:p>
    <w:p w14:paraId="12C8575C">
      <w:pPr>
        <w:pStyle w:val="32"/>
        <w:rPr>
          <w:rFonts w:hAnsi="Cambria Math"/>
        </w:rPr>
      </w:pPr>
      <w:r>
        <w:t>使模型提高高奖励输出的生成概率。</w:t>
      </w:r>
    </w:p>
    <w:p w14:paraId="2ACC16DA">
      <w:pPr>
        <w:pStyle w:val="32"/>
        <w:ind w:firstLine="480" w:firstLineChars="200"/>
        <w:rPr>
          <w:rFonts w:hint="eastAsia"/>
        </w:rPr>
      </w:pPr>
      <w:r>
        <w:t>因此，不同RL方法的主要区别在于奖励信号的设计方式以及反馈粒度。早期方法主要采用结果级奖励，即仅判断模型最终输出是否正确，该方法训练稳定、实现简单，但无法保证模型真正学习推理过程。随着研究深入，研究者逐渐引入过程级奖励，对中间推理步骤进行评价，以提升模型推理可靠性。进一步地，为解决复杂任务中的错误累积问题，反思驱动RL引入生成、检查和修正机制；而针对复杂推理空间中存在多条候选路径的问题，搜索增强RL结合搜索算法探索更优推理轨迹。</w:t>
      </w:r>
    </w:p>
    <w:p w14:paraId="72956609">
      <w:pPr>
        <w:pStyle w:val="32"/>
        <w:ind w:firstLine="480" w:firstLineChars="200"/>
        <w:rPr>
          <w:rFonts w:hint="eastAsia"/>
        </w:rPr>
      </w:pPr>
      <w:r>
        <w:t>因此，四类方法并非相互独立，而是围绕</w:t>
      </w:r>
      <w:r>
        <w:rPr>
          <w:rStyle w:val="137"/>
          <w:b w:val="0"/>
          <w:bCs w:val="0"/>
        </w:rPr>
        <w:t>奖励粒度提升和推理过程增强</w:t>
      </w:r>
      <w:r>
        <w:t>逐步演进。</w:t>
      </w:r>
    </w:p>
    <w:p w14:paraId="687853FD">
      <w:pPr>
        <w:pStyle w:val="4"/>
        <w:jc w:val="both"/>
        <w:rPr>
          <w:lang w:eastAsia="zh-CN"/>
        </w:rPr>
      </w:pPr>
      <w:r>
        <w:rPr>
          <w:rFonts w:ascii="黑体" w:hAnsi="黑体" w:eastAsia="黑体"/>
          <w:color w:val="000000"/>
          <w:lang w:eastAsia="zh-CN"/>
        </w:rPr>
        <w:t>3.1 规则奖励RL</w:t>
      </w:r>
    </w:p>
    <w:p w14:paraId="6B3B0054">
      <w:pPr>
        <w:pStyle w:val="32"/>
        <w:ind w:firstLine="480" w:firstLineChars="200"/>
        <w:rPr>
          <w:rFonts w:hint="eastAsia"/>
        </w:rPr>
      </w:pPr>
      <w:r>
        <w:t>规则奖励RL是目前应用最广泛的RL增强方法之一，其核心思想是通过预定义规则直接评价模型输出，并将评价结果作为优化信号，而无需额外训练奖励模型。由于奖励计算过程简单，该方法具有较低训练成本和较高数据利用效率。</w:t>
      </w:r>
    </w:p>
    <w:p w14:paraId="5188742D">
      <w:pPr>
        <w:pStyle w:val="32"/>
        <w:ind w:firstLine="480" w:firstLineChars="200"/>
        <w:rPr>
          <w:rFonts w:hint="eastAsia"/>
        </w:rPr>
      </w:pPr>
      <w:r>
        <w:t>对于组合推理任务，规则奖励通常关注最终答案是否正确以及输出格式是否满足要求，其奖励函数可以表示为：</w:t>
      </w:r>
    </w:p>
    <w:p w14:paraId="7ADDBE48">
      <w:pPr>
        <w:pStyle w:val="32"/>
        <w:rPr>
          <w:rFonts w:hint="eastAsia"/>
        </w:rPr>
      </w:pPr>
      <m:oMathPara>
        <m:oMath>
          <m:r>
            <m:rPr/>
            <w:rPr>
              <w:rFonts w:ascii="Cambria Math" w:hAnsi="Cambria Math"/>
            </w:rPr>
            <m:t>R=</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answer</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format</m:t>
              </m:r>
              <m:ctrlPr>
                <w:rPr>
                  <w:rFonts w:ascii="Cambria Math" w:hAnsi="Cambria Math"/>
                </w:rPr>
              </m:ctrlPr>
            </m:sub>
          </m:sSub>
        </m:oMath>
      </m:oMathPara>
    </w:p>
    <w:p w14:paraId="27D9CB7D">
      <w:pPr>
        <w:pStyle w:val="32"/>
        <w:rPr>
          <w:rFonts w:hint="eastAsia"/>
        </w:rPr>
      </w:pPr>
      <w:r>
        <w:t>其中，</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answer</m:t>
            </m:r>
            <m:ctrlPr>
              <w:rPr>
                <w:rFonts w:ascii="Cambria Math" w:hAnsi="Cambria Math"/>
              </w:rPr>
            </m:ctrlPr>
          </m:sub>
        </m:sSub>
      </m:oMath>
      <w:r>
        <w:rPr>
          <w:rFonts w:hint="eastAsia" w:hAnsi="Cambria Math"/>
        </w:rPr>
        <w:t xml:space="preserve"> </w:t>
      </w:r>
      <w:r>
        <w:t>表示答案正确性奖励，</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format</m:t>
            </m:r>
            <m:ctrlPr>
              <w:rPr>
                <w:rFonts w:ascii="Cambria Math" w:hAnsi="Cambria Math"/>
              </w:rPr>
            </m:ctrlPr>
          </m:sub>
        </m:sSub>
      </m:oMath>
      <w:r>
        <w:rPr>
          <w:rFonts w:hint="eastAsia" w:hAnsi="Cambria Math"/>
        </w:rPr>
        <w:t xml:space="preserve"> </w:t>
      </w:r>
      <w:r>
        <w:t>表示格式约束奖励，</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xml:space="preserve"> </m:t>
        </m:r>
      </m:oMath>
      <w: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hAnsi="Cambria Math"/>
        </w:rPr>
        <w:t xml:space="preserve"> </w:t>
      </w:r>
      <w:r>
        <w:t>为权重系数。</w:t>
      </w:r>
    </w:p>
    <w:p w14:paraId="696053A6">
      <w:pPr>
        <w:pStyle w:val="32"/>
        <w:ind w:firstLine="480" w:firstLineChars="200"/>
        <w:rPr>
          <w:rFonts w:hint="eastAsia"/>
        </w:rPr>
      </w:pPr>
      <w:commentRangeStart w:id="9"/>
      <w:r>
        <w:t>CR³是该方向的代表工作。该方法采用GRPO算法，通过答案正确性和输出格式合规性构造二元规则奖励，在多模态协同过滤提纯的1.89万高难度样本上进行训练。实验表明，CR³在Winoground、CoLa和MMVP等组合推理基准上相比基线模型取得显著提升，并表现出较好的域外泛化能力。</w:t>
      </w:r>
      <w:commentRangeEnd w:id="9"/>
      <w:r>
        <w:rPr>
          <w:rStyle w:val="140"/>
          <w:rFonts w:hint="eastAsia"/>
          <w:sz w:val="24"/>
          <w:szCs w:val="22"/>
        </w:rPr>
        <w:commentReference w:id="9"/>
      </w:r>
    </w:p>
    <w:p w14:paraId="2F75EDF5">
      <w:pPr>
        <w:pStyle w:val="32"/>
        <w:ind w:firstLine="480" w:firstLineChars="200"/>
        <w:rPr>
          <w:rFonts w:hint="eastAsia"/>
        </w:rPr>
      </w:pPr>
      <w:r>
        <w:t>规则奖励R</w:t>
      </w:r>
      <w:commentRangeStart w:id="10"/>
      <w:r>
        <w:t>L的优势在于：</w:t>
      </w:r>
    </w:p>
    <w:p w14:paraId="5A36A3FF">
      <w:pPr>
        <w:numPr>
          <w:ilvl w:val="0"/>
          <w:numId w:val="7"/>
        </w:numPr>
        <w:tabs>
          <w:tab w:val="left" w:pos="706"/>
          <w:tab w:val="clear" w:pos="720"/>
        </w:tabs>
        <w:spacing w:beforeAutospacing="1" w:after="0" w:afterAutospacing="1"/>
        <w:ind w:left="726" w:hanging="363"/>
        <w:rPr>
          <w:rFonts w:hint="eastAsia"/>
          <w:lang w:eastAsia="zh-CN"/>
        </w:rPr>
      </w:pPr>
      <w:r>
        <w:rPr>
          <w:rFonts w:hint="eastAsia"/>
          <w:lang w:eastAsia="zh-CN"/>
        </w:rPr>
        <w:tab/>
      </w:r>
      <w:r>
        <w:rPr>
          <w:lang w:eastAsia="zh-CN"/>
        </w:rPr>
        <w:t>无需人工标注完整推理过程，降低数据构造成本；</w:t>
      </w:r>
    </w:p>
    <w:p w14:paraId="7D3E5F39">
      <w:pPr>
        <w:numPr>
          <w:ilvl w:val="0"/>
          <w:numId w:val="7"/>
        </w:numPr>
        <w:spacing w:beforeAutospacing="1" w:after="0" w:afterAutospacing="1"/>
        <w:ind w:left="726" w:hanging="363"/>
        <w:rPr>
          <w:rFonts w:hint="eastAsia"/>
          <w:lang w:eastAsia="zh-CN"/>
        </w:rPr>
      </w:pPr>
      <w:r>
        <w:rPr>
          <w:lang w:eastAsia="zh-CN"/>
        </w:rPr>
        <w:t>奖励计算简单，训练过程稳定；</w:t>
      </w:r>
    </w:p>
    <w:p w14:paraId="5CD81BFF">
      <w:pPr>
        <w:numPr>
          <w:ilvl w:val="0"/>
          <w:numId w:val="7"/>
        </w:numPr>
        <w:spacing w:beforeAutospacing="1" w:after="0" w:afterAutospacing="1"/>
        <w:ind w:left="726" w:hanging="363"/>
        <w:rPr>
          <w:rFonts w:hint="eastAsia"/>
          <w:lang w:eastAsia="zh-CN"/>
        </w:rPr>
      </w:pPr>
      <w:r>
        <w:rPr>
          <w:lang w:eastAsia="zh-CN"/>
        </w:rPr>
        <w:t>能够直接优化模型在特定组合任务上的表</w:t>
      </w:r>
      <w:r>
        <w:rPr>
          <w:rFonts w:hint="eastAsia"/>
          <w:lang w:eastAsia="zh-CN"/>
        </w:rPr>
        <w:t>现。</w:t>
      </w:r>
      <w:commentRangeEnd w:id="10"/>
      <w:r>
        <w:rPr>
          <w:rStyle w:val="140"/>
          <w:rFonts w:hint="eastAsia"/>
          <w:sz w:val="24"/>
          <w:szCs w:val="22"/>
          <w:lang w:eastAsia="zh-CN"/>
        </w:rPr>
        <w:commentReference w:id="10"/>
      </w:r>
    </w:p>
    <w:p w14:paraId="69B6DD13">
      <w:pPr>
        <w:pStyle w:val="32"/>
        <w:ind w:firstLine="480" w:firstLineChars="200"/>
        <w:rPr>
          <w:rFonts w:hint="eastAsia"/>
        </w:rPr>
      </w:pPr>
      <w:r>
        <w:t>然而，其局限也较为明显。由于奖励主要作用于最终输出</w:t>
      </w:r>
      <m:oMath>
        <m:r>
          <m:rPr/>
          <w:rPr>
            <w:rFonts w:ascii="Cambria Math"/>
          </w:rPr>
          <m:t xml:space="preserve"> </m:t>
        </m:r>
        <m:r>
          <m:rPr/>
          <w:rPr>
            <w:rFonts w:ascii="Cambria Math" w:hAnsi="Cambria Math"/>
          </w:rPr>
          <m:t xml:space="preserve">R(y) </m:t>
        </m:r>
      </m:oMath>
      <w:r>
        <w:t>而忽略中间推理过程，因此模型可能通过表面模式或数据偏差获得较高奖励，而未真正学习物体、属性和关系之间的组合逻辑。此外，该方法通常更适用于答案可验证的闭合式任务，对于开放式复杂推理场景存在限制。</w:t>
      </w:r>
    </w:p>
    <w:p w14:paraId="274C2122">
      <w:pPr>
        <w:pStyle w:val="4"/>
        <w:jc w:val="both"/>
        <w:rPr>
          <w:rFonts w:hint="eastAsia" w:ascii="黑体" w:hAnsi="黑体" w:eastAsia="黑体"/>
          <w:color w:val="000000"/>
          <w:lang w:eastAsia="zh-CN"/>
        </w:rPr>
      </w:pPr>
      <w:r>
        <w:rPr>
          <w:rFonts w:ascii="黑体" w:hAnsi="黑体" w:eastAsia="黑体"/>
          <w:color w:val="000000"/>
          <w:lang w:eastAsia="zh-CN"/>
        </w:rPr>
        <w:t>3.2 过程奖励RL</w:t>
      </w:r>
    </w:p>
    <w:p w14:paraId="2E9FD92A">
      <w:pPr>
        <w:pStyle w:val="32"/>
        <w:ind w:firstLine="480" w:firstLineChars="200"/>
        <w:rPr>
          <w:rFonts w:hint="eastAsia"/>
        </w:rPr>
      </w:pPr>
      <w:r>
        <w:t>针对规则奖励存在的稀疏反馈问题，过程奖励RL进一步将奖励从最终结果扩展到推理过程，通过评价中间步骤提升模型推理可靠性。</w:t>
      </w:r>
    </w:p>
    <w:p w14:paraId="455AE27F">
      <w:pPr>
        <w:pStyle w:val="32"/>
        <w:ind w:firstLine="480" w:firstLineChars="200"/>
        <w:rPr>
          <w:rFonts w:hint="eastAsia"/>
        </w:rPr>
      </w:pPr>
      <w:r>
        <w:t>其核心思想是将完整推理过程</w:t>
      </w:r>
      <w:r>
        <w:rPr>
          <w:rFonts w:hint="eastAsia"/>
        </w:rPr>
        <w:t xml:space="preserve"> </w:t>
      </w:r>
      <m:oMath>
        <m:r>
          <m:rPr/>
          <w:rPr>
            <w:rFonts w:ascii="Cambria Math" w:hAnsi="Cambria Math"/>
          </w:rPr>
          <m:t>y=(</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oMath>
      <w:r>
        <w:rPr>
          <w:rFonts w:hint="eastAsia" w:hAnsi="Cambria Math"/>
        </w:rPr>
        <w:t xml:space="preserve"> </w:t>
      </w:r>
      <w:r>
        <w:t>拆分为多个步骤，并分别计算步骤奖励：</w:t>
      </w:r>
    </w:p>
    <w:p w14:paraId="4AAFEB7E">
      <w:pPr>
        <w:pStyle w:val="32"/>
        <w:rPr>
          <w:rFonts w:hint="eastAsia" w:cs="宋体"/>
          <w:szCs w:val="24"/>
          <w:lang w:bidi="ar"/>
        </w:rPr>
      </w:pPr>
      <m:oMathPara>
        <m:oMath>
          <m:r>
            <m:rPr/>
            <w:rPr>
              <w:rFonts w:ascii="Cambria Math" w:hAnsi="Cambria Math"/>
            </w:rPr>
            <m:t>R=</m:t>
          </m:r>
          <m:nary>
            <m:naryPr>
              <m:chr m:val="∑"/>
              <m:limLoc m:val="subSup"/>
              <m:ctrlPr>
                <w:rPr>
                  <w:rFonts w:ascii="Cambria Math" w:hAnsi="Cambria Math"/>
                </w:rPr>
              </m:ctrlPr>
            </m:naryPr>
            <m:sub>
              <m:r>
                <m:rPr/>
                <w:rPr>
                  <w:rFonts w:ascii="Cambria Math" w:hAnsi="Cambria Math"/>
                </w:rPr>
                <m:t>t=1</m:t>
              </m:r>
              <m:ctrlPr>
                <w:rPr>
                  <w:rFonts w:ascii="Cambria Math" w:hAnsi="Cambria Math"/>
                </w:rPr>
              </m:ctrlPr>
            </m:sub>
            <m:sup>
              <m:r>
                <m:rPr/>
                <w:rPr>
                  <w:rFonts w:ascii="Cambria Math" w:hAnsi="Cambria Math"/>
                </w:rPr>
                <m:t>T</m:t>
              </m:r>
              <m:ctrlPr>
                <w:rPr>
                  <w:rFonts w:ascii="Cambria Math" w:hAnsi="Cambria Math"/>
                </w:rPr>
              </m:ctrlPr>
            </m:sup>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oMath>
      </m:oMathPara>
    </w:p>
    <w:p w14:paraId="59EA13F1">
      <w:pPr>
        <w:pStyle w:val="32"/>
        <w:rPr>
          <w:rFonts w:hint="eastAsia"/>
        </w:rPr>
      </w:pPr>
      <w:r>
        <w:t>其中</w:t>
      </w:r>
      <w:r>
        <w:rPr>
          <w:rFonts w:hint="eastAsia"/>
        </w:rPr>
        <w:t xml:space="preserve">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hAnsi="Cambria Math"/>
        </w:rPr>
        <w:t xml:space="preserve"> </w:t>
      </w:r>
      <w:r>
        <w:t>表示第t步推理行为</w:t>
      </w:r>
      <w:commentRangeStart w:id="11"/>
      <w:r>
        <w:t>获得的奖励。</w:t>
      </w:r>
    </w:p>
    <w:p w14:paraId="040BF639">
      <w:pPr>
        <w:pStyle w:val="32"/>
        <w:ind w:firstLine="480" w:firstLineChars="200"/>
        <w:rPr>
          <w:rFonts w:hint="eastAsia"/>
        </w:rPr>
      </w:pPr>
      <w:r>
        <w:t>相比规则奖励RL仅关注最终答案，过程奖励能够判断：</w:t>
      </w:r>
    </w:p>
    <w:p w14:paraId="59F18AE0">
      <w:pPr>
        <w:numPr>
          <w:ilvl w:val="0"/>
          <w:numId w:val="7"/>
        </w:numPr>
        <w:tabs>
          <w:tab w:val="left" w:pos="706"/>
          <w:tab w:val="clear" w:pos="720"/>
        </w:tabs>
        <w:spacing w:beforeAutospacing="1" w:after="0" w:afterAutospacing="1"/>
        <w:ind w:left="726" w:hanging="363"/>
        <w:rPr>
          <w:rFonts w:hint="eastAsia"/>
          <w:lang w:eastAsia="zh-CN"/>
        </w:rPr>
      </w:pPr>
      <w:r>
        <w:rPr>
          <w:rFonts w:hint="eastAsia"/>
          <w:lang w:eastAsia="zh-CN"/>
        </w:rPr>
        <w:tab/>
      </w:r>
      <w:r>
        <w:rPr>
          <w:lang w:eastAsia="zh-CN"/>
        </w:rPr>
        <w:t xml:space="preserve">当前视觉实体是否识别正确； </w:t>
      </w:r>
    </w:p>
    <w:p w14:paraId="2269869F">
      <w:pPr>
        <w:numPr>
          <w:ilvl w:val="0"/>
          <w:numId w:val="7"/>
        </w:numPr>
        <w:spacing w:beforeAutospacing="1" w:after="0" w:afterAutospacing="1"/>
        <w:ind w:left="726" w:hanging="363"/>
        <w:rPr>
          <w:rFonts w:hint="eastAsia"/>
        </w:rPr>
      </w:pPr>
      <w:r>
        <w:t xml:space="preserve">属性绑定是否合理； </w:t>
      </w:r>
    </w:p>
    <w:p w14:paraId="455E5408">
      <w:pPr>
        <w:numPr>
          <w:ilvl w:val="0"/>
          <w:numId w:val="7"/>
        </w:numPr>
        <w:spacing w:beforeAutospacing="1" w:after="0" w:afterAutospacing="1"/>
        <w:ind w:left="726" w:hanging="363"/>
        <w:rPr>
          <w:rFonts w:hint="eastAsia"/>
          <w:lang w:eastAsia="zh-CN"/>
        </w:rPr>
      </w:pPr>
      <w:r>
        <w:rPr>
          <w:lang w:eastAsia="zh-CN"/>
        </w:rPr>
        <w:t xml:space="preserve">关系推理是否符合图像信息。 </w:t>
      </w:r>
      <w:commentRangeEnd w:id="11"/>
      <w:r>
        <w:rPr>
          <w:rStyle w:val="140"/>
          <w:rFonts w:hint="eastAsia"/>
          <w:sz w:val="24"/>
          <w:szCs w:val="22"/>
          <w:lang w:eastAsia="zh-CN"/>
        </w:rPr>
        <w:commentReference w:id="11"/>
      </w:r>
    </w:p>
    <w:p w14:paraId="4ECAA1AE">
      <w:pPr>
        <w:pStyle w:val="32"/>
        <w:ind w:firstLine="480" w:firstLineChars="200"/>
        <w:rPr>
          <w:rFonts w:hint="eastAsia"/>
        </w:rPr>
      </w:pPr>
      <w:r>
        <w:t>Perceval</w:t>
      </w:r>
      <w:r>
        <w:rPr>
          <w:rStyle w:val="138"/>
          <w:rFonts w:cs="宋体"/>
          <w:szCs w:val="24"/>
        </w:rPr>
        <w:t>[</w:t>
      </w:r>
      <w:r>
        <w:rPr>
          <w:rStyle w:val="138"/>
          <w:rFonts w:cs="宋体"/>
          <w:szCs w:val="24"/>
        </w:rPr>
        <w:endnoteReference w:id="8"/>
      </w:r>
      <w:r>
        <w:rPr>
          <w:rStyle w:val="138"/>
          <w:rFonts w:cs="宋体"/>
          <w:szCs w:val="24"/>
        </w:rPr>
        <w:t>]</w:t>
      </w:r>
      <w:r>
        <w:t>是该方向的重要代表。该方法提出视觉感知过程奖励模型，对推理过程中的视觉事实进行逐步验证，并将细粒度反馈引入RL优化，从而提升模型视觉grounding能力。此外，R1-VL</w:t>
      </w:r>
      <w:r>
        <w:rPr>
          <w:rStyle w:val="138"/>
        </w:rPr>
        <w:t>[</w:t>
      </w:r>
      <w:r>
        <w:rPr>
          <w:rStyle w:val="138"/>
        </w:rPr>
        <w:endnoteReference w:id="9"/>
      </w:r>
      <w:r>
        <w:rPr>
          <w:rStyle w:val="138"/>
        </w:rPr>
        <w:t>]</w:t>
      </w:r>
      <w:r>
        <w:t>提出StepGRPO，通过步骤级奖励缓解多模态强化学习中的稀疏奖励问题，为MLLM过程监督RL提供了一种通用优化框架。</w:t>
      </w:r>
    </w:p>
    <w:p w14:paraId="4EA963D5">
      <w:pPr>
        <w:pStyle w:val="32"/>
        <w:ind w:firstLine="480" w:firstLineChars="200"/>
        <w:rPr>
          <w:rFonts w:hint="eastAsia"/>
        </w:rPr>
      </w:pPr>
      <w:r>
        <w:t>过程奖励RL能够提高模型推理过程的可解释性和可靠性，但其缺点是需要构建过程奖励模型或标注推理步骤，导致数据成本和训练复杂度增加。</w:t>
      </w:r>
    </w:p>
    <w:p w14:paraId="5367B121">
      <w:pPr>
        <w:pStyle w:val="4"/>
        <w:jc w:val="both"/>
        <w:rPr>
          <w:lang w:eastAsia="zh-CN"/>
        </w:rPr>
      </w:pPr>
      <w:r>
        <w:rPr>
          <w:rFonts w:ascii="黑体" w:hAnsi="黑体" w:eastAsia="黑体"/>
          <w:color w:val="000000"/>
          <w:lang w:eastAsia="zh-CN"/>
        </w:rPr>
        <w:t>3.3 反思驱动RL</w:t>
      </w:r>
    </w:p>
    <w:p w14:paraId="4C031528">
      <w:pPr>
        <w:pStyle w:val="32"/>
        <w:ind w:firstLine="480" w:firstLineChars="200"/>
        <w:rPr>
          <w:rFonts w:hint="eastAsia"/>
        </w:rPr>
      </w:pPr>
      <w:r>
        <w:t>反思驱动RL进一步关注模型的自我纠错能力，其核心思想是在生成答案后引入评价和修改过程，使模型能够主动发现错误并优化推理路径。与传统RL直接优化</w:t>
      </w:r>
      <m:oMath>
        <m:r>
          <m:rPr/>
          <w:rPr>
            <w:rFonts w:ascii="Cambria Math"/>
          </w:rPr>
          <m:t xml:space="preserve"> </m:t>
        </m:r>
        <m:r>
          <m:rPr/>
          <w:rPr>
            <w:rFonts w:ascii="Cambria Math" w:hAnsi="Cambria Math"/>
          </w:rPr>
          <m:t xml:space="preserve">R(y) </m:t>
        </m:r>
      </m:oMath>
      <w:r>
        <w:t>不同，反思驱动RL关注修改前后性能变化：</w:t>
      </w:r>
    </w:p>
    <w:p w14:paraId="2D4F7507">
      <w:pPr>
        <w:pStyle w:val="32"/>
        <w:rPr>
          <w:rFonts w:hint="eastAsia" w:cs="宋体"/>
          <w:szCs w:val="24"/>
          <w:lang w:bidi="ar"/>
        </w:rPr>
      </w:pPr>
      <m:oMathPara>
        <m:oMath>
          <m:r>
            <m:rPr/>
            <w:rPr>
              <w:rFonts w:ascii="Cambria Math" w:hAnsi="Cambria Math"/>
            </w:rPr>
            <m:t>R=R(</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new</m:t>
              </m:r>
              <m:ctrlPr>
                <w:rPr>
                  <w:rFonts w:ascii="Cambria Math" w:hAnsi="Cambria Math"/>
                </w:rPr>
              </m:ctrlPr>
            </m:sub>
          </m:sSub>
          <m:r>
            <m:rPr/>
            <w:rPr>
              <w:rFonts w:ascii="Cambria Math" w:hAnsi="Cambria Math"/>
            </w:rPr>
            <m:t>)−R(</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old</m:t>
              </m:r>
              <m:ctrlPr>
                <w:rPr>
                  <w:rFonts w:ascii="Cambria Math" w:hAnsi="Cambria Math"/>
                </w:rPr>
              </m:ctrlPr>
            </m:sub>
          </m:sSub>
          <m:r>
            <m:rPr/>
            <w:rPr>
              <w:rFonts w:ascii="Cambria Math" w:hAnsi="Cambria Math"/>
            </w:rPr>
            <m:t>)</m:t>
          </m:r>
        </m:oMath>
      </m:oMathPara>
    </w:p>
    <w:p w14:paraId="5C494AAF">
      <w:pPr>
        <w:pStyle w:val="32"/>
        <w:rPr>
          <w:rFonts w:hint="eastAsia"/>
        </w:rPr>
      </w:pPr>
      <w:r>
        <w:t>其中</w:t>
      </w:r>
      <w:r>
        <w:rPr>
          <w:rFonts w:hint="eastAsia"/>
        </w:rPr>
        <w:t xml:space="preserve">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old</m:t>
            </m:r>
            <m:ctrlPr>
              <w:rPr>
                <w:rFonts w:ascii="Cambria Math" w:hAnsi="Cambria Math"/>
              </w:rPr>
            </m:ctrlPr>
          </m:sub>
        </m:sSub>
      </m:oMath>
      <w:r>
        <w:rPr>
          <w:rFonts w:hint="eastAsia" w:hAnsi="Cambria Math"/>
        </w:rPr>
        <w:t xml:space="preserve"> </w:t>
      </w:r>
      <w:r>
        <w:t>表示初始推理结果</w:t>
      </w:r>
      <w:r>
        <w:rPr>
          <w:rFonts w:hint="eastAsia"/>
        </w:rPr>
        <w:t>，</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new</m:t>
            </m:r>
            <m:ctrlPr>
              <w:rPr>
                <w:rFonts w:ascii="Cambria Math" w:hAnsi="Cambria Math"/>
              </w:rPr>
            </m:ctrlPr>
          </m:sub>
        </m:sSub>
      </m:oMath>
      <w:r>
        <w:rPr>
          <w:rFonts w:hint="eastAsia" w:hAnsi="Cambria Math"/>
        </w:rPr>
        <w:t xml:space="preserve"> </w:t>
      </w:r>
      <w:r>
        <w:t>表示经过反思修正后的结果。当模型通过反思获得更高质量输出时，可以获得额外奖励。</w:t>
      </w:r>
    </w:p>
    <w:p w14:paraId="02C2FDCF">
      <w:pPr>
        <w:pStyle w:val="32"/>
        <w:ind w:firstLine="480" w:firstLineChars="200"/>
        <w:rPr>
          <w:rFonts w:hint="eastAsia"/>
        </w:rPr>
      </w:pPr>
      <w:r>
        <w:t>该方法适用于复杂组合推理任务，例如多步关系推理和视觉场景分析，因为模型能够通过重新检查物体识别结果</w:t>
      </w:r>
      <w:r>
        <w:rPr>
          <w:rFonts w:hint="eastAsia"/>
        </w:rPr>
        <w:t>、</w:t>
      </w:r>
      <w:r>
        <w:t>属性关系绑定</w:t>
      </w:r>
      <w:r>
        <w:rPr>
          <w:rFonts w:hint="eastAsia"/>
        </w:rPr>
        <w:t>与</w:t>
      </w:r>
      <w:r>
        <w:t>推理链一致性</w:t>
      </w:r>
      <w:r>
        <w:rPr>
          <w:rFonts w:hint="eastAsia"/>
        </w:rPr>
        <w:t>，从而</w:t>
      </w:r>
      <w:r>
        <w:t>降低错误传播。</w:t>
      </w:r>
    </w:p>
    <w:p w14:paraId="0D8FA6B3">
      <w:pPr>
        <w:pStyle w:val="32"/>
        <w:ind w:firstLine="480" w:firstLineChars="200"/>
        <w:rPr>
          <w:rFonts w:hint="eastAsia"/>
        </w:rPr>
      </w:pPr>
      <w:r>
        <w:t>然而，反思过程需要额外生成和评价步骤，因此会增加训练和推理成本，同时如何设计有效反思奖励仍是主要挑战。</w:t>
      </w:r>
    </w:p>
    <w:p w14:paraId="5AFAD2DB">
      <w:pPr>
        <w:pStyle w:val="4"/>
        <w:jc w:val="both"/>
        <w:rPr>
          <w:lang w:eastAsia="zh-CN"/>
        </w:rPr>
      </w:pPr>
      <w:r>
        <w:rPr>
          <w:rFonts w:ascii="黑体" w:hAnsi="黑体" w:eastAsia="黑体"/>
          <w:color w:val="000000"/>
          <w:lang w:eastAsia="zh-CN"/>
        </w:rPr>
        <w:t>3.</w:t>
      </w:r>
      <w:r>
        <w:rPr>
          <w:rFonts w:hint="eastAsia" w:ascii="黑体" w:hAnsi="黑体" w:eastAsia="黑体"/>
          <w:color w:val="000000"/>
          <w:lang w:eastAsia="zh-CN"/>
        </w:rPr>
        <w:t>4</w:t>
      </w:r>
      <w:r>
        <w:rPr>
          <w:rFonts w:ascii="黑体" w:hAnsi="黑体" w:eastAsia="黑体"/>
          <w:color w:val="000000"/>
          <w:lang w:eastAsia="zh-CN"/>
        </w:rPr>
        <w:t xml:space="preserve"> 搜索增强RL</w:t>
      </w:r>
    </w:p>
    <w:p w14:paraId="63780462">
      <w:pPr>
        <w:pStyle w:val="32"/>
        <w:ind w:firstLine="480" w:firstLineChars="200"/>
        <w:rPr>
          <w:rFonts w:hint="eastAsia"/>
        </w:rPr>
      </w:pPr>
      <w:r>
        <w:t>对于复杂组合推理任务，单一路径生成可能无法覆盖所有可能推理方案，因此搜索增强RL进一步将搜索算法引入强化学习过程，通过探索多个候选推理路径选择更优结果。其基本思想是：</w:t>
      </w:r>
    </w:p>
    <w:p w14:paraId="0E4D01DD">
      <w:pPr>
        <w:rPr>
          <w:rFonts w:hint="eastAsia"/>
        </w:rPr>
      </w:pPr>
      <m:oMathPara>
        <m:oMath>
          <m:r>
            <m:rPr/>
            <w:rPr>
              <w:rFonts w:ascii="Cambria Math" w:hAnsi="Cambria Math"/>
            </w:rPr>
            <m:t>Y={</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oMath>
      </m:oMathPara>
    </w:p>
    <w:p w14:paraId="3B4D4218">
      <w:pPr>
        <w:pStyle w:val="32"/>
        <w:rPr>
          <w:rFonts w:hint="eastAsia"/>
        </w:rPr>
      </w:pPr>
      <w:r>
        <w:t>对于多个候选推理轨迹，根据奖励函数选择：</w:t>
      </w:r>
    </w:p>
    <w:p w14:paraId="1DED5F26">
      <w:pPr>
        <w:rPr>
          <w:rFonts w:hint="eastAsia"/>
        </w:rPr>
      </w:pPr>
      <m:oMathPara>
        <m:oMath>
          <m:sSup>
            <m:sSupPr>
              <m:ctrlPr>
                <w:rPr>
                  <w:rFonts w:ascii="Cambria Math" w:hAnsi="Cambria Math"/>
                </w:rPr>
              </m:ctrlPr>
            </m:sSupPr>
            <m:e>
              <m:r>
                <m:rPr/>
                <w:rPr>
                  <w:rFonts w:ascii="Cambria Math" w:hAnsi="Cambria Math"/>
                </w:rPr>
                <m:t>y</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ctrlPr>
                    <w:rPr>
                      <w:rFonts w:ascii="Cambria Math" w:hAnsi="Cambria Math"/>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m:sty m:val="p"/>
                            </m:rPr>
                            <w:rPr>
                              <w:rFonts w:ascii="Cambria Math" w:hAnsi="Cambria Math"/>
                              <w:lang w:eastAsia="zh-CN"/>
                            </w:rPr>
                            <m:t xml:space="preserve"> </m:t>
                          </m:r>
                          <m:ctrlPr>
                            <w:rPr>
                              <w:rFonts w:ascii="Cambria Math" w:hAnsi="Cambria Math"/>
                            </w:rPr>
                          </m:ctrlPr>
                        </m:lim>
                      </m:limLow>
                      <m:ctrlPr>
                        <w:rPr>
                          <w:rFonts w:ascii="Cambria Math" w:hAnsi="Cambria Math"/>
                        </w:rPr>
                      </m:ctrlPr>
                    </m:fName>
                    <m:e>
                      <m:r>
                        <m:rPr>
                          <m:sty m:val="p"/>
                        </m:rPr>
                        <w:rPr>
                          <w:rFonts w:ascii="Cambria Math" w:hAnsi="Cambria Math"/>
                          <w:lang w:eastAsia="zh-CN"/>
                        </w:rPr>
                        <m:t xml:space="preserve"> </m:t>
                      </m:r>
                      <m:ctrlPr>
                        <w:rPr>
                          <w:rFonts w:ascii="Cambria Math" w:hAnsi="Cambria Math"/>
                        </w:rPr>
                      </m:ctrlPr>
                    </m:e>
                  </m:func>
                  <m:ctrlPr>
                    <w:rPr>
                      <w:rFonts w:ascii="Cambria Math" w:hAnsi="Cambria Math"/>
                    </w:rPr>
                  </m:ctrlPr>
                </m:e>
              </m:func>
              <m:ctrlPr>
                <w:rPr>
                  <w:rFonts w:ascii="Cambria Math" w:hAnsi="Cambria Math"/>
                </w:rPr>
              </m:ctrlPr>
            </m:e>
            <m:lim>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lim>
          </m:limLow>
          <m:r>
            <m:rPr/>
            <w:rPr>
              <w:rFonts w:ascii="Cambria Math" w:hAnsi="Cambria Math"/>
            </w:rPr>
            <m:t>R(</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p w14:paraId="3667F2C5">
      <w:pPr>
        <w:pStyle w:val="32"/>
        <w:ind w:firstLine="480" w:firstLineChars="200"/>
        <w:rPr>
          <w:rFonts w:hint="eastAsia"/>
        </w:rPr>
      </w:pPr>
      <w:r>
        <w:t>部分方法进一步结合蒙特卡洛树搜索（MCTS），通过节点扩展、路径评估和价值更新寻找更优推理路径。</w:t>
      </w:r>
    </w:p>
    <w:p w14:paraId="4CD951B9">
      <w:pPr>
        <w:pStyle w:val="32"/>
        <w:ind w:firstLine="480" w:firstLineChars="200"/>
        <w:rPr>
          <w:rFonts w:hint="eastAsia"/>
        </w:rPr>
      </w:pPr>
      <w:r>
        <w:t>搜索增强RL能够提升模型解决复杂、多步骤任务的能力，但由于需要维护多个候选轨迹，其计算成本明显高于直接策略优化方法。因此，如何平衡推理性能和计算效率仍是未来研究重点。</w:t>
      </w:r>
    </w:p>
    <w:p w14:paraId="4820FE19">
      <w:pPr>
        <w:pStyle w:val="4"/>
        <w:jc w:val="both"/>
        <w:rPr>
          <w:rFonts w:ascii="黑体" w:hAnsi="黑体" w:eastAsia="黑体"/>
          <w:color w:val="000000"/>
          <w:lang w:eastAsia="zh-CN"/>
        </w:rPr>
      </w:pPr>
      <w:r>
        <w:rPr>
          <w:rFonts w:ascii="黑体" w:hAnsi="黑体" w:eastAsia="黑体"/>
          <w:color w:val="000000"/>
        </w:rPr>
        <w:t>3.</w:t>
      </w:r>
      <w:r>
        <w:rPr>
          <w:rFonts w:hint="eastAsia" w:ascii="黑体" w:hAnsi="黑体" w:eastAsia="黑体"/>
          <w:color w:val="000000"/>
          <w:lang w:eastAsia="zh-CN"/>
        </w:rPr>
        <w:t>5</w:t>
      </w:r>
      <w:r>
        <w:rPr>
          <w:rFonts w:ascii="黑体" w:hAnsi="黑体" w:eastAsia="黑体"/>
          <w:color w:val="000000"/>
        </w:rPr>
        <w:t xml:space="preserve"> 四类RL范式横向对比</w:t>
      </w:r>
    </w:p>
    <w:p w14:paraId="19572553">
      <w:pPr>
        <w:rPr>
          <w:rFonts w:hint="eastAsia"/>
          <w:lang w:eastAsia="zh-CN"/>
        </w:rPr>
      </w:pPr>
      <w:r>
        <w:rPr>
          <w:rFonts w:hint="eastAsia"/>
          <w:lang w:eastAsia="zh-CN"/>
        </w:rPr>
        <w:t>表1 xxxxx</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1726"/>
        <w:gridCol w:w="1726"/>
        <w:gridCol w:w="1726"/>
        <w:gridCol w:w="1727"/>
      </w:tblGrid>
      <w:tr w14:paraId="1D36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4C0E165">
            <w:pPr>
              <w:jc w:val="center"/>
              <w:rPr>
                <w:rFonts w:hint="eastAsia"/>
                <w:sz w:val="21"/>
                <w:szCs w:val="21"/>
              </w:rPr>
            </w:pPr>
            <w:commentRangeStart w:id="12"/>
            <w:r>
              <w:rPr>
                <w:b/>
                <w:sz w:val="21"/>
                <w:szCs w:val="21"/>
              </w:rPr>
              <w:t>维度</w:t>
            </w:r>
          </w:p>
        </w:tc>
        <w:tc>
          <w:tcPr>
            <w:tcW w:w="1728" w:type="dxa"/>
          </w:tcPr>
          <w:p w14:paraId="6693B123">
            <w:pPr>
              <w:jc w:val="center"/>
              <w:rPr>
                <w:rFonts w:hint="eastAsia"/>
                <w:sz w:val="21"/>
                <w:szCs w:val="21"/>
              </w:rPr>
            </w:pPr>
            <w:r>
              <w:rPr>
                <w:b/>
                <w:sz w:val="21"/>
                <w:szCs w:val="21"/>
              </w:rPr>
              <w:t>规则奖励RL</w:t>
            </w:r>
          </w:p>
        </w:tc>
        <w:tc>
          <w:tcPr>
            <w:tcW w:w="1728" w:type="dxa"/>
          </w:tcPr>
          <w:p w14:paraId="4AFF7690">
            <w:pPr>
              <w:jc w:val="center"/>
              <w:rPr>
                <w:rFonts w:hint="eastAsia"/>
                <w:sz w:val="21"/>
                <w:szCs w:val="21"/>
              </w:rPr>
            </w:pPr>
            <w:r>
              <w:rPr>
                <w:b/>
                <w:sz w:val="21"/>
                <w:szCs w:val="21"/>
              </w:rPr>
              <w:t>过程奖励RL</w:t>
            </w:r>
          </w:p>
        </w:tc>
        <w:tc>
          <w:tcPr>
            <w:tcW w:w="1728" w:type="dxa"/>
          </w:tcPr>
          <w:p w14:paraId="45744CE7">
            <w:pPr>
              <w:jc w:val="center"/>
              <w:rPr>
                <w:rFonts w:hint="eastAsia"/>
                <w:sz w:val="21"/>
                <w:szCs w:val="21"/>
              </w:rPr>
            </w:pPr>
            <w:r>
              <w:rPr>
                <w:b/>
                <w:sz w:val="21"/>
                <w:szCs w:val="21"/>
              </w:rPr>
              <w:t>反思驱动RL</w:t>
            </w:r>
          </w:p>
        </w:tc>
        <w:tc>
          <w:tcPr>
            <w:tcW w:w="1728" w:type="dxa"/>
          </w:tcPr>
          <w:p w14:paraId="19B7048D">
            <w:pPr>
              <w:jc w:val="center"/>
              <w:rPr>
                <w:rFonts w:hint="eastAsia"/>
                <w:sz w:val="21"/>
                <w:szCs w:val="21"/>
              </w:rPr>
            </w:pPr>
            <w:r>
              <w:rPr>
                <w:b/>
                <w:sz w:val="21"/>
                <w:szCs w:val="21"/>
              </w:rPr>
              <w:t>搜索增强RL</w:t>
            </w:r>
          </w:p>
        </w:tc>
      </w:tr>
      <w:tr w14:paraId="629F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6115264">
            <w:pPr>
              <w:jc w:val="center"/>
              <w:rPr>
                <w:rFonts w:hint="eastAsia"/>
                <w:sz w:val="21"/>
                <w:szCs w:val="21"/>
              </w:rPr>
            </w:pPr>
            <w:r>
              <w:rPr>
                <w:sz w:val="21"/>
                <w:szCs w:val="21"/>
              </w:rPr>
              <w:t>奖励粒度</w:t>
            </w:r>
          </w:p>
        </w:tc>
        <w:tc>
          <w:tcPr>
            <w:tcW w:w="1728" w:type="dxa"/>
          </w:tcPr>
          <w:p w14:paraId="2192953B">
            <w:pPr>
              <w:jc w:val="center"/>
              <w:rPr>
                <w:rFonts w:hint="eastAsia"/>
                <w:sz w:val="21"/>
                <w:szCs w:val="21"/>
              </w:rPr>
            </w:pPr>
            <w:r>
              <w:rPr>
                <w:sz w:val="21"/>
                <w:szCs w:val="21"/>
              </w:rPr>
              <w:t>粗（结果级）</w:t>
            </w:r>
          </w:p>
        </w:tc>
        <w:tc>
          <w:tcPr>
            <w:tcW w:w="1728" w:type="dxa"/>
          </w:tcPr>
          <w:p w14:paraId="0F73B62E">
            <w:pPr>
              <w:jc w:val="center"/>
              <w:rPr>
                <w:rFonts w:hint="eastAsia"/>
                <w:sz w:val="21"/>
                <w:szCs w:val="21"/>
              </w:rPr>
            </w:pPr>
            <w:r>
              <w:rPr>
                <w:sz w:val="21"/>
                <w:szCs w:val="21"/>
              </w:rPr>
              <w:t>细（步骤级）</w:t>
            </w:r>
          </w:p>
        </w:tc>
        <w:tc>
          <w:tcPr>
            <w:tcW w:w="1728" w:type="dxa"/>
          </w:tcPr>
          <w:p w14:paraId="6520A999">
            <w:pPr>
              <w:jc w:val="center"/>
              <w:rPr>
                <w:rFonts w:hint="eastAsia"/>
                <w:sz w:val="21"/>
                <w:szCs w:val="21"/>
              </w:rPr>
            </w:pPr>
            <w:r>
              <w:rPr>
                <w:sz w:val="21"/>
                <w:szCs w:val="21"/>
              </w:rPr>
              <w:t>中（过程+反思）</w:t>
            </w:r>
          </w:p>
        </w:tc>
        <w:tc>
          <w:tcPr>
            <w:tcW w:w="1728" w:type="dxa"/>
          </w:tcPr>
          <w:p w14:paraId="311736D6">
            <w:pPr>
              <w:jc w:val="center"/>
              <w:rPr>
                <w:rFonts w:hint="eastAsia"/>
                <w:sz w:val="21"/>
                <w:szCs w:val="21"/>
              </w:rPr>
            </w:pPr>
            <w:r>
              <w:rPr>
                <w:sz w:val="21"/>
                <w:szCs w:val="21"/>
              </w:rPr>
              <w:t>粗（路径级）</w:t>
            </w:r>
          </w:p>
        </w:tc>
      </w:tr>
      <w:tr w14:paraId="4B0F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DA1A87A">
            <w:pPr>
              <w:jc w:val="center"/>
              <w:rPr>
                <w:rFonts w:hint="eastAsia"/>
                <w:sz w:val="21"/>
                <w:szCs w:val="21"/>
              </w:rPr>
            </w:pPr>
            <w:r>
              <w:rPr>
                <w:sz w:val="21"/>
                <w:szCs w:val="21"/>
              </w:rPr>
              <w:t>实现成本</w:t>
            </w:r>
          </w:p>
        </w:tc>
        <w:tc>
          <w:tcPr>
            <w:tcW w:w="1728" w:type="dxa"/>
          </w:tcPr>
          <w:p w14:paraId="5DC905E4">
            <w:pPr>
              <w:jc w:val="center"/>
              <w:rPr>
                <w:rFonts w:hint="eastAsia"/>
                <w:sz w:val="21"/>
                <w:szCs w:val="21"/>
              </w:rPr>
            </w:pPr>
            <w:r>
              <w:rPr>
                <w:sz w:val="21"/>
                <w:szCs w:val="21"/>
              </w:rPr>
              <w:t>低</w:t>
            </w:r>
          </w:p>
        </w:tc>
        <w:tc>
          <w:tcPr>
            <w:tcW w:w="1728" w:type="dxa"/>
          </w:tcPr>
          <w:p w14:paraId="03F3F72A">
            <w:pPr>
              <w:jc w:val="center"/>
              <w:rPr>
                <w:rFonts w:hint="eastAsia"/>
                <w:sz w:val="21"/>
                <w:szCs w:val="21"/>
              </w:rPr>
            </w:pPr>
            <w:r>
              <w:rPr>
                <w:sz w:val="21"/>
                <w:szCs w:val="21"/>
              </w:rPr>
              <w:t>高</w:t>
            </w:r>
          </w:p>
        </w:tc>
        <w:tc>
          <w:tcPr>
            <w:tcW w:w="1728" w:type="dxa"/>
          </w:tcPr>
          <w:p w14:paraId="415DB8FC">
            <w:pPr>
              <w:jc w:val="center"/>
              <w:rPr>
                <w:rFonts w:hint="eastAsia"/>
                <w:sz w:val="21"/>
                <w:szCs w:val="21"/>
              </w:rPr>
            </w:pPr>
            <w:r>
              <w:rPr>
                <w:sz w:val="21"/>
                <w:szCs w:val="21"/>
              </w:rPr>
              <w:t>中高</w:t>
            </w:r>
          </w:p>
        </w:tc>
        <w:tc>
          <w:tcPr>
            <w:tcW w:w="1728" w:type="dxa"/>
          </w:tcPr>
          <w:p w14:paraId="438E7443">
            <w:pPr>
              <w:jc w:val="center"/>
              <w:rPr>
                <w:rFonts w:hint="eastAsia"/>
                <w:sz w:val="21"/>
                <w:szCs w:val="21"/>
              </w:rPr>
            </w:pPr>
            <w:r>
              <w:rPr>
                <w:sz w:val="21"/>
                <w:szCs w:val="21"/>
              </w:rPr>
              <w:t>高</w:t>
            </w:r>
          </w:p>
        </w:tc>
      </w:tr>
      <w:tr w14:paraId="016E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B159A3F">
            <w:pPr>
              <w:jc w:val="center"/>
              <w:rPr>
                <w:rFonts w:hint="eastAsia"/>
                <w:sz w:val="21"/>
                <w:szCs w:val="21"/>
              </w:rPr>
            </w:pPr>
            <w:r>
              <w:rPr>
                <w:sz w:val="21"/>
                <w:szCs w:val="21"/>
              </w:rPr>
              <w:t>推理可控性</w:t>
            </w:r>
          </w:p>
        </w:tc>
        <w:tc>
          <w:tcPr>
            <w:tcW w:w="1728" w:type="dxa"/>
          </w:tcPr>
          <w:p w14:paraId="26CB2B7E">
            <w:pPr>
              <w:jc w:val="center"/>
              <w:rPr>
                <w:rFonts w:hint="eastAsia"/>
                <w:sz w:val="21"/>
                <w:szCs w:val="21"/>
              </w:rPr>
            </w:pPr>
            <w:r>
              <w:rPr>
                <w:sz w:val="21"/>
                <w:szCs w:val="21"/>
              </w:rPr>
              <w:t>弱</w:t>
            </w:r>
          </w:p>
        </w:tc>
        <w:tc>
          <w:tcPr>
            <w:tcW w:w="1728" w:type="dxa"/>
          </w:tcPr>
          <w:p w14:paraId="5B505AFC">
            <w:pPr>
              <w:jc w:val="center"/>
              <w:rPr>
                <w:rFonts w:hint="eastAsia"/>
                <w:sz w:val="21"/>
                <w:szCs w:val="21"/>
              </w:rPr>
            </w:pPr>
            <w:r>
              <w:rPr>
                <w:sz w:val="21"/>
                <w:szCs w:val="21"/>
              </w:rPr>
              <w:t>强</w:t>
            </w:r>
          </w:p>
        </w:tc>
        <w:tc>
          <w:tcPr>
            <w:tcW w:w="1728" w:type="dxa"/>
          </w:tcPr>
          <w:p w14:paraId="34BF6A10">
            <w:pPr>
              <w:jc w:val="center"/>
              <w:rPr>
                <w:rFonts w:hint="eastAsia"/>
                <w:sz w:val="21"/>
                <w:szCs w:val="21"/>
              </w:rPr>
            </w:pPr>
            <w:r>
              <w:rPr>
                <w:sz w:val="21"/>
                <w:szCs w:val="21"/>
              </w:rPr>
              <w:t>中</w:t>
            </w:r>
          </w:p>
        </w:tc>
        <w:tc>
          <w:tcPr>
            <w:tcW w:w="1728" w:type="dxa"/>
          </w:tcPr>
          <w:p w14:paraId="2E54AC99">
            <w:pPr>
              <w:jc w:val="center"/>
              <w:rPr>
                <w:rFonts w:hint="eastAsia"/>
                <w:sz w:val="21"/>
                <w:szCs w:val="21"/>
              </w:rPr>
            </w:pPr>
            <w:r>
              <w:rPr>
                <w:sz w:val="21"/>
                <w:szCs w:val="21"/>
              </w:rPr>
              <w:t>中</w:t>
            </w:r>
          </w:p>
        </w:tc>
      </w:tr>
      <w:tr w14:paraId="7C26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CA7A8B7">
            <w:pPr>
              <w:jc w:val="center"/>
              <w:rPr>
                <w:rFonts w:hint="eastAsia"/>
                <w:sz w:val="21"/>
                <w:szCs w:val="21"/>
              </w:rPr>
            </w:pPr>
            <w:r>
              <w:rPr>
                <w:sz w:val="21"/>
                <w:szCs w:val="21"/>
              </w:rPr>
              <w:t>泛化能力</w:t>
            </w:r>
          </w:p>
        </w:tc>
        <w:tc>
          <w:tcPr>
            <w:tcW w:w="1728" w:type="dxa"/>
          </w:tcPr>
          <w:p w14:paraId="470072E3">
            <w:pPr>
              <w:jc w:val="center"/>
              <w:rPr>
                <w:rFonts w:hint="eastAsia"/>
                <w:sz w:val="21"/>
                <w:szCs w:val="21"/>
              </w:rPr>
            </w:pPr>
            <w:r>
              <w:rPr>
                <w:sz w:val="21"/>
                <w:szCs w:val="21"/>
              </w:rPr>
              <w:t>强</w:t>
            </w:r>
          </w:p>
        </w:tc>
        <w:tc>
          <w:tcPr>
            <w:tcW w:w="1728" w:type="dxa"/>
          </w:tcPr>
          <w:p w14:paraId="77443DF6">
            <w:pPr>
              <w:jc w:val="center"/>
              <w:rPr>
                <w:rFonts w:hint="eastAsia"/>
                <w:sz w:val="21"/>
                <w:szCs w:val="21"/>
              </w:rPr>
            </w:pPr>
            <w:r>
              <w:rPr>
                <w:sz w:val="21"/>
                <w:szCs w:val="21"/>
              </w:rPr>
              <w:t>中强</w:t>
            </w:r>
          </w:p>
        </w:tc>
        <w:tc>
          <w:tcPr>
            <w:tcW w:w="1728" w:type="dxa"/>
          </w:tcPr>
          <w:p w14:paraId="1009FBDC">
            <w:pPr>
              <w:jc w:val="center"/>
              <w:rPr>
                <w:rFonts w:hint="eastAsia"/>
                <w:sz w:val="21"/>
                <w:szCs w:val="21"/>
              </w:rPr>
            </w:pPr>
            <w:r>
              <w:rPr>
                <w:sz w:val="21"/>
                <w:szCs w:val="21"/>
              </w:rPr>
              <w:t>强</w:t>
            </w:r>
          </w:p>
        </w:tc>
        <w:tc>
          <w:tcPr>
            <w:tcW w:w="1728" w:type="dxa"/>
          </w:tcPr>
          <w:p w14:paraId="6A0FD334">
            <w:pPr>
              <w:jc w:val="center"/>
              <w:rPr>
                <w:rFonts w:hint="eastAsia"/>
                <w:sz w:val="21"/>
                <w:szCs w:val="21"/>
              </w:rPr>
            </w:pPr>
            <w:r>
              <w:rPr>
                <w:sz w:val="21"/>
                <w:szCs w:val="21"/>
              </w:rPr>
              <w:t>中</w:t>
            </w:r>
          </w:p>
        </w:tc>
      </w:tr>
      <w:tr w14:paraId="5B62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6369F74">
            <w:pPr>
              <w:jc w:val="center"/>
              <w:rPr>
                <w:rFonts w:hint="eastAsia"/>
                <w:sz w:val="21"/>
                <w:szCs w:val="21"/>
              </w:rPr>
            </w:pPr>
            <w:r>
              <w:rPr>
                <w:sz w:val="21"/>
                <w:szCs w:val="21"/>
              </w:rPr>
              <w:t>代表工作</w:t>
            </w:r>
          </w:p>
        </w:tc>
        <w:tc>
          <w:tcPr>
            <w:tcW w:w="1728" w:type="dxa"/>
          </w:tcPr>
          <w:p w14:paraId="58901C33">
            <w:pPr>
              <w:jc w:val="center"/>
              <w:rPr>
                <w:rFonts w:hint="eastAsia"/>
                <w:sz w:val="21"/>
                <w:szCs w:val="21"/>
              </w:rPr>
            </w:pPr>
            <w:r>
              <w:rPr>
                <w:sz w:val="21"/>
                <w:szCs w:val="21"/>
              </w:rPr>
              <w:t>CR³</w:t>
            </w:r>
          </w:p>
        </w:tc>
        <w:tc>
          <w:tcPr>
            <w:tcW w:w="1728" w:type="dxa"/>
          </w:tcPr>
          <w:p w14:paraId="2B96C26B">
            <w:pPr>
              <w:jc w:val="center"/>
              <w:rPr>
                <w:rFonts w:hint="eastAsia"/>
                <w:sz w:val="21"/>
                <w:szCs w:val="21"/>
              </w:rPr>
            </w:pPr>
            <w:r>
              <w:rPr>
                <w:sz w:val="21"/>
                <w:szCs w:val="21"/>
              </w:rPr>
              <w:t>R1-VL等</w:t>
            </w:r>
          </w:p>
        </w:tc>
        <w:tc>
          <w:tcPr>
            <w:tcW w:w="1728" w:type="dxa"/>
          </w:tcPr>
          <w:p w14:paraId="51AD604E">
            <w:pPr>
              <w:jc w:val="center"/>
              <w:rPr>
                <w:rFonts w:hint="eastAsia"/>
                <w:sz w:val="21"/>
                <w:szCs w:val="21"/>
              </w:rPr>
            </w:pPr>
            <w:r>
              <w:rPr>
                <w:sz w:val="21"/>
                <w:szCs w:val="21"/>
              </w:rPr>
              <w:t>反思RL系列</w:t>
            </w:r>
          </w:p>
        </w:tc>
        <w:tc>
          <w:tcPr>
            <w:tcW w:w="1728" w:type="dxa"/>
          </w:tcPr>
          <w:p w14:paraId="03547D96">
            <w:pPr>
              <w:jc w:val="center"/>
              <w:rPr>
                <w:rFonts w:hint="eastAsia"/>
                <w:sz w:val="21"/>
                <w:szCs w:val="21"/>
              </w:rPr>
            </w:pPr>
            <w:r>
              <w:rPr>
                <w:sz w:val="21"/>
                <w:szCs w:val="21"/>
              </w:rPr>
              <w:t>MCTS+RL系列</w:t>
            </w:r>
          </w:p>
        </w:tc>
      </w:tr>
      <w:tr w14:paraId="6277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F4F44E3">
            <w:pPr>
              <w:jc w:val="center"/>
              <w:rPr>
                <w:rFonts w:hint="eastAsia"/>
                <w:sz w:val="21"/>
                <w:szCs w:val="21"/>
              </w:rPr>
            </w:pPr>
            <w:r>
              <w:rPr>
                <w:sz w:val="21"/>
                <w:szCs w:val="21"/>
              </w:rPr>
              <w:t>适用场景</w:t>
            </w:r>
          </w:p>
        </w:tc>
        <w:tc>
          <w:tcPr>
            <w:tcW w:w="1728" w:type="dxa"/>
          </w:tcPr>
          <w:p w14:paraId="4F12B1FF">
            <w:pPr>
              <w:jc w:val="center"/>
              <w:rPr>
                <w:rFonts w:hint="eastAsia"/>
                <w:sz w:val="21"/>
                <w:szCs w:val="21"/>
              </w:rPr>
            </w:pPr>
            <w:r>
              <w:rPr>
                <w:sz w:val="21"/>
                <w:szCs w:val="21"/>
              </w:rPr>
              <w:t>闭合式评测</w:t>
            </w:r>
          </w:p>
        </w:tc>
        <w:tc>
          <w:tcPr>
            <w:tcW w:w="1728" w:type="dxa"/>
          </w:tcPr>
          <w:p w14:paraId="1B437575">
            <w:pPr>
              <w:jc w:val="center"/>
              <w:rPr>
                <w:rFonts w:hint="eastAsia"/>
                <w:sz w:val="21"/>
                <w:szCs w:val="21"/>
              </w:rPr>
            </w:pPr>
            <w:r>
              <w:rPr>
                <w:sz w:val="21"/>
                <w:szCs w:val="21"/>
              </w:rPr>
              <w:t>分步VQA/空间推理</w:t>
            </w:r>
          </w:p>
        </w:tc>
        <w:tc>
          <w:tcPr>
            <w:tcW w:w="1728" w:type="dxa"/>
          </w:tcPr>
          <w:p w14:paraId="05FDB99D">
            <w:pPr>
              <w:jc w:val="center"/>
              <w:rPr>
                <w:rFonts w:hint="eastAsia"/>
                <w:sz w:val="21"/>
                <w:szCs w:val="21"/>
              </w:rPr>
            </w:pPr>
            <w:r>
              <w:rPr>
                <w:sz w:val="21"/>
                <w:szCs w:val="21"/>
              </w:rPr>
              <w:t>复杂视觉推理</w:t>
            </w:r>
          </w:p>
        </w:tc>
        <w:tc>
          <w:tcPr>
            <w:tcW w:w="1728" w:type="dxa"/>
          </w:tcPr>
          <w:p w14:paraId="71C660AC">
            <w:pPr>
              <w:jc w:val="center"/>
              <w:rPr>
                <w:rFonts w:hint="eastAsia"/>
                <w:sz w:val="21"/>
                <w:szCs w:val="21"/>
              </w:rPr>
            </w:pPr>
            <w:r>
              <w:rPr>
                <w:sz w:val="21"/>
                <w:szCs w:val="21"/>
              </w:rPr>
              <w:t>大规模搜索</w:t>
            </w:r>
            <w:commentRangeEnd w:id="12"/>
            <w:r>
              <w:rPr>
                <w:rStyle w:val="140"/>
                <w:rFonts w:hint="eastAsia"/>
              </w:rPr>
              <w:commentReference w:id="12"/>
            </w:r>
          </w:p>
        </w:tc>
      </w:tr>
    </w:tbl>
    <w:p w14:paraId="223CEB61">
      <w:pPr>
        <w:pStyle w:val="3"/>
        <w:jc w:val="both"/>
        <w:rPr>
          <w:lang w:eastAsia="zh-CN"/>
        </w:rPr>
      </w:pPr>
      <w:r>
        <w:rPr>
          <w:rFonts w:ascii="黑体" w:hAnsi="黑体" w:eastAsia="黑体"/>
          <w:color w:val="000000"/>
          <w:lang w:eastAsia="zh-CN"/>
        </w:rPr>
        <w:t>四、目前达到的性能水平</w:t>
      </w:r>
    </w:p>
    <w:p w14:paraId="161EB904">
      <w:pPr>
        <w:ind w:firstLine="480"/>
        <w:jc w:val="both"/>
        <w:rPr>
          <w:rFonts w:hint="eastAsia"/>
          <w:lang w:eastAsia="zh-CN"/>
        </w:rPr>
      </w:pPr>
      <w:r>
        <w:rPr>
          <w:lang w:eastAsia="zh-CN"/>
        </w:rPr>
        <w:t>表1对比各主流方法在常用组合推理基准上的性能数据。需注意，各论文使用的基座模型与实验设置不同，横向比较应关注相对提升幅度而非绝对值。</w:t>
      </w:r>
    </w:p>
    <w:tbl>
      <w:tblPr>
        <w:tblStyle w:val="36"/>
        <w:tblW w:w="8645" w:type="dxa"/>
        <w:tblInd w:w="0" w:type="dxa"/>
        <w:shd w:val="clear" w:color="auto" w:fill="FFFFFF"/>
        <w:tblLayout w:type="fixed"/>
        <w:tblCellMar>
          <w:top w:w="15" w:type="dxa"/>
          <w:left w:w="15" w:type="dxa"/>
          <w:bottom w:w="15" w:type="dxa"/>
          <w:right w:w="15" w:type="dxa"/>
        </w:tblCellMar>
      </w:tblPr>
      <w:tblGrid>
        <w:gridCol w:w="1397"/>
        <w:gridCol w:w="1201"/>
        <w:gridCol w:w="1573"/>
        <w:gridCol w:w="1686"/>
        <w:gridCol w:w="1567"/>
        <w:gridCol w:w="1221"/>
      </w:tblGrid>
      <w:tr w14:paraId="6F3DD98D">
        <w:tblPrEx>
          <w:tblCellMar>
            <w:top w:w="15" w:type="dxa"/>
            <w:left w:w="15" w:type="dxa"/>
            <w:bottom w:w="15" w:type="dxa"/>
            <w:right w:w="15" w:type="dxa"/>
          </w:tblCellMar>
        </w:tblPrEx>
        <w:trPr>
          <w:tblHeader/>
        </w:trPr>
        <w:tc>
          <w:tcPr>
            <w:tcW w:w="1397"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33AC7A96">
            <w:pPr>
              <w:spacing w:line="240" w:lineRule="auto"/>
              <w:jc w:val="center"/>
              <w:rPr>
                <w:rFonts w:hint="eastAsia" w:cs="宋体"/>
                <w:color w:val="0F1115"/>
                <w:sz w:val="21"/>
                <w:szCs w:val="21"/>
              </w:rPr>
            </w:pPr>
            <w:r>
              <w:rPr>
                <w:rFonts w:hint="eastAsia" w:cs="宋体"/>
                <w:color w:val="0F1115"/>
                <w:sz w:val="21"/>
                <w:szCs w:val="21"/>
                <w:lang w:eastAsia="zh-CN" w:bidi="ar"/>
              </w:rPr>
              <w:t>模型</w:t>
            </w:r>
          </w:p>
        </w:tc>
        <w:tc>
          <w:tcPr>
            <w:tcW w:w="120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7AE7A5CE">
            <w:pPr>
              <w:spacing w:line="240" w:lineRule="auto"/>
              <w:jc w:val="center"/>
              <w:rPr>
                <w:rFonts w:hint="eastAsia" w:cs="宋体"/>
                <w:color w:val="0F1115"/>
                <w:sz w:val="21"/>
                <w:szCs w:val="21"/>
              </w:rPr>
            </w:pPr>
            <w:r>
              <w:rPr>
                <w:rFonts w:hint="eastAsia" w:cs="宋体"/>
                <w:color w:val="0F1115"/>
                <w:sz w:val="21"/>
                <w:szCs w:val="21"/>
                <w:lang w:eastAsia="zh-CN" w:bidi="ar"/>
              </w:rPr>
              <w:t>类型</w:t>
            </w:r>
          </w:p>
        </w:tc>
        <w:tc>
          <w:tcPr>
            <w:tcW w:w="1573"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23D0BD75">
            <w:pPr>
              <w:spacing w:line="240" w:lineRule="auto"/>
              <w:jc w:val="center"/>
              <w:rPr>
                <w:rFonts w:hint="eastAsia" w:cs="宋体"/>
                <w:color w:val="0F1115"/>
                <w:sz w:val="21"/>
                <w:szCs w:val="21"/>
              </w:rPr>
            </w:pPr>
            <w:r>
              <w:rPr>
                <w:rFonts w:hint="eastAsia" w:cs="宋体"/>
                <w:color w:val="0F1115"/>
                <w:sz w:val="21"/>
                <w:szCs w:val="21"/>
                <w:lang w:eastAsia="zh-CN" w:bidi="ar"/>
              </w:rPr>
              <w:t>训练方式</w:t>
            </w:r>
          </w:p>
        </w:tc>
        <w:tc>
          <w:tcPr>
            <w:tcW w:w="168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1A010174">
            <w:pPr>
              <w:spacing w:line="240" w:lineRule="auto"/>
              <w:jc w:val="center"/>
              <w:rPr>
                <w:rFonts w:hint="eastAsia" w:cs="宋体"/>
                <w:color w:val="0F1115"/>
                <w:sz w:val="21"/>
                <w:szCs w:val="21"/>
              </w:rPr>
            </w:pPr>
            <w:r>
              <w:rPr>
                <w:rFonts w:hint="eastAsia" w:cs="宋体"/>
                <w:color w:val="0F1115"/>
                <w:sz w:val="21"/>
                <w:szCs w:val="21"/>
                <w:lang w:eastAsia="zh-CN" w:bidi="ar"/>
              </w:rPr>
              <w:t>数据规模</w:t>
            </w:r>
          </w:p>
        </w:tc>
        <w:tc>
          <w:tcPr>
            <w:tcW w:w="1567"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33A191B6">
            <w:pPr>
              <w:spacing w:line="240" w:lineRule="auto"/>
              <w:jc w:val="center"/>
              <w:rPr>
                <w:rFonts w:hint="eastAsia" w:cs="宋体"/>
                <w:color w:val="0F1115"/>
                <w:sz w:val="21"/>
                <w:szCs w:val="21"/>
              </w:rPr>
            </w:pPr>
            <w:r>
              <w:rPr>
                <w:rFonts w:hint="eastAsia" w:cs="宋体"/>
                <w:color w:val="0F1115"/>
                <w:sz w:val="21"/>
                <w:szCs w:val="21"/>
                <w:lang w:eastAsia="zh-CN" w:bidi="ar"/>
              </w:rPr>
              <w:t>WinogroundGS</w:t>
            </w:r>
          </w:p>
        </w:tc>
        <w:tc>
          <w:tcPr>
            <w:tcW w:w="122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585FD366">
            <w:pPr>
              <w:spacing w:line="240" w:lineRule="auto"/>
              <w:jc w:val="center"/>
              <w:rPr>
                <w:rFonts w:hint="eastAsia" w:cs="宋体"/>
                <w:color w:val="0F1115"/>
                <w:sz w:val="21"/>
                <w:szCs w:val="21"/>
              </w:rPr>
            </w:pPr>
            <w:r>
              <w:rPr>
                <w:rFonts w:hint="eastAsia" w:cs="宋体"/>
                <w:color w:val="0F1115"/>
                <w:sz w:val="21"/>
                <w:szCs w:val="21"/>
                <w:lang w:eastAsia="zh-CN" w:bidi="ar"/>
              </w:rPr>
              <w:t>MMVPAcc</w:t>
            </w:r>
          </w:p>
        </w:tc>
      </w:tr>
      <w:tr w14:paraId="419A786F">
        <w:tblPrEx>
          <w:shd w:val="clear" w:color="auto" w:fill="FFFFFF"/>
          <w:tblCellMar>
            <w:top w:w="15" w:type="dxa"/>
            <w:left w:w="15" w:type="dxa"/>
            <w:bottom w:w="15" w:type="dxa"/>
            <w:right w:w="15" w:type="dxa"/>
          </w:tblCellMar>
        </w:tblPrEx>
        <w:tc>
          <w:tcPr>
            <w:tcW w:w="1397"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32CFECD6">
            <w:pPr>
              <w:spacing w:line="240" w:lineRule="auto"/>
              <w:jc w:val="center"/>
              <w:rPr>
                <w:rFonts w:hint="eastAsia" w:cs="宋体"/>
                <w:color w:val="0F1115"/>
                <w:sz w:val="21"/>
                <w:szCs w:val="21"/>
              </w:rPr>
            </w:pPr>
            <w:r>
              <w:rPr>
                <w:rFonts w:hint="eastAsia" w:cs="宋体"/>
                <w:color w:val="0F1115"/>
                <w:sz w:val="21"/>
                <w:szCs w:val="21"/>
                <w:lang w:eastAsia="zh-CN" w:bidi="ar"/>
              </w:rPr>
              <w:t>CLIP-B</w:t>
            </w:r>
            <w:commentRangeStart w:id="13"/>
            <w:r>
              <w:rPr>
                <w:rFonts w:hint="eastAsia" w:cs="宋体"/>
                <w:color w:val="0F1115"/>
                <w:sz w:val="21"/>
                <w:szCs w:val="21"/>
                <w:lang w:eastAsia="zh-CN" w:bidi="ar"/>
              </w:rPr>
              <w:t>16</w:t>
            </w:r>
            <w:commentRangeEnd w:id="13"/>
            <w:r>
              <w:rPr>
                <w:rStyle w:val="140"/>
                <w:rFonts w:hint="eastAsia" w:cs="宋体"/>
                <w:color w:val="0F1115"/>
              </w:rPr>
              <w:commentReference w:id="13"/>
            </w:r>
          </w:p>
        </w:tc>
        <w:tc>
          <w:tcPr>
            <w:tcW w:w="120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6DBD95E5">
            <w:pPr>
              <w:spacing w:line="240" w:lineRule="auto"/>
              <w:jc w:val="center"/>
              <w:rPr>
                <w:rFonts w:hint="eastAsia" w:cs="宋体"/>
                <w:color w:val="0F1115"/>
                <w:sz w:val="21"/>
                <w:szCs w:val="21"/>
              </w:rPr>
            </w:pPr>
            <w:r>
              <w:rPr>
                <w:rFonts w:hint="eastAsia" w:cs="宋体"/>
                <w:color w:val="0F1115"/>
                <w:sz w:val="21"/>
                <w:szCs w:val="21"/>
                <w:lang w:eastAsia="zh-CN" w:bidi="ar"/>
              </w:rPr>
              <w:t>视觉语言预训练</w:t>
            </w:r>
          </w:p>
        </w:tc>
        <w:tc>
          <w:tcPr>
            <w:tcW w:w="1573"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1D2C6F53">
            <w:pPr>
              <w:spacing w:line="240" w:lineRule="auto"/>
              <w:jc w:val="center"/>
              <w:rPr>
                <w:rFonts w:hint="eastAsia" w:cs="宋体"/>
                <w:color w:val="0F1115"/>
                <w:sz w:val="21"/>
                <w:szCs w:val="21"/>
              </w:rPr>
            </w:pPr>
            <w:r>
              <w:rPr>
                <w:rFonts w:hint="eastAsia" w:cs="宋体"/>
                <w:color w:val="0F1115"/>
                <w:sz w:val="21"/>
                <w:szCs w:val="21"/>
                <w:lang w:eastAsia="zh-CN" w:bidi="ar"/>
              </w:rPr>
              <w:t>预训练</w:t>
            </w:r>
          </w:p>
        </w:tc>
        <w:tc>
          <w:tcPr>
            <w:tcW w:w="168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4CB783D1">
            <w:pPr>
              <w:spacing w:line="240" w:lineRule="auto"/>
              <w:jc w:val="center"/>
              <w:rPr>
                <w:rFonts w:hint="eastAsia" w:cs="宋体"/>
                <w:color w:val="0F1115"/>
                <w:sz w:val="21"/>
                <w:szCs w:val="21"/>
              </w:rPr>
            </w:pPr>
            <w:r>
              <w:rPr>
                <w:rFonts w:hint="eastAsia" w:cs="宋体"/>
                <w:color w:val="0F1115"/>
                <w:sz w:val="21"/>
                <w:szCs w:val="21"/>
                <w:lang w:eastAsia="zh-CN" w:bidi="ar"/>
              </w:rPr>
              <w:t>4亿图文对</w:t>
            </w:r>
          </w:p>
        </w:tc>
        <w:tc>
          <w:tcPr>
            <w:tcW w:w="1567"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3748B966">
            <w:pPr>
              <w:spacing w:line="240" w:lineRule="auto"/>
              <w:jc w:val="center"/>
              <w:rPr>
                <w:rFonts w:hint="eastAsia" w:cs="宋体"/>
                <w:color w:val="0F1115"/>
                <w:sz w:val="21"/>
                <w:szCs w:val="21"/>
              </w:rPr>
            </w:pPr>
            <w:r>
              <w:rPr>
                <w:rFonts w:hint="eastAsia" w:cs="宋体"/>
                <w:color w:val="0F1115"/>
                <w:sz w:val="21"/>
                <w:szCs w:val="21"/>
                <w:lang w:eastAsia="zh-CN" w:bidi="ar"/>
              </w:rPr>
              <w:t>7.25</w:t>
            </w:r>
          </w:p>
        </w:tc>
        <w:tc>
          <w:tcPr>
            <w:tcW w:w="122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7BFD5B0A">
            <w:pPr>
              <w:spacing w:line="240" w:lineRule="auto"/>
              <w:jc w:val="center"/>
              <w:rPr>
                <w:rFonts w:hint="eastAsia" w:cs="宋体"/>
                <w:color w:val="0F1115"/>
                <w:sz w:val="21"/>
                <w:szCs w:val="21"/>
              </w:rPr>
            </w:pPr>
            <w:r>
              <w:rPr>
                <w:rFonts w:hint="eastAsia" w:cs="宋体"/>
                <w:color w:val="0F1115"/>
                <w:sz w:val="21"/>
                <w:szCs w:val="21"/>
                <w:lang w:eastAsia="zh-CN" w:bidi="ar"/>
              </w:rPr>
              <w:t>5.19</w:t>
            </w:r>
          </w:p>
        </w:tc>
      </w:tr>
      <w:tr w14:paraId="7365D6E5">
        <w:tblPrEx>
          <w:shd w:val="clear" w:color="auto" w:fill="FFFFFF"/>
          <w:tblCellMar>
            <w:top w:w="15" w:type="dxa"/>
            <w:left w:w="15" w:type="dxa"/>
            <w:bottom w:w="15" w:type="dxa"/>
            <w:right w:w="15" w:type="dxa"/>
          </w:tblCellMar>
        </w:tblPrEx>
        <w:tc>
          <w:tcPr>
            <w:tcW w:w="1397"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5E0B0015">
            <w:pPr>
              <w:spacing w:line="240" w:lineRule="auto"/>
              <w:jc w:val="center"/>
              <w:rPr>
                <w:rFonts w:hint="eastAsia" w:cs="宋体"/>
                <w:color w:val="0F1115"/>
                <w:sz w:val="21"/>
                <w:szCs w:val="21"/>
              </w:rPr>
            </w:pPr>
            <w:r>
              <w:rPr>
                <w:rFonts w:hint="eastAsia" w:cs="宋体"/>
                <w:color w:val="0F1115"/>
                <w:sz w:val="21"/>
                <w:szCs w:val="21"/>
                <w:lang w:eastAsia="zh-CN" w:bidi="ar"/>
              </w:rPr>
              <w:t>Qwen2.5-VL-7B</w:t>
            </w:r>
          </w:p>
        </w:tc>
        <w:tc>
          <w:tcPr>
            <w:tcW w:w="120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670F0396">
            <w:pPr>
              <w:spacing w:line="240" w:lineRule="auto"/>
              <w:jc w:val="center"/>
              <w:rPr>
                <w:rFonts w:hint="eastAsia" w:cs="宋体"/>
                <w:color w:val="0F1115"/>
                <w:sz w:val="21"/>
                <w:szCs w:val="21"/>
              </w:rPr>
            </w:pPr>
            <w:r>
              <w:rPr>
                <w:rFonts w:hint="eastAsia" w:cs="宋体"/>
                <w:color w:val="0F1115"/>
                <w:sz w:val="21"/>
                <w:szCs w:val="21"/>
                <w:lang w:eastAsia="zh-CN" w:bidi="ar"/>
              </w:rPr>
              <w:t>MLLM</w:t>
            </w:r>
          </w:p>
        </w:tc>
        <w:tc>
          <w:tcPr>
            <w:tcW w:w="1573"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46098927">
            <w:pPr>
              <w:spacing w:line="240" w:lineRule="auto"/>
              <w:jc w:val="center"/>
              <w:rPr>
                <w:rFonts w:hint="eastAsia" w:cs="宋体"/>
                <w:color w:val="0F1115"/>
                <w:sz w:val="21"/>
                <w:szCs w:val="21"/>
              </w:rPr>
            </w:pPr>
            <w:r>
              <w:rPr>
                <w:rFonts w:hint="eastAsia" w:cs="宋体"/>
                <w:color w:val="0F1115"/>
                <w:sz w:val="21"/>
                <w:szCs w:val="21"/>
                <w:lang w:eastAsia="zh-CN" w:bidi="ar"/>
              </w:rPr>
              <w:t>SFT (Instruct)</w:t>
            </w:r>
          </w:p>
        </w:tc>
        <w:tc>
          <w:tcPr>
            <w:tcW w:w="168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76DF7A13">
            <w:pPr>
              <w:spacing w:line="240" w:lineRule="auto"/>
              <w:jc w:val="center"/>
              <w:rPr>
                <w:rFonts w:hint="eastAsia" w:cs="宋体"/>
                <w:color w:val="0F1115"/>
                <w:sz w:val="21"/>
                <w:szCs w:val="21"/>
              </w:rPr>
            </w:pPr>
            <w:r>
              <w:rPr>
                <w:rFonts w:hint="eastAsia" w:cs="宋体"/>
                <w:color w:val="0F1115"/>
                <w:sz w:val="21"/>
                <w:szCs w:val="21"/>
                <w:lang w:eastAsia="zh-CN" w:bidi="ar"/>
              </w:rPr>
              <w:t>—</w:t>
            </w:r>
          </w:p>
        </w:tc>
        <w:tc>
          <w:tcPr>
            <w:tcW w:w="1567"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765B3418">
            <w:pPr>
              <w:spacing w:line="240" w:lineRule="auto"/>
              <w:jc w:val="center"/>
              <w:rPr>
                <w:rFonts w:hint="eastAsia" w:cs="宋体"/>
                <w:color w:val="0F1115"/>
                <w:sz w:val="21"/>
                <w:szCs w:val="21"/>
              </w:rPr>
            </w:pPr>
            <w:r>
              <w:rPr>
                <w:rFonts w:hint="eastAsia" w:cs="宋体"/>
                <w:color w:val="0F1115"/>
                <w:sz w:val="21"/>
                <w:szCs w:val="21"/>
                <w:lang w:eastAsia="zh-CN" w:bidi="ar"/>
              </w:rPr>
              <w:t>28.1</w:t>
            </w:r>
          </w:p>
        </w:tc>
        <w:tc>
          <w:tcPr>
            <w:tcW w:w="122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23EA6D0A">
            <w:pPr>
              <w:spacing w:line="240" w:lineRule="auto"/>
              <w:jc w:val="center"/>
              <w:rPr>
                <w:rFonts w:hint="eastAsia" w:cs="宋体"/>
                <w:color w:val="0F1115"/>
                <w:sz w:val="21"/>
                <w:szCs w:val="21"/>
              </w:rPr>
            </w:pPr>
            <w:r>
              <w:rPr>
                <w:rFonts w:hint="eastAsia" w:cs="宋体"/>
                <w:color w:val="0F1115"/>
                <w:sz w:val="21"/>
                <w:szCs w:val="21"/>
                <w:lang w:eastAsia="zh-CN" w:bidi="ar"/>
              </w:rPr>
              <w:t>20.0</w:t>
            </w:r>
          </w:p>
        </w:tc>
      </w:tr>
      <w:tr w14:paraId="157CFADA">
        <w:tblPrEx>
          <w:shd w:val="clear" w:color="auto" w:fill="FFFFFF"/>
          <w:tblCellMar>
            <w:top w:w="15" w:type="dxa"/>
            <w:left w:w="15" w:type="dxa"/>
            <w:bottom w:w="15" w:type="dxa"/>
            <w:right w:w="15" w:type="dxa"/>
          </w:tblCellMar>
        </w:tblPrEx>
        <w:tc>
          <w:tcPr>
            <w:tcW w:w="1397"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24F20D39">
            <w:pPr>
              <w:spacing w:line="240" w:lineRule="auto"/>
              <w:jc w:val="center"/>
              <w:rPr>
                <w:rFonts w:hint="eastAsia" w:cs="宋体"/>
                <w:color w:val="0F1115"/>
                <w:sz w:val="21"/>
                <w:szCs w:val="21"/>
              </w:rPr>
            </w:pPr>
            <w:r>
              <w:rPr>
                <w:rFonts w:hint="eastAsia" w:cs="宋体"/>
                <w:color w:val="0F1115"/>
                <w:sz w:val="21"/>
                <w:szCs w:val="21"/>
                <w:lang w:eastAsia="zh-CN" w:bidi="ar"/>
              </w:rPr>
              <w:t>Qwen2.5-VL-7B + CR³</w:t>
            </w:r>
          </w:p>
        </w:tc>
        <w:tc>
          <w:tcPr>
            <w:tcW w:w="120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74F20B43">
            <w:pPr>
              <w:spacing w:line="240" w:lineRule="auto"/>
              <w:jc w:val="center"/>
              <w:rPr>
                <w:rFonts w:hint="eastAsia" w:cs="宋体"/>
                <w:color w:val="0F1115"/>
                <w:sz w:val="21"/>
                <w:szCs w:val="21"/>
              </w:rPr>
            </w:pPr>
            <w:r>
              <w:rPr>
                <w:rFonts w:hint="eastAsia" w:cs="宋体"/>
                <w:color w:val="0F1115"/>
                <w:sz w:val="21"/>
                <w:szCs w:val="21"/>
                <w:lang w:eastAsia="zh-CN" w:bidi="ar"/>
              </w:rPr>
              <w:t>MLLM + RL</w:t>
            </w:r>
          </w:p>
        </w:tc>
        <w:tc>
          <w:tcPr>
            <w:tcW w:w="1573"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04A6F517">
            <w:pPr>
              <w:spacing w:line="240" w:lineRule="auto"/>
              <w:jc w:val="center"/>
              <w:rPr>
                <w:rFonts w:hint="eastAsia" w:cs="宋体"/>
                <w:color w:val="0F1115"/>
                <w:sz w:val="21"/>
                <w:szCs w:val="21"/>
              </w:rPr>
            </w:pPr>
            <w:r>
              <w:rPr>
                <w:rFonts w:hint="eastAsia" w:cs="宋体"/>
                <w:color w:val="0F1115"/>
                <w:sz w:val="21"/>
                <w:szCs w:val="21"/>
                <w:lang w:eastAsia="zh-CN" w:bidi="ar"/>
              </w:rPr>
              <w:t>GRPO (规则奖励)</w:t>
            </w:r>
          </w:p>
        </w:tc>
        <w:tc>
          <w:tcPr>
            <w:tcW w:w="168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14152EA0">
            <w:pPr>
              <w:spacing w:line="240" w:lineRule="auto"/>
              <w:jc w:val="center"/>
              <w:rPr>
                <w:rFonts w:hint="eastAsia" w:cs="宋体"/>
                <w:color w:val="0F1115"/>
                <w:sz w:val="21"/>
                <w:szCs w:val="21"/>
              </w:rPr>
            </w:pPr>
            <w:r>
              <w:rPr>
                <w:rFonts w:hint="eastAsia" w:cs="宋体"/>
                <w:color w:val="0F1115"/>
                <w:sz w:val="21"/>
                <w:szCs w:val="21"/>
                <w:lang w:eastAsia="zh-CN" w:bidi="ar"/>
              </w:rPr>
              <w:t>1.89万 (训练样本)</w:t>
            </w:r>
          </w:p>
        </w:tc>
        <w:tc>
          <w:tcPr>
            <w:tcW w:w="1567"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0BAA7D9B">
            <w:pPr>
              <w:spacing w:line="240" w:lineRule="auto"/>
              <w:jc w:val="center"/>
              <w:rPr>
                <w:rFonts w:hint="eastAsia" w:cs="宋体"/>
                <w:color w:val="0F1115"/>
                <w:sz w:val="21"/>
                <w:szCs w:val="21"/>
              </w:rPr>
            </w:pPr>
            <w:r>
              <w:rPr>
                <w:rFonts w:hint="eastAsia" w:cs="宋体"/>
                <w:color w:val="0F1115"/>
                <w:sz w:val="21"/>
                <w:szCs w:val="21"/>
                <w:lang w:eastAsia="zh-CN" w:bidi="ar"/>
              </w:rPr>
              <w:t>35.7</w:t>
            </w:r>
          </w:p>
        </w:tc>
        <w:tc>
          <w:tcPr>
            <w:tcW w:w="122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26A14FBE">
            <w:pPr>
              <w:spacing w:line="240" w:lineRule="auto"/>
              <w:jc w:val="center"/>
              <w:rPr>
                <w:rFonts w:hint="eastAsia" w:cs="宋体"/>
                <w:color w:val="0F1115"/>
                <w:sz w:val="21"/>
                <w:szCs w:val="21"/>
              </w:rPr>
            </w:pPr>
            <w:r>
              <w:rPr>
                <w:rFonts w:hint="eastAsia" w:cs="宋体"/>
                <w:color w:val="0F1115"/>
                <w:sz w:val="21"/>
                <w:szCs w:val="21"/>
                <w:lang w:eastAsia="zh-CN" w:bidi="ar"/>
              </w:rPr>
              <w:t>51.3</w:t>
            </w:r>
          </w:p>
        </w:tc>
      </w:tr>
      <w:tr w14:paraId="78C23E93">
        <w:tblPrEx>
          <w:shd w:val="clear" w:color="auto" w:fill="FFFFFF"/>
          <w:tblCellMar>
            <w:top w:w="15" w:type="dxa"/>
            <w:left w:w="15" w:type="dxa"/>
            <w:bottom w:w="15" w:type="dxa"/>
            <w:right w:w="15" w:type="dxa"/>
          </w:tblCellMar>
        </w:tblPrEx>
        <w:tc>
          <w:tcPr>
            <w:tcW w:w="1397" w:type="dxa"/>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76B033F7">
            <w:pPr>
              <w:spacing w:line="240" w:lineRule="auto"/>
              <w:jc w:val="center"/>
              <w:rPr>
                <w:rFonts w:hint="eastAsia" w:cs="宋体"/>
                <w:color w:val="0F1115"/>
                <w:sz w:val="21"/>
                <w:szCs w:val="21"/>
              </w:rPr>
            </w:pPr>
            <w:r>
              <w:rPr>
                <w:rFonts w:hint="eastAsia" w:cs="宋体"/>
                <w:color w:val="0F1115"/>
                <w:sz w:val="21"/>
                <w:szCs w:val="21"/>
                <w:lang w:eastAsia="zh-CN" w:bidi="ar"/>
              </w:rPr>
              <w:t>GPT-4.1</w:t>
            </w:r>
          </w:p>
        </w:tc>
        <w:tc>
          <w:tcPr>
            <w:tcW w:w="120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60C68277">
            <w:pPr>
              <w:spacing w:line="240" w:lineRule="auto"/>
              <w:jc w:val="center"/>
              <w:rPr>
                <w:rFonts w:hint="eastAsia" w:cs="宋体"/>
                <w:color w:val="0F1115"/>
                <w:sz w:val="21"/>
                <w:szCs w:val="21"/>
              </w:rPr>
            </w:pPr>
            <w:r>
              <w:rPr>
                <w:rFonts w:hint="eastAsia" w:cs="宋体"/>
                <w:color w:val="0F1115"/>
                <w:sz w:val="21"/>
                <w:szCs w:val="21"/>
                <w:lang w:eastAsia="zh-CN" w:bidi="ar"/>
              </w:rPr>
              <w:t>闭源MLLM</w:t>
            </w:r>
          </w:p>
        </w:tc>
        <w:tc>
          <w:tcPr>
            <w:tcW w:w="1573"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3A87F343">
            <w:pPr>
              <w:spacing w:line="240" w:lineRule="auto"/>
              <w:jc w:val="center"/>
              <w:rPr>
                <w:rFonts w:hint="eastAsia" w:cs="宋体"/>
                <w:color w:val="0F1115"/>
                <w:sz w:val="21"/>
                <w:szCs w:val="21"/>
              </w:rPr>
            </w:pPr>
            <w:r>
              <w:rPr>
                <w:rFonts w:hint="eastAsia" w:cs="宋体"/>
                <w:color w:val="0F1115"/>
                <w:sz w:val="21"/>
                <w:szCs w:val="21"/>
                <w:lang w:eastAsia="zh-CN" w:bidi="ar"/>
              </w:rPr>
              <w:t>—</w:t>
            </w:r>
          </w:p>
        </w:tc>
        <w:tc>
          <w:tcPr>
            <w:tcW w:w="1686"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0C8C17A0">
            <w:pPr>
              <w:spacing w:line="240" w:lineRule="auto"/>
              <w:jc w:val="center"/>
              <w:rPr>
                <w:rFonts w:hint="eastAsia" w:cs="宋体"/>
                <w:color w:val="0F1115"/>
                <w:sz w:val="21"/>
                <w:szCs w:val="21"/>
              </w:rPr>
            </w:pPr>
            <w:r>
              <w:rPr>
                <w:rFonts w:hint="eastAsia" w:cs="宋体"/>
                <w:color w:val="0F1115"/>
                <w:sz w:val="21"/>
                <w:szCs w:val="21"/>
                <w:lang w:eastAsia="zh-CN" w:bidi="ar"/>
              </w:rPr>
              <w:t>—</w:t>
            </w:r>
          </w:p>
        </w:tc>
        <w:tc>
          <w:tcPr>
            <w:tcW w:w="1567"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75731722">
            <w:pPr>
              <w:spacing w:line="240" w:lineRule="auto"/>
              <w:jc w:val="center"/>
              <w:rPr>
                <w:rFonts w:hint="eastAsia" w:cs="宋体"/>
                <w:color w:val="0F1115"/>
                <w:sz w:val="21"/>
                <w:szCs w:val="21"/>
              </w:rPr>
            </w:pPr>
            <w:r>
              <w:rPr>
                <w:rFonts w:hint="eastAsia" w:cs="宋体"/>
                <w:color w:val="0F1115"/>
                <w:sz w:val="21"/>
                <w:szCs w:val="21"/>
                <w:lang w:eastAsia="zh-CN" w:bidi="ar"/>
              </w:rPr>
              <w:t>69.75</w:t>
            </w:r>
          </w:p>
        </w:tc>
        <w:tc>
          <w:tcPr>
            <w:tcW w:w="1221" w:type="dxa"/>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5B4B7487">
            <w:pPr>
              <w:spacing w:line="240" w:lineRule="auto"/>
              <w:jc w:val="center"/>
              <w:rPr>
                <w:rFonts w:hint="eastAsia" w:cs="宋体"/>
                <w:color w:val="0F1115"/>
                <w:sz w:val="21"/>
                <w:szCs w:val="21"/>
              </w:rPr>
            </w:pPr>
            <w:r>
              <w:rPr>
                <w:rFonts w:hint="eastAsia" w:cs="宋体"/>
                <w:color w:val="0F1115"/>
                <w:sz w:val="21"/>
                <w:szCs w:val="21"/>
                <w:lang w:eastAsia="zh-CN" w:bidi="ar"/>
              </w:rPr>
              <w:t>68.15</w:t>
            </w:r>
          </w:p>
        </w:tc>
      </w:tr>
    </w:tbl>
    <w:p w14:paraId="4EE77DF2">
      <w:pPr>
        <w:spacing w:after="0"/>
        <w:ind w:firstLine="482"/>
        <w:jc w:val="both"/>
        <w:rPr>
          <w:rFonts w:hint="eastAsia"/>
          <w:lang w:eastAsia="zh-CN"/>
        </w:rPr>
      </w:pPr>
      <w:r>
        <w:rPr>
          <w:rFonts w:cs="宋体"/>
          <w:sz w:val="21"/>
          <w:szCs w:val="21"/>
          <w:lang w:eastAsia="zh-CN"/>
        </w:rPr>
        <w:t>注：由于不同研究采用的视觉编码器、语言模型规模、训练数据以及评价协议存在差异，表中结果不代表严格意义上的横向排名，而主要用于分析不同方法相对于自身基线的提升趋势。</w:t>
      </w:r>
    </w:p>
    <w:p w14:paraId="21D78029">
      <w:pPr>
        <w:ind w:firstLine="480"/>
        <w:jc w:val="both"/>
        <w:rPr>
          <w:rFonts w:hint="eastAsia"/>
          <w:lang w:eastAsia="zh-CN"/>
        </w:rPr>
      </w:pPr>
      <w:r>
        <w:rPr>
          <w:lang w:eastAsia="zh-CN"/>
        </w:rPr>
        <w:t>从对比可以看出：CR³等规则奖励RL方法在数据效率上具有显著优势，仅用1.89万样本即超越SFT基线，在Winoground和SugarCrepe上分别提升约</w:t>
      </w:r>
      <w:commentRangeStart w:id="14"/>
      <w:r>
        <w:rPr>
          <w:lang w:eastAsia="zh-CN"/>
        </w:rPr>
        <w:t>5—6个和7—8个百分点</w:t>
      </w:r>
      <w:commentRangeEnd w:id="14"/>
      <w:r>
        <w:rPr>
          <w:rStyle w:val="140"/>
          <w:sz w:val="24"/>
          <w:szCs w:val="22"/>
          <w:lang w:eastAsia="zh-CN"/>
        </w:rPr>
        <w:commentReference w:id="14"/>
      </w:r>
      <w:r>
        <w:rPr>
          <w:lang w:eastAsia="zh-CN"/>
        </w:rPr>
        <w:t>，验证了规则奖励RL在闭合式组合推理任务中的高性价比。GPT-4V等闭源大模型在绝对性能上仍居前列，但开源方案通过针对性RL增强正在缩小差距。</w:t>
      </w:r>
    </w:p>
    <w:p w14:paraId="635C772A">
      <w:pPr>
        <w:pStyle w:val="3"/>
        <w:jc w:val="both"/>
        <w:rPr>
          <w:lang w:eastAsia="zh-CN"/>
        </w:rPr>
      </w:pPr>
      <w:r>
        <w:rPr>
          <w:rFonts w:ascii="黑体" w:hAnsi="黑体" w:eastAsia="黑体"/>
          <w:color w:val="000000"/>
          <w:lang w:eastAsia="zh-CN"/>
        </w:rPr>
        <w:t>五、现存问题与讨论分析</w:t>
      </w:r>
    </w:p>
    <w:p w14:paraId="6D547107">
      <w:pPr>
        <w:pStyle w:val="4"/>
        <w:jc w:val="both"/>
        <w:rPr>
          <w:lang w:eastAsia="zh-CN"/>
        </w:rPr>
      </w:pPr>
      <w:r>
        <w:rPr>
          <w:rFonts w:ascii="黑体" w:hAnsi="黑体" w:eastAsia="黑体"/>
          <w:color w:val="000000"/>
          <w:lang w:eastAsia="zh-CN"/>
        </w:rPr>
        <w:t>5.1 方法层面的问题</w:t>
      </w:r>
    </w:p>
    <w:p w14:paraId="5B811386">
      <w:pPr>
        <w:ind w:firstLine="480"/>
        <w:jc w:val="both"/>
        <w:rPr>
          <w:rFonts w:hint="eastAsia"/>
          <w:lang w:eastAsia="zh-CN"/>
        </w:rPr>
      </w:pPr>
      <w:r>
        <w:rPr>
          <w:lang w:eastAsia="zh-CN"/>
        </w:rPr>
        <w:t>当前RL方法存在三方面不足。第一，规则奖励RL只考核最终答案，不约束推理过程，存在</w:t>
      </w:r>
      <w:r>
        <w:rPr>
          <w:rFonts w:hint="eastAsia"/>
          <w:lang w:eastAsia="zh-CN"/>
        </w:rPr>
        <w:t>“</w:t>
      </w:r>
      <w:r>
        <w:rPr>
          <w:lang w:eastAsia="zh-CN"/>
        </w:rPr>
        <w:t>结果蒙对、逻辑错误</w:t>
      </w:r>
      <w:r>
        <w:rPr>
          <w:rFonts w:hint="eastAsia"/>
          <w:lang w:eastAsia="zh-CN"/>
        </w:rPr>
        <w:t>”</w:t>
      </w:r>
      <w:r>
        <w:rPr>
          <w:lang w:eastAsia="zh-CN"/>
        </w:rPr>
        <w:t>的风险。第二，所有后训练RL方案本质属于</w:t>
      </w:r>
      <w:r>
        <w:rPr>
          <w:rFonts w:hint="eastAsia"/>
          <w:lang w:eastAsia="zh-CN"/>
        </w:rPr>
        <w:t>“</w:t>
      </w:r>
      <w:r>
        <w:rPr>
          <w:lang w:eastAsia="zh-CN"/>
        </w:rPr>
        <w:t>行为矫正</w:t>
      </w:r>
      <w:r>
        <w:rPr>
          <w:rFonts w:hint="eastAsia"/>
          <w:lang w:eastAsia="zh-CN"/>
        </w:rPr>
        <w:t>”</w:t>
      </w:r>
      <w:r>
        <w:rPr>
          <w:lang w:eastAsia="zh-CN"/>
        </w:rPr>
        <w:t>，未改变CLIP视觉编码器的全局特征压缩问题，当任务涉及底层视觉感知缺陷时，RL增益会触及天花板。第三，RL训练对奖励信号质量高度敏感，噪声奖励会导致策略收敛不稳定。</w:t>
      </w:r>
    </w:p>
    <w:p w14:paraId="01D6F0CC">
      <w:pPr>
        <w:pStyle w:val="4"/>
        <w:jc w:val="both"/>
        <w:rPr>
          <w:lang w:eastAsia="zh-CN"/>
        </w:rPr>
      </w:pPr>
      <w:r>
        <w:rPr>
          <w:rFonts w:ascii="黑体" w:hAnsi="黑体" w:eastAsia="黑体"/>
          <w:color w:val="000000"/>
          <w:lang w:eastAsia="zh-CN"/>
        </w:rPr>
        <w:t>5.2 数据集与评估的问题</w:t>
      </w:r>
    </w:p>
    <w:p w14:paraId="2DE071EA">
      <w:pPr>
        <w:ind w:firstLine="480"/>
        <w:jc w:val="both"/>
        <w:rPr>
          <w:rFonts w:hint="eastAsia"/>
          <w:lang w:eastAsia="zh-CN"/>
        </w:rPr>
      </w:pPr>
      <w:r>
        <w:rPr>
          <w:lang w:eastAsia="zh-CN"/>
        </w:rPr>
        <w:t>数据集方面存在</w:t>
      </w:r>
      <w:r>
        <w:rPr>
          <w:rFonts w:hint="eastAsia"/>
          <w:lang w:eastAsia="zh-CN"/>
        </w:rPr>
        <w:t>“</w:t>
      </w:r>
      <w:r>
        <w:rPr>
          <w:lang w:eastAsia="zh-CN"/>
        </w:rPr>
        <w:t>水题</w:t>
      </w:r>
      <w:r>
        <w:rPr>
          <w:rFonts w:hint="eastAsia"/>
          <w:lang w:eastAsia="zh-CN"/>
        </w:rPr>
        <w:t>”</w:t>
      </w:r>
      <w:r>
        <w:rPr>
          <w:lang w:eastAsia="zh-CN"/>
        </w:rPr>
        <w:t>污染：大量自动生成样本可通过单实体识别答对，不能真实考察组合推理能力</w:t>
      </w:r>
      <w:r>
        <w:rPr>
          <w:rStyle w:val="138"/>
          <w:lang w:eastAsia="zh-CN"/>
        </w:rPr>
        <w:t>[</w:t>
      </w:r>
      <w:r>
        <w:rPr>
          <w:rStyle w:val="138"/>
        </w:rPr>
        <w:endnoteReference w:id="10"/>
      </w:r>
      <w:r>
        <w:rPr>
          <w:rStyle w:val="138"/>
          <w:lang w:eastAsia="zh-CN"/>
        </w:rPr>
        <w:t>]</w:t>
      </w:r>
      <w:r>
        <w:rPr>
          <w:lang w:eastAsia="zh-CN"/>
        </w:rPr>
        <w:t>。组合爆炸导致高质量负样本覆盖不足，现有基准偏向简单组合维度，动作、因果等复杂场景样本稀缺。评估方面，Group Score的严苛性存在争议，TTM指出大量样本的单实体可解性导致该指标严重低估模型真实能力。域外泛化评估尚未标准化，各论文使用的基线不一致，横向比较困难。此外，现有基准以英文为主，中文评估几乎空白。</w:t>
      </w:r>
    </w:p>
    <w:p w14:paraId="167EF382">
      <w:pPr>
        <w:pStyle w:val="4"/>
        <w:jc w:val="both"/>
        <w:rPr>
          <w:lang w:eastAsia="zh-CN"/>
        </w:rPr>
      </w:pPr>
      <w:r>
        <w:rPr>
          <w:rFonts w:ascii="黑体" w:hAnsi="黑体" w:eastAsia="黑体"/>
          <w:color w:val="000000"/>
          <w:lang w:eastAsia="zh-CN"/>
        </w:rPr>
        <w:t>5.3 可能的解决方案</w:t>
      </w:r>
    </w:p>
    <w:p w14:paraId="1F507003">
      <w:pPr>
        <w:pStyle w:val="3"/>
        <w:spacing w:before="0" w:after="80"/>
        <w:ind w:firstLine="480" w:firstLineChars="200"/>
        <w:jc w:val="both"/>
        <w:rPr>
          <w:rFonts w:hint="eastAsia" w:ascii="宋体" w:hAnsi="宋体" w:eastAsia="宋体"/>
          <w:b w:val="0"/>
          <w:bCs w:val="0"/>
          <w:color w:val="000000" w:themeColor="text1"/>
          <w:sz w:val="24"/>
          <w:lang w:eastAsia="zh-CN"/>
          <w14:textFill>
            <w14:solidFill>
              <w14:schemeClr w14:val="tx1"/>
            </w14:solidFill>
          </w14:textFill>
        </w:rPr>
      </w:pPr>
      <w:r>
        <w:rPr>
          <w:rFonts w:hint="eastAsia" w:ascii="宋体" w:hAnsi="宋体" w:eastAsia="宋体"/>
          <w:b w:val="0"/>
          <w:bCs w:val="0"/>
          <w:color w:val="000000" w:themeColor="text1"/>
          <w:sz w:val="24"/>
          <w:lang w:eastAsia="zh-CN"/>
          <w14:textFill>
            <w14:solidFill>
              <w14:schemeClr w14:val="tx1"/>
            </w14:solidFill>
          </w14:textFill>
        </w:rPr>
        <w:t>面向未来，多模态大模型组合推理的强化学习增强仍需从奖励设计、模型结构、数据构建以及评估体系四个方面进一步发展。</w:t>
      </w:r>
    </w:p>
    <w:p w14:paraId="6BE5D5E4">
      <w:pPr>
        <w:pStyle w:val="3"/>
        <w:spacing w:before="0" w:after="80"/>
        <w:ind w:firstLine="480" w:firstLineChars="200"/>
        <w:jc w:val="both"/>
        <w:rPr>
          <w:rFonts w:hint="eastAsia" w:ascii="宋体" w:hAnsi="宋体" w:eastAsia="宋体"/>
          <w:b w:val="0"/>
          <w:bCs w:val="0"/>
          <w:color w:val="000000" w:themeColor="text1"/>
          <w:sz w:val="24"/>
          <w:lang w:eastAsia="zh-CN"/>
          <w14:textFill>
            <w14:solidFill>
              <w14:schemeClr w14:val="tx1"/>
            </w14:solidFill>
          </w14:textFill>
        </w:rPr>
      </w:pPr>
      <w:r>
        <w:rPr>
          <w:rFonts w:hint="eastAsia" w:ascii="宋体" w:hAnsi="宋体" w:eastAsia="宋体"/>
          <w:b w:val="0"/>
          <w:bCs w:val="0"/>
          <w:color w:val="000000" w:themeColor="text1"/>
          <w:sz w:val="24"/>
          <w:lang w:eastAsia="zh-CN"/>
          <w14:textFill>
            <w14:solidFill>
              <w14:schemeClr w14:val="tx1"/>
            </w14:solidFill>
          </w14:textFill>
        </w:rPr>
        <w:t>首先，在奖励机制方面，未来研究需要从单一结果奖励向多层次奖励体系演进。当前规则奖励RL主要关注最终答案正确性，虽然训练稳定且成本较低，但容易产生奖励投机问题，即模型可能通过利用数据规律获得正确结果，而未真正学习有效推理过程。因此，可以探索融合答案奖励、过程奖励以及视觉关系一致性奖励的分层奖励机制，使模型同时具备结果可靠性和推理可解释性。</w:t>
      </w:r>
    </w:p>
    <w:p w14:paraId="6B4B6B82">
      <w:pPr>
        <w:pStyle w:val="3"/>
        <w:spacing w:before="0" w:after="80"/>
        <w:ind w:firstLine="480" w:firstLineChars="200"/>
        <w:jc w:val="both"/>
        <w:rPr>
          <w:rFonts w:hint="eastAsia" w:ascii="宋体" w:hAnsi="宋体" w:eastAsia="宋体"/>
          <w:b w:val="0"/>
          <w:bCs w:val="0"/>
          <w:color w:val="000000" w:themeColor="text1"/>
          <w:sz w:val="24"/>
          <w:lang w:eastAsia="zh-CN"/>
          <w14:textFill>
            <w14:solidFill>
              <w14:schemeClr w14:val="tx1"/>
            </w14:solidFill>
          </w14:textFill>
        </w:rPr>
      </w:pPr>
      <w:r>
        <w:rPr>
          <w:rFonts w:hint="eastAsia" w:ascii="宋体" w:hAnsi="宋体" w:eastAsia="宋体"/>
          <w:b w:val="0"/>
          <w:bCs w:val="0"/>
          <w:color w:val="000000" w:themeColor="text1"/>
          <w:sz w:val="24"/>
          <w:lang w:eastAsia="zh-CN"/>
          <w14:textFill>
            <w14:solidFill>
              <w14:schemeClr w14:val="tx1"/>
            </w14:solidFill>
          </w14:textFill>
        </w:rPr>
        <w:t>其次，在模型能力提升方面，强化学习需要与视觉表示增强方法结合。现有RL方法主要作用于模型行为优化，本质上属于后训练阶段，并未直接解决视觉编码器对空间结构和细粒度关系建模不足的问题。因此，未来可能需要探索视觉编码器、跨模态投影层与RL训练的联合优化，使模型不仅“学会如何推理”，还能够获得更适合组合推理的视觉表征。</w:t>
      </w:r>
    </w:p>
    <w:p w14:paraId="476858C8">
      <w:pPr>
        <w:pStyle w:val="3"/>
        <w:spacing w:before="0" w:after="80"/>
        <w:ind w:firstLine="480" w:firstLineChars="200"/>
        <w:jc w:val="both"/>
        <w:rPr>
          <w:rFonts w:hint="eastAsia" w:ascii="宋体" w:hAnsi="宋体" w:eastAsia="宋体"/>
          <w:b w:val="0"/>
          <w:bCs w:val="0"/>
          <w:color w:val="000000" w:themeColor="text1"/>
          <w:sz w:val="24"/>
          <w:lang w:eastAsia="zh-CN"/>
          <w14:textFill>
            <w14:solidFill>
              <w14:schemeClr w14:val="tx1"/>
            </w14:solidFill>
          </w14:textFill>
        </w:rPr>
      </w:pPr>
      <w:r>
        <w:rPr>
          <w:rFonts w:hint="eastAsia" w:ascii="宋体" w:hAnsi="宋体" w:eastAsia="宋体"/>
          <w:b w:val="0"/>
          <w:bCs w:val="0"/>
          <w:color w:val="000000" w:themeColor="text1"/>
          <w:sz w:val="24"/>
          <w:lang w:eastAsia="zh-CN"/>
          <w14:textFill>
            <w14:solidFill>
              <w14:schemeClr w14:val="tx1"/>
            </w14:solidFill>
          </w14:textFill>
        </w:rPr>
        <w:t>再次，在数据方面，需要构建更加高质量的组合推理训练环境。当前大量基准数据仍存在单实体识别即可完成任务的问题，导致模型可能依赖语言先验而非真正理解视觉关系。未来可利用大语言模型自动生成对抗性组合样本，并结合人工筛选建立覆盖属性、空间、动作和因果关系的高难度数据集。</w:t>
      </w:r>
    </w:p>
    <w:p w14:paraId="0922C28E">
      <w:pPr>
        <w:pStyle w:val="3"/>
        <w:spacing w:before="0" w:after="80"/>
        <w:ind w:firstLine="480" w:firstLineChars="200"/>
        <w:jc w:val="both"/>
        <w:rPr>
          <w:rFonts w:hint="eastAsia" w:ascii="宋体" w:hAnsi="宋体" w:eastAsia="宋体"/>
          <w:b w:val="0"/>
          <w:bCs w:val="0"/>
          <w:color w:val="000000" w:themeColor="text1"/>
          <w:sz w:val="24"/>
          <w:lang w:eastAsia="zh-CN"/>
          <w14:textFill>
            <w14:solidFill>
              <w14:schemeClr w14:val="tx1"/>
            </w14:solidFill>
          </w14:textFill>
        </w:rPr>
      </w:pPr>
      <w:r>
        <w:rPr>
          <w:rFonts w:hint="eastAsia" w:ascii="宋体" w:hAnsi="宋体" w:eastAsia="宋体"/>
          <w:b w:val="0"/>
          <w:bCs w:val="0"/>
          <w:color w:val="000000" w:themeColor="text1"/>
          <w:sz w:val="24"/>
          <w:lang w:eastAsia="zh-CN"/>
          <w14:textFill>
            <w14:solidFill>
              <w14:schemeClr w14:val="tx1"/>
            </w14:solidFill>
          </w14:textFill>
        </w:rPr>
        <w:t>最后，在评估体系方面，需要建立更加统一和全面的组合推理评价标准。目前不同研究通常采用不同基座模型、数据设置和指标体系，使方法之间难以公平比较。未来应推动标准化评测协议，同时引入域外泛化、多语言场景以及复杂现实任务测试，以更准确衡量MLLM组合推理能力。</w:t>
      </w:r>
    </w:p>
    <w:p w14:paraId="158E8985">
      <w:pPr>
        <w:pStyle w:val="3"/>
        <w:jc w:val="both"/>
        <w:rPr>
          <w:lang w:eastAsia="zh-CN"/>
        </w:rPr>
      </w:pPr>
      <w:r>
        <w:rPr>
          <w:rFonts w:ascii="黑体" w:hAnsi="黑体" w:eastAsia="黑体"/>
          <w:color w:val="000000"/>
          <w:lang w:eastAsia="zh-CN"/>
        </w:rPr>
        <w:t>六、结论</w:t>
      </w:r>
    </w:p>
    <w:p w14:paraId="183E752E">
      <w:pPr>
        <w:ind w:firstLine="480"/>
        <w:jc w:val="both"/>
        <w:rPr>
          <w:rFonts w:hint="eastAsia"/>
          <w:lang w:eastAsia="zh-CN"/>
        </w:rPr>
      </w:pPr>
      <w:r>
        <w:rPr>
          <w:lang w:eastAsia="zh-CN"/>
        </w:rPr>
        <w:t>本文以CR³为锚点，系统梳理了MLLM组合推理增强的四类RL范式及其性能水平，并从方法设计、数据质量、评估标准三个维度分析了现存问题与改进方向。研究表明：规则奖励RL（以CR³为代表）在数据效率与</w:t>
      </w:r>
      <w:r>
        <w:rPr>
          <w:rFonts w:hint="eastAsia"/>
          <w:lang w:eastAsia="zh-CN"/>
        </w:rPr>
        <w:t>域外</w:t>
      </w:r>
      <w:r>
        <w:rPr>
          <w:lang w:eastAsia="zh-CN"/>
        </w:rPr>
        <w:t>泛化性上</w:t>
      </w:r>
      <w:r>
        <w:rPr>
          <w:rFonts w:hint="eastAsia"/>
          <w:lang w:eastAsia="zh-CN"/>
        </w:rPr>
        <w:t>表现出优秀潜力</w:t>
      </w:r>
      <w:r>
        <w:rPr>
          <w:lang w:eastAsia="zh-CN"/>
        </w:rPr>
        <w:t>，仅用1.89万样本即实现全面涨点；过程奖励RL（以</w:t>
      </w:r>
      <w:r>
        <w:rPr>
          <w:rFonts w:cs="宋体"/>
          <w:szCs w:val="24"/>
          <w:lang w:eastAsia="zh-CN"/>
        </w:rPr>
        <w:t>Perceval</w:t>
      </w:r>
      <w:r>
        <w:rPr>
          <w:lang w:eastAsia="zh-CN"/>
        </w:rPr>
        <w:t>为代表）推理可控性更强，两者在闭合式任务中可形成互补。反思驱动RL与搜索增强RL在复杂场景中各有独特价值。领域整体正从</w:t>
      </w:r>
      <w:r>
        <w:rPr>
          <w:rFonts w:hint="eastAsia"/>
          <w:lang w:eastAsia="zh-CN"/>
        </w:rPr>
        <w:t>“</w:t>
      </w:r>
      <w:r>
        <w:rPr>
          <w:lang w:eastAsia="zh-CN"/>
        </w:rPr>
        <w:t>数据驱动的性能提升</w:t>
      </w:r>
      <w:r>
        <w:rPr>
          <w:rFonts w:hint="eastAsia"/>
          <w:lang w:eastAsia="zh-CN"/>
        </w:rPr>
        <w:t>”</w:t>
      </w:r>
      <w:r>
        <w:rPr>
          <w:lang w:eastAsia="zh-CN"/>
        </w:rPr>
        <w:t>走向</w:t>
      </w:r>
      <w:r>
        <w:rPr>
          <w:rFonts w:hint="eastAsia"/>
          <w:lang w:eastAsia="zh-CN"/>
        </w:rPr>
        <w:t>“</w:t>
      </w:r>
      <w:r>
        <w:rPr>
          <w:lang w:eastAsia="zh-CN"/>
        </w:rPr>
        <w:t>机理驱动的能力构建</w:t>
      </w:r>
      <w:r>
        <w:rPr>
          <w:rFonts w:hint="eastAsia"/>
          <w:lang w:eastAsia="zh-CN"/>
        </w:rPr>
        <w:t>”</w:t>
      </w:r>
      <w:r>
        <w:rPr>
          <w:lang w:eastAsia="zh-CN"/>
        </w:rPr>
        <w:t>，RL与推理侧方法的叠加、分层奖励机制的设计、以及RL与轻量架构改进的融合，是未来最具潜力的三个研究方向。</w:t>
      </w:r>
    </w:p>
    <w:p w14:paraId="2F223297">
      <w:pPr>
        <w:pStyle w:val="3"/>
        <w:jc w:val="both"/>
      </w:pPr>
      <w:r>
        <w:rPr>
          <w:rFonts w:ascii="黑体" w:hAnsi="黑体" w:eastAsia="黑体"/>
          <w:color w:val="000000"/>
        </w:rPr>
        <w:t>参考文</w:t>
      </w:r>
      <w:commentRangeStart w:id="15"/>
      <w:r>
        <w:rPr>
          <w:rFonts w:ascii="黑体" w:hAnsi="黑体" w:eastAsia="黑体"/>
          <w:color w:val="000000"/>
        </w:rPr>
        <w:t>献</w:t>
      </w:r>
      <w:commentRangeEnd w:id="15"/>
      <w:r>
        <w:rPr>
          <w:rStyle w:val="140"/>
          <w:sz w:val="28"/>
          <w:szCs w:val="28"/>
        </w:rPr>
        <w:commentReference w:id="15"/>
      </w:r>
    </w:p>
    <w:sectPr>
      <w:endnotePr>
        <w:numFmt w:val="decimal"/>
      </w:endnotePr>
      <w:pgSz w:w="12240" w:h="15840"/>
      <w:pgMar w:top="1440" w:right="1800" w:bottom="1440" w:left="180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老师" w:date="2026-08-05T14:07:00Z" w:initials="G">
    <w:p w14:paraId="223E5D09">
      <w:pPr>
        <w:pStyle w:val="17"/>
        <w:rPr>
          <w:rFonts w:hint="eastAsia"/>
          <w:lang w:eastAsia="zh-CN"/>
        </w:rPr>
      </w:pPr>
      <w:r>
        <w:rPr>
          <w:rFonts w:hint="eastAsia"/>
          <w:lang w:eastAsia="zh-CN"/>
        </w:rPr>
        <w:t>补充作者信息 （名字，学院名，学校名，城市，邮编，国家，邮箱（gmail，学校邮箱，outlook））</w:t>
      </w:r>
    </w:p>
  </w:comment>
  <w:comment w:id="1" w:author="张老师" w:date="2026-08-05T14:08:00Z" w:initials="G">
    <w:p w14:paraId="367AACBE">
      <w:pPr>
        <w:pStyle w:val="17"/>
        <w:rPr>
          <w:rFonts w:hint="eastAsia"/>
          <w:lang w:eastAsia="zh-CN"/>
        </w:rPr>
      </w:pPr>
      <w:r>
        <w:rPr>
          <w:rFonts w:hint="eastAsia"/>
          <w:lang w:eastAsia="zh-CN"/>
        </w:rPr>
        <w:t>不用提及哪个会议，可以直接说以2026年新提出的什么什么方法为锚点，xxx</w:t>
      </w:r>
    </w:p>
  </w:comment>
  <w:comment w:id="2" w:author="张老师" w:date="2026-08-05T14:09:00Z" w:initials="G">
    <w:p w14:paraId="0BA03484">
      <w:pPr>
        <w:pStyle w:val="17"/>
        <w:rPr>
          <w:rFonts w:hint="eastAsia"/>
          <w:lang w:eastAsia="zh-CN"/>
        </w:rPr>
      </w:pPr>
      <w:r>
        <w:rPr>
          <w:rFonts w:hint="eastAsia"/>
          <w:lang w:eastAsia="zh-CN"/>
        </w:rPr>
        <w:t>第一章标题固定为“引言”</w:t>
      </w:r>
    </w:p>
  </w:comment>
  <w:comment w:id="3" w:author="张老师" w:date="2026-08-05T14:10:00Z" w:initials="G">
    <w:p w14:paraId="7CBE2BDA">
      <w:pPr>
        <w:pStyle w:val="17"/>
        <w:rPr>
          <w:rFonts w:hint="eastAsia"/>
          <w:lang w:eastAsia="zh-CN"/>
        </w:rPr>
      </w:pPr>
      <w:r>
        <w:rPr>
          <w:rFonts w:hint="eastAsia"/>
          <w:lang w:eastAsia="zh-CN"/>
        </w:rPr>
        <w:t>文献引用不用上角标也不用交叉引用</w:t>
      </w:r>
    </w:p>
  </w:comment>
  <w:comment w:id="4" w:author="张老师" w:date="2026-08-05T14:12:00Z" w:initials="G">
    <w:p w14:paraId="185DCE5F">
      <w:pPr>
        <w:pStyle w:val="17"/>
        <w:rPr>
          <w:rFonts w:hint="eastAsia"/>
          <w:lang w:eastAsia="zh-CN"/>
        </w:rPr>
      </w:pPr>
      <w:r>
        <w:rPr>
          <w:rFonts w:hint="eastAsia"/>
          <w:lang w:eastAsia="zh-CN"/>
        </w:rPr>
        <w:t>在介绍当前的研究现状或者相关工作时，可以展开介绍一下其他研究做了什么，每篇文章大概两句话简单概括提出的方法得到的结果可以分析出什么，当前描述地较为概括</w:t>
      </w:r>
    </w:p>
  </w:comment>
  <w:comment w:id="5" w:author="张老师" w:date="2026-08-05T14:11:00Z" w:initials="G">
    <w:p w14:paraId="072A977D">
      <w:pPr>
        <w:pStyle w:val="17"/>
        <w:rPr>
          <w:rFonts w:hint="eastAsia"/>
          <w:lang w:eastAsia="zh-CN"/>
        </w:rPr>
      </w:pPr>
      <w:r>
        <w:rPr>
          <w:rFonts w:hint="eastAsia"/>
          <w:lang w:eastAsia="zh-CN"/>
        </w:rPr>
        <w:t>引言的末尾再提及，但这篇论文以此为锚点的话建议在前面可以铺垫提及一下</w:t>
      </w:r>
    </w:p>
  </w:comment>
  <w:comment w:id="6" w:author="张老师" w:date="2026-08-05T14:16:00Z" w:initials="G">
    <w:p w14:paraId="54A84123">
      <w:pPr>
        <w:pStyle w:val="17"/>
        <w:rPr>
          <w:rFonts w:hint="eastAsia"/>
          <w:lang w:eastAsia="zh-CN"/>
        </w:rPr>
      </w:pPr>
      <w:r>
        <w:rPr>
          <w:rFonts w:hint="eastAsia"/>
          <w:lang w:eastAsia="zh-CN"/>
        </w:rPr>
        <w:t>可以补充一章你筛选文献的标注作为方法章节，比如</w:t>
      </w:r>
      <w:r>
        <w:rPr>
          <w:lang w:eastAsia="zh-CN"/>
        </w:rPr>
        <w:t>文献筛选范围、检索策略或纳入标准。</w:t>
      </w:r>
      <w:r>
        <w:rPr>
          <w:rFonts w:hint="eastAsia"/>
          <w:lang w:eastAsia="zh-CN"/>
        </w:rPr>
        <w:t>包括像第三章如何划定的</w:t>
      </w:r>
      <w:r>
        <w:rPr>
          <w:lang w:eastAsia="zh-CN"/>
        </w:rPr>
        <w:t>四类方法</w:t>
      </w:r>
    </w:p>
  </w:comment>
  <w:comment w:id="7" w:author="张老师" w:date="2026-08-05T14:17:00Z" w:initials="G">
    <w:p w14:paraId="38E15A3C">
      <w:pPr>
        <w:pStyle w:val="17"/>
        <w:rPr>
          <w:rFonts w:hint="eastAsia"/>
          <w:lang w:eastAsia="zh-CN"/>
        </w:rPr>
      </w:pPr>
      <w:r>
        <w:rPr>
          <w:rFonts w:hint="eastAsia"/>
          <w:lang w:eastAsia="zh-CN"/>
        </w:rPr>
        <w:t>注意一个小节不能只有一辆句话需要补充详细</w:t>
      </w:r>
    </w:p>
  </w:comment>
  <w:comment w:id="8" w:author="张老师" w:date="2026-08-05T14:18:00Z" w:initials="G">
    <w:p w14:paraId="7C46FD2B">
      <w:pPr>
        <w:pStyle w:val="17"/>
        <w:rPr>
          <w:rFonts w:hint="eastAsia"/>
          <w:lang w:eastAsia="zh-CN"/>
        </w:rPr>
      </w:pPr>
      <w:r>
        <w:rPr>
          <w:rFonts w:hint="eastAsia"/>
          <w:lang w:eastAsia="zh-CN"/>
        </w:rPr>
        <w:t>公式序号 (1)</w:t>
      </w:r>
    </w:p>
  </w:comment>
  <w:comment w:id="9" w:author="张老师" w:date="2026-08-05T14:42:00Z" w:initials="G">
    <w:p w14:paraId="50AA27BD">
      <w:pPr>
        <w:pStyle w:val="17"/>
        <w:rPr>
          <w:rFonts w:hint="eastAsia"/>
          <w:lang w:eastAsia="zh-CN"/>
        </w:rPr>
      </w:pPr>
      <w:r>
        <w:rPr>
          <w:rFonts w:hint="eastAsia"/>
          <w:lang w:eastAsia="zh-CN"/>
        </w:rPr>
        <w:t>作为本文的锚点这篇论文在这里的工作可以适当分析地更详细一些；比如GRPO算法如何工作的，和其他方法的区别是什么，效果提升的原因是什么等等</w:t>
      </w:r>
    </w:p>
  </w:comment>
  <w:comment w:id="10" w:author="张老师" w:date="2026-08-05T14:44:00Z" w:initials="G">
    <w:p w14:paraId="473B8C4D">
      <w:pPr>
        <w:pStyle w:val="17"/>
        <w:rPr>
          <w:rFonts w:hint="eastAsia"/>
          <w:lang w:eastAsia="zh-CN"/>
        </w:rPr>
      </w:pPr>
      <w:r>
        <w:rPr>
          <w:rFonts w:hint="eastAsia"/>
          <w:lang w:eastAsia="zh-CN"/>
        </w:rPr>
        <w:t>注意表达，避免太分散的表达，尽可能都组织成一段一段的话</w:t>
      </w:r>
    </w:p>
  </w:comment>
  <w:comment w:id="11" w:author="张老师" w:date="2026-08-05T14:38:00Z" w:initials="G">
    <w:p w14:paraId="455BE794">
      <w:pPr>
        <w:pStyle w:val="17"/>
        <w:rPr>
          <w:rFonts w:hint="eastAsia"/>
          <w:lang w:eastAsia="zh-CN"/>
        </w:rPr>
      </w:pPr>
      <w:r>
        <w:rPr>
          <w:rFonts w:hint="eastAsia"/>
          <w:lang w:eastAsia="zh-CN"/>
        </w:rPr>
        <w:t>注意表达，避免太分散的表达，尽可能都组织成一段一段的话</w:t>
      </w:r>
    </w:p>
  </w:comment>
  <w:comment w:id="12" w:author="张老师" w:date="2026-08-05T14:18:00Z" w:initials="G">
    <w:p w14:paraId="6EE1FA32">
      <w:pPr>
        <w:pStyle w:val="17"/>
        <w:rPr>
          <w:rFonts w:hint="eastAsia"/>
          <w:lang w:eastAsia="zh-CN"/>
        </w:rPr>
      </w:pPr>
      <w:r>
        <w:rPr>
          <w:rFonts w:hint="eastAsia"/>
          <w:lang w:eastAsia="zh-CN"/>
        </w:rPr>
        <w:t>缺少表标题，缺少正文介绍; 比如：如表1所示，xxx</w:t>
      </w:r>
    </w:p>
  </w:comment>
  <w:comment w:id="13" w:author="张老师" w:date="2026-08-05T14:39:00Z" w:initials="G">
    <w:p w14:paraId="6C57F7A6">
      <w:pPr>
        <w:pStyle w:val="17"/>
        <w:rPr>
          <w:rFonts w:hint="eastAsia"/>
          <w:lang w:eastAsia="zh-CN"/>
        </w:rPr>
      </w:pPr>
      <w:r>
        <w:rPr>
          <w:rFonts w:hint="eastAsia"/>
          <w:lang w:eastAsia="zh-CN"/>
        </w:rPr>
        <w:t>可以在方法后添加一下引用标注</w:t>
      </w:r>
    </w:p>
  </w:comment>
  <w:comment w:id="14" w:author="张老师" w:date="2026-08-05T14:41:00Z" w:initials="G">
    <w:p w14:paraId="5D2CDF33">
      <w:pPr>
        <w:pStyle w:val="17"/>
        <w:rPr>
          <w:rFonts w:hint="eastAsia"/>
          <w:lang w:eastAsia="zh-CN"/>
        </w:rPr>
      </w:pPr>
      <w:r>
        <w:rPr>
          <w:rFonts w:hint="eastAsia"/>
          <w:lang w:eastAsia="zh-CN"/>
        </w:rPr>
        <w:t>可以给出一个相对精确的百分比，比如说五点几</w:t>
      </w:r>
    </w:p>
  </w:comment>
  <w:comment w:id="15" w:author="张老师" w:date="2026-08-05T18:16:00Z" w:initials="G">
    <w:p w14:paraId="364E77F4">
      <w:pPr>
        <w:pStyle w:val="17"/>
        <w:rPr>
          <w:rFonts w:hint="eastAsia"/>
          <w:lang w:eastAsia="zh-CN"/>
        </w:rPr>
      </w:pPr>
      <w:r>
        <w:rPr>
          <w:rFonts w:hint="eastAsia"/>
          <w:lang w:eastAsia="zh-CN"/>
        </w:rPr>
        <w:t>10-20篇 2022-2026年文献在一半及以上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3E5D09" w15:done="0"/>
  <w15:commentEx w15:paraId="367AACBE" w15:done="0"/>
  <w15:commentEx w15:paraId="0BA03484" w15:done="0"/>
  <w15:commentEx w15:paraId="7CBE2BDA" w15:done="0"/>
  <w15:commentEx w15:paraId="185DCE5F" w15:done="0"/>
  <w15:commentEx w15:paraId="072A977D" w15:done="0"/>
  <w15:commentEx w15:paraId="54A84123" w15:done="0"/>
  <w15:commentEx w15:paraId="38E15A3C" w15:done="0"/>
  <w15:commentEx w15:paraId="7C46FD2B" w15:done="0"/>
  <w15:commentEx w15:paraId="50AA27BD" w15:done="0"/>
  <w15:commentEx w15:paraId="473B8C4D" w15:done="0"/>
  <w15:commentEx w15:paraId="455BE794" w15:done="0"/>
  <w15:commentEx w15:paraId="6EE1FA32" w15:done="0"/>
  <w15:commentEx w15:paraId="6C57F7A6" w15:done="0"/>
  <w15:commentEx w15:paraId="5D2CDF33" w15:done="0"/>
  <w15:commentEx w15:paraId="364E77F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2">
    <w:p>
      <w:pPr>
        <w:spacing w:line="240" w:lineRule="auto"/>
      </w:pPr>
      <w:r>
        <w:separator/>
      </w:r>
    </w:p>
  </w:endnote>
  <w:endnote w:type="continuationSeparator" w:id="23">
    <w:p>
      <w:pPr>
        <w:spacing w:line="240" w:lineRule="auto"/>
      </w:pPr>
      <w:r>
        <w:continuationSeparator/>
      </w:r>
    </w:p>
  </w:endnote>
  <w:endnote w:id="0">
    <w:p w14:paraId="6BFD4A0D">
      <w:pPr>
        <w:spacing w:after="40"/>
        <w:ind w:left="420" w:hanging="420" w:hangingChars="200"/>
        <w:rPr>
          <w:rFonts w:hint="eastAsia"/>
        </w:rPr>
      </w:pPr>
      <w:r>
        <w:rPr>
          <w:rStyle w:val="138"/>
          <w:sz w:val="21"/>
          <w:szCs w:val="21"/>
          <w:vertAlign w:val="baseline"/>
        </w:rPr>
        <w:t>[</w:t>
      </w:r>
      <w:r>
        <w:rPr>
          <w:rStyle w:val="138"/>
          <w:sz w:val="21"/>
          <w:szCs w:val="21"/>
          <w:vertAlign w:val="baseline"/>
        </w:rPr>
        <w:endnoteRef/>
      </w:r>
      <w:r>
        <w:rPr>
          <w:rStyle w:val="138"/>
          <w:sz w:val="21"/>
          <w:szCs w:val="21"/>
          <w:vertAlign w:val="baseline"/>
        </w:rPr>
        <w:t>]</w:t>
      </w:r>
      <w:r>
        <w:t xml:space="preserve"> </w:t>
      </w:r>
      <w:r>
        <w:rPr>
          <w:rFonts w:ascii="Times New Roman" w:hAnsi="Times New Roman"/>
          <w:sz w:val="21"/>
        </w:rPr>
        <w:t>Radford A, Kim J W, Hallacy C, et al. Learning transferable visual models from natural language supervision. ICML, 2021.</w:t>
      </w:r>
    </w:p>
  </w:endnote>
  <w:endnote w:id="1">
    <w:p w14:paraId="6F0EC723">
      <w:pPr>
        <w:pStyle w:val="25"/>
        <w:ind w:left="420" w:hanging="420" w:hangingChars="200"/>
        <w:rPr>
          <w:rFonts w:ascii="Times New Roman" w:hAnsi="Times New Roman" w:cs="Times New Roman"/>
          <w:sz w:val="21"/>
          <w:szCs w:val="21"/>
          <w:lang w:eastAsia="zh-CN"/>
        </w:rPr>
      </w:pPr>
      <w:r>
        <w:rPr>
          <w:rStyle w:val="138"/>
          <w:rFonts w:hint="eastAsia" w:cs="宋体"/>
          <w:sz w:val="21"/>
          <w:szCs w:val="21"/>
          <w:vertAlign w:val="baseline"/>
        </w:rPr>
        <w:t>[</w:t>
      </w:r>
      <w:r>
        <w:rPr>
          <w:rStyle w:val="138"/>
          <w:rFonts w:hint="eastAsia" w:cs="宋体"/>
          <w:sz w:val="21"/>
          <w:szCs w:val="21"/>
          <w:vertAlign w:val="baseline"/>
        </w:rPr>
        <w:endnoteRef/>
      </w:r>
      <w:r>
        <w:rPr>
          <w:rStyle w:val="138"/>
          <w:rFonts w:hint="eastAsia" w:cs="宋体"/>
          <w:sz w:val="21"/>
          <w:szCs w:val="21"/>
          <w:vertAlign w:val="baseline"/>
        </w:rPr>
        <w:t>]</w:t>
      </w:r>
      <w:r>
        <w:rPr>
          <w:rFonts w:ascii="Times New Roman" w:hAnsi="Times New Roman" w:cs="Times New Roman"/>
          <w:sz w:val="21"/>
          <w:szCs w:val="21"/>
        </w:rPr>
        <w:t xml:space="preserve"> </w:t>
      </w:r>
      <w:r>
        <w:rPr>
          <w:rFonts w:hint="eastAsia" w:ascii="Times New Roman" w:hAnsi="Times New Roman" w:cs="Times New Roman"/>
          <w:sz w:val="21"/>
          <w:szCs w:val="21"/>
          <w:lang w:eastAsia="zh-CN"/>
        </w:rPr>
        <w:t xml:space="preserve"> </w:t>
      </w:r>
      <w:r>
        <w:rPr>
          <w:rFonts w:ascii="Times New Roman" w:hAnsi="Times New Roman" w:cs="Times New Roman"/>
          <w:sz w:val="21"/>
          <w:szCs w:val="21"/>
        </w:rPr>
        <w:t>Li, J., Li, D., Savarese, S., &amp; Hoi, S. BLIP-2: Bootstrapping language-image pre-training with frozen image encoders and large language models.</w:t>
      </w:r>
      <w:r>
        <w:rPr>
          <w:rFonts w:ascii="Times New Roman" w:hAnsi="Times New Roman" w:cs="Times New Roman"/>
          <w:sz w:val="21"/>
          <w:szCs w:val="21"/>
          <w:lang w:eastAsia="zh-CN"/>
        </w:rPr>
        <w:t>ICML,2023.</w:t>
      </w:r>
    </w:p>
  </w:endnote>
  <w:endnote w:id="2">
    <w:p w14:paraId="24FA71A4">
      <w:pPr>
        <w:pStyle w:val="25"/>
        <w:ind w:left="420" w:hanging="420" w:hangingChars="200"/>
        <w:rPr>
          <w:rFonts w:ascii="Times New Roman" w:hAnsi="Times New Roman" w:cs="Times New Roman"/>
          <w:sz w:val="21"/>
          <w:szCs w:val="21"/>
          <w:lang w:eastAsia="zh-CN"/>
        </w:rPr>
      </w:pPr>
      <w:r>
        <w:rPr>
          <w:rStyle w:val="138"/>
          <w:rFonts w:hint="eastAsia" w:cs="宋体"/>
          <w:sz w:val="21"/>
          <w:szCs w:val="21"/>
          <w:vertAlign w:val="baseline"/>
        </w:rPr>
        <w:t>[</w:t>
      </w:r>
      <w:r>
        <w:rPr>
          <w:rStyle w:val="138"/>
          <w:rFonts w:hint="eastAsia" w:cs="宋体"/>
          <w:sz w:val="21"/>
          <w:szCs w:val="21"/>
          <w:vertAlign w:val="baseline"/>
        </w:rPr>
        <w:endnoteRef/>
      </w:r>
      <w:r>
        <w:rPr>
          <w:rStyle w:val="138"/>
          <w:rFonts w:hint="eastAsia" w:cs="宋体"/>
          <w:sz w:val="21"/>
          <w:szCs w:val="21"/>
          <w:vertAlign w:val="baseline"/>
        </w:rPr>
        <w:t>]</w:t>
      </w:r>
      <w:r>
        <w:rPr>
          <w:rFonts w:ascii="Times New Roman" w:hAnsi="Times New Roman" w:cs="Times New Roman"/>
          <w:sz w:val="21"/>
          <w:szCs w:val="21"/>
        </w:rPr>
        <w:t xml:space="preserve"> </w:t>
      </w:r>
      <w:r>
        <w:rPr>
          <w:rFonts w:hint="eastAsia" w:ascii="Times New Roman" w:hAnsi="Times New Roman" w:cs="Times New Roman"/>
          <w:sz w:val="21"/>
          <w:szCs w:val="21"/>
          <w:lang w:eastAsia="zh-CN"/>
        </w:rPr>
        <w:t xml:space="preserve"> </w:t>
      </w:r>
      <w:r>
        <w:rPr>
          <w:rFonts w:ascii="Times New Roman" w:hAnsi="Times New Roman" w:eastAsia="Segoe UI" w:cs="Times New Roman"/>
          <w:color w:val="0F1115"/>
          <w:sz w:val="21"/>
          <w:szCs w:val="21"/>
          <w:shd w:val="clear" w:color="auto" w:fill="FFFFFF"/>
        </w:rPr>
        <w:t>Jean-Baptiste Alayrac, Jeff Donahue,</w:t>
      </w:r>
      <w:r>
        <w:rPr>
          <w:rFonts w:ascii="Times New Roman" w:hAnsi="Times New Roman" w:cs="Times New Roman"/>
          <w:color w:val="0F1115"/>
          <w:sz w:val="21"/>
          <w:szCs w:val="21"/>
          <w:shd w:val="clear" w:color="auto" w:fill="FFFFFF"/>
          <w:lang w:eastAsia="zh-CN"/>
        </w:rPr>
        <w:t xml:space="preserve"> et al. </w:t>
      </w:r>
      <w:r>
        <w:rPr>
          <w:rFonts w:ascii="Times New Roman" w:hAnsi="Times New Roman" w:eastAsia="Segoe UI" w:cs="Times New Roman"/>
          <w:color w:val="0F1115"/>
          <w:sz w:val="21"/>
          <w:szCs w:val="21"/>
          <w:shd w:val="clear" w:color="auto" w:fill="FFFFFF"/>
        </w:rPr>
        <w:t>Flamingo: a Visual Language Model for Few-Shot Learning</w:t>
      </w:r>
      <w:r>
        <w:rPr>
          <w:rFonts w:ascii="Times New Roman" w:hAnsi="Times New Roman" w:cs="Times New Roman"/>
          <w:color w:val="0F1115"/>
          <w:sz w:val="21"/>
          <w:szCs w:val="21"/>
          <w:shd w:val="clear" w:color="auto" w:fill="FFFFFF"/>
          <w:lang w:eastAsia="zh-CN"/>
        </w:rPr>
        <w:t xml:space="preserve">. </w:t>
      </w:r>
      <w:r>
        <w:rPr>
          <w:rFonts w:ascii="Times New Roman" w:hAnsi="Times New Roman" w:eastAsia="Segoe UI" w:cs="Times New Roman"/>
          <w:color w:val="0F1115"/>
          <w:sz w:val="21"/>
          <w:szCs w:val="21"/>
          <w:shd w:val="clear" w:color="auto" w:fill="FFFFFF"/>
        </w:rPr>
        <w:t>NeurIPS, 2022</w:t>
      </w:r>
    </w:p>
  </w:endnote>
  <w:endnote w:id="3">
    <w:p w14:paraId="36E67805">
      <w:pPr>
        <w:pStyle w:val="25"/>
        <w:ind w:left="420" w:hanging="420" w:hangingChars="200"/>
        <w:rPr>
          <w:rFonts w:ascii="Times New Roman" w:hAnsi="Times New Roman" w:cs="Times New Roman"/>
          <w:sz w:val="21"/>
          <w:szCs w:val="21"/>
        </w:rPr>
      </w:pPr>
      <w:r>
        <w:rPr>
          <w:rStyle w:val="138"/>
          <w:rFonts w:hint="eastAsia" w:cs="宋体"/>
          <w:sz w:val="21"/>
          <w:szCs w:val="21"/>
          <w:vertAlign w:val="baseline"/>
        </w:rPr>
        <w:t>[</w:t>
      </w:r>
      <w:r>
        <w:rPr>
          <w:rStyle w:val="138"/>
          <w:rFonts w:hint="eastAsia" w:cs="宋体"/>
          <w:sz w:val="21"/>
          <w:szCs w:val="21"/>
          <w:vertAlign w:val="baseline"/>
        </w:rPr>
        <w:endnoteRef/>
      </w:r>
      <w:r>
        <w:rPr>
          <w:rStyle w:val="138"/>
          <w:rFonts w:hint="eastAsia" w:cs="宋体"/>
          <w:sz w:val="21"/>
          <w:szCs w:val="21"/>
          <w:vertAlign w:val="baseline"/>
        </w:rPr>
        <w:t>]</w:t>
      </w:r>
      <w:r>
        <w:rPr>
          <w:rFonts w:ascii="Times New Roman" w:hAnsi="Times New Roman" w:cs="Times New Roman"/>
          <w:sz w:val="21"/>
          <w:szCs w:val="21"/>
        </w:rPr>
        <w:t xml:space="preserve"> </w:t>
      </w:r>
      <w:r>
        <w:rPr>
          <w:rFonts w:hint="eastAsia" w:ascii="Times New Roman" w:hAnsi="Times New Roman" w:cs="Times New Roman"/>
          <w:sz w:val="21"/>
          <w:szCs w:val="21"/>
          <w:lang w:eastAsia="zh-CN"/>
        </w:rPr>
        <w:t xml:space="preserve"> </w:t>
      </w:r>
      <w:r>
        <w:rPr>
          <w:rFonts w:ascii="Times New Roman" w:hAnsi="Times New Roman" w:eastAsia="Segoe UI" w:cs="Times New Roman"/>
          <w:color w:val="0F1115"/>
          <w:sz w:val="21"/>
          <w:szCs w:val="21"/>
          <w:shd w:val="clear" w:color="auto" w:fill="FFFFFF"/>
        </w:rPr>
        <w:t>Liu, H., Li, C., Wu, Q., &amp; Lee, Y. J. Visual instruction tuning. arXiv, arXiv:2304.08485.</w:t>
      </w:r>
    </w:p>
  </w:endnote>
  <w:endnote w:id="4">
    <w:p w14:paraId="429730AE">
      <w:pPr>
        <w:pStyle w:val="25"/>
        <w:snapToGrid/>
        <w:ind w:left="420" w:hanging="420" w:hangingChars="200"/>
        <w:rPr>
          <w:rFonts w:hint="eastAsia"/>
        </w:rPr>
      </w:pPr>
      <w:r>
        <w:rPr>
          <w:rStyle w:val="138"/>
          <w:sz w:val="21"/>
          <w:szCs w:val="21"/>
          <w:vertAlign w:val="baseline"/>
        </w:rPr>
        <w:t>[</w:t>
      </w:r>
      <w:r>
        <w:rPr>
          <w:rStyle w:val="138"/>
          <w:sz w:val="21"/>
          <w:szCs w:val="21"/>
          <w:vertAlign w:val="baseline"/>
        </w:rPr>
        <w:endnoteRef/>
      </w:r>
      <w:r>
        <w:rPr>
          <w:rStyle w:val="138"/>
          <w:sz w:val="21"/>
          <w:szCs w:val="21"/>
          <w:vertAlign w:val="baseline"/>
        </w:rPr>
        <w:t>]</w:t>
      </w:r>
      <w:r>
        <w:t xml:space="preserve"> </w:t>
      </w:r>
      <w:r>
        <w:rPr>
          <w:rFonts w:ascii="Times New Roman" w:hAnsi="Times New Roman"/>
          <w:sz w:val="21"/>
        </w:rPr>
        <w:t>Thrush T, Jiang R, Bartolo M, et al. Winoground: Probing vision and language models for visio-linguistic compositionality. CVPR, 2022.</w:t>
      </w:r>
    </w:p>
  </w:endnote>
  <w:endnote w:id="5">
    <w:p w14:paraId="3D336D63">
      <w:pPr>
        <w:pStyle w:val="25"/>
        <w:ind w:left="420" w:hanging="420" w:hangingChars="200"/>
        <w:rPr>
          <w:rFonts w:hint="eastAsia"/>
        </w:rPr>
      </w:pPr>
      <w:r>
        <w:rPr>
          <w:rStyle w:val="138"/>
          <w:sz w:val="21"/>
          <w:szCs w:val="21"/>
          <w:vertAlign w:val="baseline"/>
        </w:rPr>
        <w:t>[</w:t>
      </w:r>
      <w:r>
        <w:rPr>
          <w:rStyle w:val="138"/>
          <w:sz w:val="21"/>
          <w:szCs w:val="21"/>
          <w:vertAlign w:val="baseline"/>
        </w:rPr>
        <w:endnoteRef/>
      </w:r>
      <w:r>
        <w:rPr>
          <w:rStyle w:val="138"/>
          <w:sz w:val="21"/>
          <w:szCs w:val="21"/>
          <w:vertAlign w:val="baseline"/>
        </w:rPr>
        <w:t>]</w:t>
      </w:r>
      <w:r>
        <w:t xml:space="preserve"> </w:t>
      </w:r>
      <w:r>
        <w:rPr>
          <w:rFonts w:ascii="Times New Roman" w:hAnsi="Times New Roman"/>
          <w:sz w:val="21"/>
        </w:rPr>
        <w:t>DeepSeek-AI. DeepSeek-R1: Incentivizing reasoning capability in LLMs via reinforcement learning. Nature, 2025, 645: 633-638.</w:t>
      </w:r>
    </w:p>
  </w:endnote>
  <w:endnote w:id="6">
    <w:p w14:paraId="78F83133">
      <w:pPr>
        <w:pStyle w:val="25"/>
        <w:ind w:left="420" w:hanging="420" w:hangingChars="200"/>
        <w:rPr>
          <w:rFonts w:hint="eastAsia"/>
        </w:rPr>
      </w:pPr>
      <w:r>
        <w:rPr>
          <w:rStyle w:val="138"/>
          <w:sz w:val="21"/>
          <w:szCs w:val="21"/>
          <w:vertAlign w:val="baseline"/>
        </w:rPr>
        <w:t>[</w:t>
      </w:r>
      <w:r>
        <w:rPr>
          <w:rStyle w:val="138"/>
          <w:sz w:val="21"/>
          <w:szCs w:val="21"/>
          <w:vertAlign w:val="baseline"/>
        </w:rPr>
        <w:endnoteRef/>
      </w:r>
      <w:r>
        <w:rPr>
          <w:rStyle w:val="138"/>
          <w:sz w:val="21"/>
          <w:szCs w:val="21"/>
          <w:vertAlign w:val="baseline"/>
        </w:rPr>
        <w:t>]</w:t>
      </w:r>
      <w:r>
        <w:t xml:space="preserve"> </w:t>
      </w:r>
      <w:r>
        <w:rPr>
          <w:rFonts w:ascii="Times New Roman" w:hAnsi="Times New Roman" w:eastAsia="Segoe UI" w:cs="Times New Roman"/>
          <w:color w:val="0F1115"/>
          <w:sz w:val="21"/>
          <w:szCs w:val="21"/>
          <w:shd w:val="clear" w:color="auto" w:fill="FFFFFF"/>
        </w:rPr>
        <w:t>Qian, S., Liu, B., Sun, C., Xie, P., Xu, Z., &amp; Wang, B.</w:t>
      </w:r>
      <w:r>
        <w:rPr>
          <w:rFonts w:hint="eastAsia" w:ascii="Times New Roman" w:hAnsi="Times New Roman" w:cs="Times New Roman"/>
          <w:color w:val="0F1115"/>
          <w:sz w:val="21"/>
          <w:szCs w:val="21"/>
          <w:shd w:val="clear" w:color="auto" w:fill="FFFFFF"/>
          <w:lang w:eastAsia="zh-CN"/>
        </w:rPr>
        <w:t xml:space="preserve"> </w:t>
      </w:r>
      <w:r>
        <w:rPr>
          <w:rFonts w:ascii="Times New Roman" w:hAnsi="Times New Roman"/>
          <w:sz w:val="21"/>
        </w:rPr>
        <w:t>CR³: Boosting compositional reasoning in MLLMs through rule-based reinforcement learning. AAAI, 2026.</w:t>
      </w:r>
    </w:p>
  </w:endnote>
  <w:endnote w:id="7">
    <w:p w14:paraId="6484613E">
      <w:pPr>
        <w:pStyle w:val="25"/>
        <w:ind w:left="420" w:hanging="420" w:hangingChars="200"/>
        <w:rPr>
          <w:rFonts w:hint="eastAsia"/>
        </w:rPr>
      </w:pPr>
      <w:r>
        <w:rPr>
          <w:rStyle w:val="138"/>
          <w:sz w:val="21"/>
          <w:szCs w:val="21"/>
          <w:vertAlign w:val="baseline"/>
        </w:rPr>
        <w:t>[</w:t>
      </w:r>
      <w:r>
        <w:rPr>
          <w:rStyle w:val="138"/>
          <w:sz w:val="21"/>
          <w:szCs w:val="21"/>
          <w:vertAlign w:val="baseline"/>
        </w:rPr>
        <w:endnoteRef/>
      </w:r>
      <w:r>
        <w:rPr>
          <w:rStyle w:val="138"/>
          <w:sz w:val="21"/>
          <w:szCs w:val="21"/>
          <w:vertAlign w:val="baseline"/>
        </w:rPr>
        <w:t>]</w:t>
      </w:r>
      <w:r>
        <w:t xml:space="preserve"> </w:t>
      </w:r>
      <w:r>
        <w:rPr>
          <w:rFonts w:ascii="Times New Roman" w:hAnsi="Times New Roman"/>
          <w:sz w:val="21"/>
        </w:rPr>
        <w:t>Zhu Y, Zhang J, Tang F. Test-time matching: Unlocking compositional reasoning in multimodal models. ICLR, 2026.</w:t>
      </w:r>
    </w:p>
  </w:endnote>
  <w:endnote w:id="8">
    <w:p w14:paraId="45938122">
      <w:pPr>
        <w:pStyle w:val="25"/>
        <w:ind w:left="420" w:hanging="420" w:hangingChars="200"/>
        <w:rPr>
          <w:rFonts w:ascii="Times New Roman" w:hAnsi="Times New Roman" w:cs="Times New Roman"/>
          <w:sz w:val="21"/>
          <w:szCs w:val="21"/>
          <w:lang w:eastAsia="zh-CN"/>
        </w:rPr>
      </w:pPr>
      <w:r>
        <w:rPr>
          <w:rStyle w:val="138"/>
          <w:sz w:val="21"/>
          <w:szCs w:val="21"/>
          <w:vertAlign w:val="baseline"/>
        </w:rPr>
        <w:t>[</w:t>
      </w:r>
      <w:r>
        <w:rPr>
          <w:rStyle w:val="138"/>
          <w:sz w:val="21"/>
          <w:szCs w:val="21"/>
          <w:vertAlign w:val="baseline"/>
        </w:rPr>
        <w:endnoteRef/>
      </w:r>
      <w:r>
        <w:rPr>
          <w:rStyle w:val="138"/>
          <w:sz w:val="21"/>
          <w:szCs w:val="21"/>
          <w:vertAlign w:val="baseline"/>
        </w:rPr>
        <w:t>]</w:t>
      </w:r>
      <w:r>
        <w:t xml:space="preserve"> </w:t>
      </w:r>
      <w:r>
        <w:rPr>
          <w:rFonts w:ascii="Times New Roman" w:hAnsi="Times New Roman" w:eastAsia="Segoe UI" w:cs="Times New Roman"/>
          <w:color w:val="0F1115"/>
          <w:sz w:val="21"/>
          <w:szCs w:val="21"/>
          <w:shd w:val="clear" w:color="auto" w:fill="FFFFFF"/>
        </w:rPr>
        <w:t>Min, Y., Zhou, K., Li, Y</w:t>
      </w:r>
      <w:r>
        <w:rPr>
          <w:rFonts w:hint="eastAsia" w:ascii="Times New Roman" w:hAnsi="Times New Roman" w:cs="Times New Roman"/>
          <w:color w:val="0F1115"/>
          <w:sz w:val="21"/>
          <w:szCs w:val="21"/>
          <w:shd w:val="clear" w:color="auto" w:fill="FFFFFF"/>
          <w:lang w:eastAsia="zh-CN"/>
        </w:rPr>
        <w:t>., et al</w:t>
      </w:r>
      <w:r>
        <w:rPr>
          <w:rFonts w:ascii="Times New Roman" w:hAnsi="Times New Roman" w:eastAsia="Segoe UI" w:cs="Times New Roman"/>
          <w:color w:val="0F1115"/>
          <w:sz w:val="21"/>
          <w:szCs w:val="21"/>
          <w:shd w:val="clear" w:color="auto" w:fill="FFFFFF"/>
        </w:rPr>
        <w:t>. Improving Vision-language Models with Perception-centric Process Reward Models.</w:t>
      </w:r>
      <w:r>
        <w:rPr>
          <w:rFonts w:hint="eastAsia" w:ascii="Times New Roman" w:hAnsi="Times New Roman" w:cs="Times New Roman"/>
          <w:color w:val="0F1115"/>
          <w:sz w:val="21"/>
          <w:szCs w:val="21"/>
          <w:shd w:val="clear" w:color="auto" w:fill="FFFFFF"/>
          <w:lang w:eastAsia="zh-CN"/>
        </w:rPr>
        <w:t xml:space="preserve"> </w:t>
      </w:r>
      <w:r>
        <w:rPr>
          <w:rFonts w:ascii="Times New Roman" w:hAnsi="Times New Roman" w:eastAsia="Segoe UI" w:cs="Times New Roman"/>
          <w:color w:val="0F1115"/>
          <w:sz w:val="21"/>
          <w:szCs w:val="21"/>
          <w:shd w:val="clear" w:color="auto" w:fill="FFFFFF"/>
        </w:rPr>
        <w:t xml:space="preserve">CVPR, </w:t>
      </w:r>
      <w:r>
        <w:rPr>
          <w:rFonts w:hint="eastAsia" w:ascii="Times New Roman" w:hAnsi="Times New Roman" w:cs="Times New Roman"/>
          <w:color w:val="0F1115"/>
          <w:sz w:val="21"/>
          <w:szCs w:val="21"/>
          <w:shd w:val="clear" w:color="auto" w:fill="FFFFFF"/>
          <w:lang w:eastAsia="zh-CN"/>
        </w:rPr>
        <w:t>2026.</w:t>
      </w:r>
    </w:p>
  </w:endnote>
  <w:endnote w:id="9">
    <w:p w14:paraId="46CDC79F">
      <w:pPr>
        <w:pStyle w:val="25"/>
        <w:ind w:left="420" w:hanging="420" w:hangingChars="200"/>
        <w:rPr>
          <w:rFonts w:hint="eastAsia"/>
        </w:rPr>
      </w:pPr>
      <w:r>
        <w:rPr>
          <w:rStyle w:val="138"/>
          <w:sz w:val="21"/>
          <w:szCs w:val="21"/>
          <w:vertAlign w:val="baseline"/>
        </w:rPr>
        <w:t>[</w:t>
      </w:r>
      <w:r>
        <w:rPr>
          <w:rStyle w:val="138"/>
          <w:sz w:val="21"/>
          <w:szCs w:val="21"/>
          <w:vertAlign w:val="baseline"/>
        </w:rPr>
        <w:endnoteRef/>
      </w:r>
      <w:r>
        <w:rPr>
          <w:rStyle w:val="138"/>
          <w:sz w:val="21"/>
          <w:szCs w:val="21"/>
          <w:vertAlign w:val="baseline"/>
        </w:rPr>
        <w:t>]</w:t>
      </w:r>
      <w:r>
        <w:t xml:space="preserve"> </w:t>
      </w:r>
      <w:r>
        <w:rPr>
          <w:rFonts w:ascii="Times New Roman" w:hAnsi="Times New Roman"/>
          <w:sz w:val="21"/>
        </w:rPr>
        <w:t>Zhang J, Huang J, Yao H, et al. R1-VL: Learning to reason with multimodal large language models via step-wise group relative policy optimization. ICCV, 2025.</w:t>
      </w:r>
    </w:p>
  </w:endnote>
  <w:endnote w:id="10">
    <w:p w14:paraId="5F700988">
      <w:pPr>
        <w:pStyle w:val="25"/>
        <w:ind w:left="420" w:hanging="420" w:hangingChars="200"/>
        <w:rPr>
          <w:rFonts w:hint="eastAsia"/>
        </w:rPr>
      </w:pPr>
      <w:r>
        <w:rPr>
          <w:rStyle w:val="138"/>
          <w:sz w:val="21"/>
          <w:szCs w:val="21"/>
          <w:vertAlign w:val="baseline"/>
        </w:rPr>
        <w:t>[</w:t>
      </w:r>
      <w:r>
        <w:rPr>
          <w:rStyle w:val="138"/>
          <w:sz w:val="21"/>
          <w:szCs w:val="21"/>
          <w:vertAlign w:val="baseline"/>
        </w:rPr>
        <w:endnoteRef/>
      </w:r>
      <w:r>
        <w:rPr>
          <w:rStyle w:val="138"/>
          <w:sz w:val="21"/>
          <w:szCs w:val="21"/>
          <w:vertAlign w:val="baseline"/>
        </w:rPr>
        <w:t>]</w:t>
      </w:r>
      <w:r>
        <w:t xml:space="preserve"> </w:t>
      </w:r>
      <w:r>
        <w:rPr>
          <w:rFonts w:ascii="Times New Roman" w:hAnsi="Times New Roman"/>
          <w:sz w:val="21"/>
        </w:rPr>
        <w:t>Hsieh C Y, Zhang J, Ma Z, et al. SugarCrepe: Fixing hackable benchmarks for vision-language compositionality. NeurIPS, 2023.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BBFBC36"/>
    <w:multiLevelType w:val="multilevel"/>
    <w:tmpl w:val="2BBFBC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老师">
    <w15:presenceInfo w15:providerId="None" w15:userId="张老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bordersDoNotSurroundHeader w:val="1"/>
  <w:bordersDoNotSurroundFooter w:val="1"/>
  <w:documentProtection w:enforcement="0"/>
  <w:defaultTabStop w:val="720"/>
  <w:noPunctuationKerning w:val="1"/>
  <w:characterSpacingControl w:val="doNotCompress"/>
  <w:footnotePr>
    <w:footnote w:id="0"/>
    <w:footnote w:id="1"/>
  </w:footnotePr>
  <w:endnotePr>
    <w:numFmt w:val="decimal"/>
    <w:endnote w:id="22"/>
    <w:endnote w:id="23"/>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B76"/>
    <w:rsid w:val="00034616"/>
    <w:rsid w:val="0006063C"/>
    <w:rsid w:val="0015074B"/>
    <w:rsid w:val="00195087"/>
    <w:rsid w:val="001F6A77"/>
    <w:rsid w:val="00226C99"/>
    <w:rsid w:val="0029639D"/>
    <w:rsid w:val="00315484"/>
    <w:rsid w:val="00326F90"/>
    <w:rsid w:val="00905AEF"/>
    <w:rsid w:val="009E259F"/>
    <w:rsid w:val="00A8452B"/>
    <w:rsid w:val="00AA1D8D"/>
    <w:rsid w:val="00B47730"/>
    <w:rsid w:val="00CB0664"/>
    <w:rsid w:val="00E53884"/>
    <w:rsid w:val="00E84A0B"/>
    <w:rsid w:val="00ED6E2E"/>
    <w:rsid w:val="00FC693F"/>
    <w:rsid w:val="0172557B"/>
    <w:rsid w:val="02AF5D1D"/>
    <w:rsid w:val="098D7F7D"/>
    <w:rsid w:val="09C83435"/>
    <w:rsid w:val="0D8458C4"/>
    <w:rsid w:val="0EED2827"/>
    <w:rsid w:val="10282537"/>
    <w:rsid w:val="13345697"/>
    <w:rsid w:val="18567E5D"/>
    <w:rsid w:val="1A861390"/>
    <w:rsid w:val="1BFE4A94"/>
    <w:rsid w:val="1C145E41"/>
    <w:rsid w:val="229E0D7F"/>
    <w:rsid w:val="23564902"/>
    <w:rsid w:val="2503311B"/>
    <w:rsid w:val="2B1020EE"/>
    <w:rsid w:val="2F2C13A9"/>
    <w:rsid w:val="37166CDE"/>
    <w:rsid w:val="3A6B186B"/>
    <w:rsid w:val="411832BB"/>
    <w:rsid w:val="48735D3E"/>
    <w:rsid w:val="515316C1"/>
    <w:rsid w:val="58F509F1"/>
    <w:rsid w:val="622E2EA2"/>
    <w:rsid w:val="66707909"/>
    <w:rsid w:val="73BD6B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pPr>
    <w:rPr>
      <w:rFonts w:ascii="宋体" w:hAnsi="宋体" w:eastAsia="宋体" w:cstheme="minorBidi"/>
      <w:sz w:val="24"/>
      <w:szCs w:val="22"/>
      <w:lang w:val="en-US" w:eastAsia="en-US" w:bidi="ar-SA"/>
    </w:rPr>
  </w:style>
  <w:style w:type="paragraph" w:styleId="3">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0"/>
    <w:semiHidden/>
    <w:unhideWhenUsed/>
    <w:qFormat/>
    <w:uiPriority w:val="99"/>
  </w:style>
  <w:style w:type="paragraph" w:styleId="18">
    <w:name w:val="Body Text 3"/>
    <w:basedOn w:val="1"/>
    <w:link w:val="152"/>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0"/>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endnote text"/>
    <w:basedOn w:val="1"/>
    <w:semiHidden/>
    <w:unhideWhenUsed/>
    <w:qFormat/>
    <w:uiPriority w:val="99"/>
    <w:pPr>
      <w:snapToGrid w:val="0"/>
    </w:pPr>
  </w:style>
  <w:style w:type="paragraph" w:styleId="26">
    <w:name w:val="footer"/>
    <w:basedOn w:val="1"/>
    <w:link w:val="142"/>
    <w:unhideWhenUsed/>
    <w:qFormat/>
    <w:uiPriority w:val="99"/>
    <w:pPr>
      <w:tabs>
        <w:tab w:val="center" w:pos="4680"/>
        <w:tab w:val="right" w:pos="9360"/>
      </w:tabs>
      <w:spacing w:after="0" w:line="240" w:lineRule="auto"/>
    </w:pPr>
  </w:style>
  <w:style w:type="paragraph" w:styleId="27">
    <w:name w:val="header"/>
    <w:basedOn w:val="1"/>
    <w:link w:val="141"/>
    <w:unhideWhenUsed/>
    <w:qFormat/>
    <w:uiPriority w:val="99"/>
    <w:pPr>
      <w:tabs>
        <w:tab w:val="center" w:pos="4680"/>
        <w:tab w:val="right" w:pos="9360"/>
      </w:tabs>
      <w:spacing w:after="0" w:line="240" w:lineRule="auto"/>
    </w:pPr>
  </w:style>
  <w:style w:type="paragraph" w:styleId="28">
    <w:name w:val="Subtitle"/>
    <w:basedOn w:val="1"/>
    <w:next w:val="1"/>
    <w:link w:val="148"/>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51"/>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uiPriority w:val="99"/>
    <w:pPr>
      <w:spacing w:beforeAutospacing="1" w:after="0" w:afterAutospacing="1"/>
    </w:pPr>
    <w:rPr>
      <w:rFonts w:cs="Times New Roman"/>
      <w:lang w:eastAsia="zh-CN"/>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5">
    <w:name w:val="annotation subject"/>
    <w:basedOn w:val="17"/>
    <w:next w:val="17"/>
    <w:link w:val="171"/>
    <w:semiHidden/>
    <w:unhideWhenUsed/>
    <w:uiPriority w:val="99"/>
    <w:rPr>
      <w:b/>
      <w:bCs/>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ndnote reference"/>
    <w:basedOn w:val="136"/>
    <w:semiHidden/>
    <w:unhideWhenUsed/>
    <w:qFormat/>
    <w:uiPriority w:val="99"/>
    <w:rPr>
      <w:vertAlign w:val="superscript"/>
    </w:rPr>
  </w:style>
  <w:style w:type="character" w:styleId="139">
    <w:name w:val="Emphasis"/>
    <w:basedOn w:val="136"/>
    <w:qFormat/>
    <w:uiPriority w:val="20"/>
    <w:rPr>
      <w:i/>
      <w:iCs/>
    </w:rPr>
  </w:style>
  <w:style w:type="character" w:styleId="140">
    <w:name w:val="annotation reference"/>
    <w:basedOn w:val="136"/>
    <w:semiHidden/>
    <w:unhideWhenUsed/>
    <w:uiPriority w:val="99"/>
    <w:rPr>
      <w:sz w:val="21"/>
      <w:szCs w:val="21"/>
    </w:rPr>
  </w:style>
  <w:style w:type="character" w:customStyle="1" w:styleId="141">
    <w:name w:val="页眉 字符"/>
    <w:basedOn w:val="136"/>
    <w:link w:val="27"/>
    <w:qFormat/>
    <w:uiPriority w:val="99"/>
  </w:style>
  <w:style w:type="character" w:customStyle="1" w:styleId="142">
    <w:name w:val="页脚 字符"/>
    <w:basedOn w:val="136"/>
    <w:link w:val="26"/>
    <w:qFormat/>
    <w:uiPriority w:val="99"/>
  </w:style>
  <w:style w:type="paragraph" w:styleId="143">
    <w:name w:val="No Spacing"/>
    <w:qFormat/>
    <w:uiPriority w:val="1"/>
    <w:rPr>
      <w:rFonts w:asciiTheme="minorHAnsi" w:hAnsiTheme="minorHAnsi" w:eastAsiaTheme="minorEastAsia" w:cstheme="minorBidi"/>
      <w:sz w:val="22"/>
      <w:szCs w:val="22"/>
      <w:lang w:val="en-US" w:eastAsia="en-US" w:bidi="ar-SA"/>
    </w:rPr>
  </w:style>
  <w:style w:type="character" w:customStyle="1" w:styleId="144">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标题 字符"/>
    <w:basedOn w:val="136"/>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正文文本 字符"/>
    <w:basedOn w:val="136"/>
    <w:link w:val="20"/>
    <w:qFormat/>
    <w:uiPriority w:val="99"/>
  </w:style>
  <w:style w:type="character" w:customStyle="1" w:styleId="151">
    <w:name w:val="正文文本 2 字符"/>
    <w:basedOn w:val="136"/>
    <w:link w:val="30"/>
    <w:qFormat/>
    <w:uiPriority w:val="99"/>
  </w:style>
  <w:style w:type="character" w:customStyle="1" w:styleId="152">
    <w:name w:val="正文文本 3 字符"/>
    <w:basedOn w:val="136"/>
    <w:link w:val="18"/>
    <w:qFormat/>
    <w:uiPriority w:val="99"/>
    <w:rPr>
      <w:sz w:val="16"/>
      <w:szCs w:val="16"/>
    </w:rPr>
  </w:style>
  <w:style w:type="character" w:customStyle="1" w:styleId="153">
    <w:name w:val="宏文本 字符"/>
    <w:basedOn w:val="136"/>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引用 字符"/>
    <w:basedOn w:val="136"/>
    <w:link w:val="154"/>
    <w:qFormat/>
    <w:uiPriority w:val="29"/>
    <w:rPr>
      <w:i/>
      <w:iCs/>
      <w:color w:val="000000" w:themeColor="text1"/>
      <w14:textFill>
        <w14:solidFill>
          <w14:schemeClr w14:val="tx1"/>
        </w14:solidFill>
      </w14:textFill>
    </w:rPr>
  </w:style>
  <w:style w:type="character" w:customStyle="1" w:styleId="156">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8">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明显引用 字符"/>
    <w:basedOn w:val="136"/>
    <w:link w:val="162"/>
    <w:qFormat/>
    <w:uiPriority w:val="30"/>
    <w:rPr>
      <w:b/>
      <w:bCs/>
      <w:i/>
      <w:iCs/>
      <w:color w:val="4F81BD" w:themeColor="accent1"/>
      <w14:textFill>
        <w14:solidFill>
          <w14:schemeClr w14:val="accent1"/>
        </w14:solidFill>
      </w14:textFill>
    </w:rPr>
  </w:style>
  <w:style w:type="character" w:customStyle="1" w:styleId="164">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明显强调1"/>
    <w:basedOn w:val="136"/>
    <w:qFormat/>
    <w:uiPriority w:val="21"/>
    <w:rPr>
      <w:b/>
      <w:bCs/>
      <w:i/>
      <w:iCs/>
      <w:color w:val="4F81BD" w:themeColor="accent1"/>
      <w14:textFill>
        <w14:solidFill>
          <w14:schemeClr w14:val="accent1"/>
        </w14:solidFill>
      </w14:textFill>
    </w:rPr>
  </w:style>
  <w:style w:type="character" w:customStyle="1" w:styleId="166">
    <w:name w:val="不明显参考1"/>
    <w:basedOn w:val="136"/>
    <w:qFormat/>
    <w:uiPriority w:val="31"/>
    <w:rPr>
      <w:smallCaps/>
      <w:color w:val="C0504D" w:themeColor="accent2"/>
      <w:u w:val="single"/>
      <w14:textFill>
        <w14:solidFill>
          <w14:schemeClr w14:val="accent2"/>
        </w14:solidFill>
      </w14:textFill>
    </w:rPr>
  </w:style>
  <w:style w:type="character" w:customStyle="1" w:styleId="167">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8">
    <w:name w:val="书籍标题1"/>
    <w:basedOn w:val="136"/>
    <w:qFormat/>
    <w:uiPriority w:val="33"/>
    <w:rPr>
      <w:b/>
      <w:bCs/>
      <w:smallCaps/>
      <w:spacing w:val="5"/>
    </w:rPr>
  </w:style>
  <w:style w:type="paragraph" w:customStyle="1" w:styleId="169">
    <w:name w:val="TOC 标题1"/>
    <w:basedOn w:val="3"/>
    <w:next w:val="1"/>
    <w:semiHidden/>
    <w:unhideWhenUsed/>
    <w:qFormat/>
    <w:uiPriority w:val="39"/>
    <w:pPr>
      <w:outlineLvl w:val="9"/>
    </w:pPr>
  </w:style>
  <w:style w:type="character" w:customStyle="1" w:styleId="170">
    <w:name w:val="批注文字 字符"/>
    <w:basedOn w:val="136"/>
    <w:link w:val="17"/>
    <w:semiHidden/>
    <w:uiPriority w:val="99"/>
    <w:rPr>
      <w:rFonts w:ascii="宋体" w:hAnsi="宋体" w:cstheme="minorBidi"/>
      <w:sz w:val="24"/>
      <w:szCs w:val="22"/>
      <w:lang w:eastAsia="en-US"/>
    </w:rPr>
  </w:style>
  <w:style w:type="character" w:customStyle="1" w:styleId="171">
    <w:name w:val="批注主题 字符"/>
    <w:basedOn w:val="170"/>
    <w:link w:val="35"/>
    <w:semiHidden/>
    <w:uiPriority w:val="99"/>
    <w:rPr>
      <w:rFonts w:ascii="宋体" w:hAnsi="宋体" w:cstheme="minorBidi"/>
      <w:b/>
      <w:bCs/>
      <w:sz w:val="24"/>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1609</Words>
  <Characters>1788</Characters>
  <Lines>156</Lines>
  <Paragraphs>195</Paragraphs>
  <TotalTime>32</TotalTime>
  <ScaleCrop>false</ScaleCrop>
  <LinksUpToDate>false</LinksUpToDate>
  <CharactersWithSpaces>1799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2026-08-05T06:45:00Z</dcterms:created>
  <dc:creator>python-docx</dc:creator>
  <dc:description>generated by python-docx</dc:description>
  <cp:lastModifiedBy>席致远</cp:lastModifiedBy>
  <dcterms:modified xsi:type="dcterms:W3CDTF">2026-08-11T10:28:00Z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eyJoZGlkIjoiNTU0ZmIwYTQ3NzlmZGUxZmU3Zjk0M2IyZTNmM2IxNjAiLCJ1c2VySWQiOiI0MDk4ODk3MzMifQ==</vt:lpwstr>
  </property>
  <property fmtid="{D5CDD505-2E9C-101B-9397-08002B2CF9AE}" pid="3" name="KSOProductBuildVer">
    <vt:lpwstr>2052-12.1.0.26895</vt:lpwstr>
  </property>
  <property fmtid="{D5CDD505-2E9C-101B-9397-08002B2CF9AE}" pid="4" name="ICV">
    <vt:lpwstr>DC8B159B63364B89A7622B9B037A3A80_13</vt:lpwstr>
  </property>
</Properties>
</file>