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09AC">
      <w:pPr>
        <w:pStyle w:val="2"/>
        <w:spacing w:line="360" w:lineRule="auto"/>
        <w:jc w:val="center"/>
      </w:pPr>
      <w:r>
        <w:rPr>
          <w:rFonts w:hint="eastAsia" w:ascii="Times New Roman" w:hAnsi="Times New Roman" w:eastAsia="宋体"/>
        </w:rPr>
        <w:t>多模态大语言模型组合推理中的强化学习方法：奖励信号的演进</w:t>
      </w:r>
    </w:p>
    <w:p w14:paraId="084A7EF2">
      <w:pPr>
        <w:pStyle w:val="3"/>
        <w:jc w:val="center"/>
        <w:rPr>
          <w:rFonts w:hint="eastAsia" w:ascii="宋体" w:hAnsi="宋体" w:cs="宋体"/>
        </w:rPr>
      </w:pPr>
      <w:bookmarkStart w:id="0" w:name="摘要"/>
      <w:r>
        <w:rPr>
          <w:rFonts w:hint="eastAsia" w:ascii="宋体" w:hAnsi="宋体" w:cs="宋体"/>
        </w:rPr>
        <w:t>席致远</w:t>
      </w:r>
    </w:p>
    <w:p w14:paraId="3D29DDB2">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44EE929">
      <w:pPr>
        <w:pStyle w:val="33"/>
        <w:spacing w:line="360" w:lineRule="auto"/>
        <w:ind w:firstLine="482" w:firstLineChars="200"/>
        <w:jc w:val="both"/>
        <w:rPr>
          <w:b/>
          <w:bCs/>
        </w:rPr>
      </w:pPr>
    </w:p>
    <w:p w14:paraId="752C757E">
      <w:pPr>
        <w:pStyle w:val="33"/>
        <w:spacing w:line="360" w:lineRule="auto"/>
        <w:ind w:firstLine="480" w:firstLineChars="200"/>
        <w:jc w:val="both"/>
      </w:pP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w:t>
      </w:r>
      <w:r>
        <w:rPr>
          <w:rFonts w:hint="eastAsia"/>
          <w:color w:val="000000"/>
          <w:lang w:val="en-US" w:eastAsia="zh-CN"/>
        </w:rPr>
        <w:t xml:space="preserve"> ~ </w:t>
      </w:r>
      <w:r>
        <w:rPr>
          <w:rFonts w:hint="eastAsia"/>
          <w:color w:val="000000"/>
        </w:rPr>
        <w:t>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255F92DC">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05164F6">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引言</w:t>
      </w:r>
    </w:p>
    <w:p w14:paraId="68CB24D7">
      <w:pPr>
        <w:pStyle w:val="33"/>
        <w:spacing w:line="360" w:lineRule="auto"/>
        <w:ind w:firstLine="480" w:firstLineChars="200"/>
        <w:jc w:val="both"/>
      </w:pPr>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显示，纯绑定测试（Swap）是其评测的预训练 CLIP 模型的普遍薄弱环节 [3]。这些结果表明，组合推理缺陷是当前 MLLM 的系统性短板。</w:t>
      </w:r>
    </w:p>
    <w:p w14:paraId="61EA158A">
      <w:pPr>
        <w:pStyle w:val="3"/>
        <w:spacing w:line="360" w:lineRule="auto"/>
        <w:ind w:firstLine="480" w:firstLineChars="200"/>
        <w:jc w:val="both"/>
        <w:rPr>
          <w:rFonts w:hint="eastAsia" w:eastAsia="宋体"/>
          <w:lang w:eastAsia="zh-CN"/>
        </w:rPr>
      </w:pP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将组合推理重新设计为答案可自动判分的任务，以规则判定的确定性奖励驱动 RL，论文报告其在组合基准上较原始基线平均提升约 10 个百分点 [4]。由此浮现关键问题：什么样的奖励信号才能真正驱动组合推理能力</w:t>
      </w:r>
      <w:r>
        <w:rPr>
          <w:rFonts w:hint="eastAsia"/>
          <w:color w:val="000000"/>
          <w:lang w:eastAsia="zh-CN"/>
        </w:rPr>
        <w:t>？</w:t>
      </w:r>
    </w:p>
    <w:p w14:paraId="4AE19D03">
      <w:pPr>
        <w:pStyle w:val="3"/>
        <w:spacing w:line="360" w:lineRule="auto"/>
        <w:ind w:firstLine="480" w:firstLineChars="200"/>
        <w:jc w:val="both"/>
      </w:pP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作用对象的扩展（答案→视觉结构→推理过程），三个方向至今并行发展：一类以对最终回答的结构化结果验证为奖励来源（CR³、SpatialThinker、SVQA-R1），一类以回答与视觉语义结构的对齐程度为奖励来源（Ground-R1、GRIT、POLIA），一类将优化信号作用于推理过程本身（Self-Questioning VLM、H-GRPO）。推动演进的深层驱动力，是组合推理“正确性必须可定义”的约束。</w:t>
      </w:r>
    </w:p>
    <w:p w14:paraId="4F98721C">
      <w:pPr>
        <w:pStyle w:val="3"/>
        <w:spacing w:line="360" w:lineRule="auto"/>
        <w:ind w:firstLine="480" w:firstLineChars="200"/>
        <w:jc w:val="both"/>
      </w:pPr>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p w14:paraId="0523060C">
      <w:pPr>
        <w:pStyle w:val="3"/>
        <w:spacing w:line="360" w:lineRule="auto"/>
        <w:ind w:firstLine="480" w:firstLineChars="200"/>
        <w:jc w:val="both"/>
      </w:pPr>
      <w:r>
        <w:rPr>
          <w:rStyle w:val="24"/>
          <w:rFonts w:hint="eastAsia"/>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75183D45">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48B6B47B">
      <w:pPr>
        <w:pStyle w:val="5"/>
        <w:spacing w:line="360" w:lineRule="auto"/>
        <w:jc w:val="both"/>
      </w:pPr>
      <w:bookmarkStart w:id="3" w:name="组合推理的定义与评测基准"/>
      <w:r>
        <w:rPr>
          <w:rFonts w:eastAsia="宋体"/>
        </w:rPr>
        <w:t xml:space="preserve">2.1 </w:t>
      </w:r>
      <w:r>
        <w:rPr>
          <w:rFonts w:hint="eastAsia" w:eastAsia="宋体"/>
        </w:rPr>
        <w:t>组合推理的定义与评测基准</w:t>
      </w:r>
    </w:p>
    <w:p w14:paraId="78DB3B42">
      <w:pPr>
        <w:pStyle w:val="33"/>
        <w:spacing w:line="360" w:lineRule="auto"/>
        <w:ind w:firstLine="480" w:firstLineChars="200"/>
        <w:jc w:val="both"/>
      </w:pP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0F8894A1">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22A06201">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尽管各基准的评测协议不同，失败模式却高度一致：物体识别强于属性绑定，属性强于关系理解，纯粹的绑定（Swap）最难（综合多基准结论）。这为后续 RL 方法提供了明确的优化靶点。但各方法在评测集选择上各行其是，协议互不兼容，导致结果难以横向比较，这一“基准碎片化”问题将在第 4 节讨论。表 1 汇总了上述基准的核心信息。</w:t>
      </w:r>
    </w:p>
    <w:p w14:paraId="3F568F66">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1：组合推理评测基准对比</w:t>
      </w:r>
    </w:p>
    <w:tbl>
      <w:tblPr>
        <w:tblStyle w:val="82"/>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11370E92">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2730F61A">
            <w:pPr>
              <w:pStyle w:val="52"/>
              <w:spacing w:line="360" w:lineRule="auto"/>
              <w:jc w:val="center"/>
              <w:rPr>
                <w:sz w:val="21"/>
                <w:szCs w:val="21"/>
              </w:rPr>
            </w:pPr>
            <w:r>
              <w:rPr>
                <w:rFonts w:hint="eastAsia"/>
                <w:sz w:val="21"/>
                <w:szCs w:val="21"/>
              </w:rPr>
              <w:t>基准</w:t>
            </w:r>
          </w:p>
        </w:tc>
        <w:tc>
          <w:tcPr>
            <w:tcW w:w="1275" w:type="pct"/>
            <w:tcBorders>
              <w:bottom w:val="single" w:color="auto" w:sz="0" w:space="0"/>
              <w:insideH w:val="single" w:sz="0" w:space="0"/>
            </w:tcBorders>
            <w:vAlign w:val="bottom"/>
          </w:tcPr>
          <w:p w14:paraId="65DF3299">
            <w:pPr>
              <w:pStyle w:val="52"/>
              <w:spacing w:line="360" w:lineRule="auto"/>
              <w:jc w:val="center"/>
              <w:rPr>
                <w:sz w:val="21"/>
                <w:szCs w:val="21"/>
              </w:rPr>
            </w:pPr>
            <w:r>
              <w:rPr>
                <w:rFonts w:hint="eastAsia"/>
                <w:sz w:val="21"/>
                <w:szCs w:val="21"/>
              </w:rPr>
              <w:t>子任务维度</w:t>
            </w:r>
          </w:p>
        </w:tc>
        <w:tc>
          <w:tcPr>
            <w:tcW w:w="1220" w:type="pct"/>
            <w:tcBorders>
              <w:bottom w:val="single" w:color="auto" w:sz="0" w:space="0"/>
              <w:insideH w:val="single" w:sz="0" w:space="0"/>
            </w:tcBorders>
            <w:vAlign w:val="bottom"/>
          </w:tcPr>
          <w:p w14:paraId="71091FEA">
            <w:pPr>
              <w:pStyle w:val="52"/>
              <w:spacing w:line="360" w:lineRule="auto"/>
              <w:jc w:val="center"/>
              <w:rPr>
                <w:sz w:val="21"/>
                <w:szCs w:val="21"/>
              </w:rPr>
            </w:pPr>
            <w:r>
              <w:rPr>
                <w:rFonts w:hint="eastAsia"/>
                <w:sz w:val="21"/>
                <w:szCs w:val="21"/>
              </w:rPr>
              <w:t>评测方式</w:t>
            </w:r>
          </w:p>
        </w:tc>
        <w:tc>
          <w:tcPr>
            <w:tcW w:w="609" w:type="pct"/>
            <w:tcBorders>
              <w:bottom w:val="single" w:color="auto" w:sz="0" w:space="0"/>
              <w:insideH w:val="single" w:sz="0" w:space="0"/>
            </w:tcBorders>
            <w:vAlign w:val="bottom"/>
          </w:tcPr>
          <w:p w14:paraId="7186212E">
            <w:pPr>
              <w:pStyle w:val="52"/>
              <w:spacing w:line="360" w:lineRule="auto"/>
              <w:jc w:val="center"/>
              <w:rPr>
                <w:sz w:val="21"/>
                <w:szCs w:val="21"/>
              </w:rPr>
            </w:pPr>
            <w:r>
              <w:rPr>
                <w:rFonts w:hint="eastAsia"/>
                <w:sz w:val="21"/>
                <w:szCs w:val="21"/>
              </w:rPr>
              <w:t>规模</w:t>
            </w:r>
          </w:p>
        </w:tc>
        <w:tc>
          <w:tcPr>
            <w:tcW w:w="1944" w:type="dxa"/>
            <w:tcBorders>
              <w:bottom w:val="single" w:color="auto" w:sz="0" w:space="0"/>
              <w:insideH w:val="single" w:sz="0" w:space="0"/>
            </w:tcBorders>
            <w:vAlign w:val="bottom"/>
          </w:tcPr>
          <w:p w14:paraId="70B76F28">
            <w:pPr>
              <w:pStyle w:val="52"/>
              <w:spacing w:line="360" w:lineRule="auto"/>
              <w:jc w:val="center"/>
              <w:rPr>
                <w:sz w:val="21"/>
                <w:szCs w:val="21"/>
              </w:rPr>
            </w:pPr>
            <w:r>
              <w:rPr>
                <w:rFonts w:hint="eastAsia"/>
                <w:sz w:val="21"/>
                <w:szCs w:val="21"/>
              </w:rPr>
              <w:t>关键发现</w:t>
            </w:r>
          </w:p>
        </w:tc>
      </w:tr>
      <w:tr w14:paraId="54340151">
        <w:tblPrEx>
          <w:tblCellMar>
            <w:top w:w="0" w:type="dxa"/>
            <w:left w:w="108" w:type="dxa"/>
            <w:bottom w:w="0" w:type="dxa"/>
            <w:right w:w="108" w:type="dxa"/>
          </w:tblCellMar>
        </w:tblPrEx>
        <w:tc>
          <w:tcPr>
            <w:tcW w:w="797" w:type="pct"/>
          </w:tcPr>
          <w:p w14:paraId="5D687CFC">
            <w:pPr>
              <w:pStyle w:val="52"/>
              <w:spacing w:line="360" w:lineRule="auto"/>
              <w:jc w:val="center"/>
              <w:rPr>
                <w:sz w:val="21"/>
                <w:szCs w:val="21"/>
              </w:rPr>
            </w:pPr>
            <w:r>
              <w:rPr>
                <w:sz w:val="21"/>
                <w:szCs w:val="21"/>
              </w:rPr>
              <w:t>VALSE</w:t>
            </w:r>
          </w:p>
        </w:tc>
        <w:tc>
          <w:tcPr>
            <w:tcW w:w="1275" w:type="pct"/>
          </w:tcPr>
          <w:p w14:paraId="5AFB2639">
            <w:pPr>
              <w:pStyle w:val="52"/>
              <w:spacing w:line="360" w:lineRule="auto"/>
              <w:jc w:val="center"/>
              <w:rPr>
                <w:sz w:val="21"/>
                <w:szCs w:val="21"/>
              </w:rPr>
            </w:pPr>
            <w:r>
              <w:rPr>
                <w:rFonts w:hint="eastAsia"/>
                <w:sz w:val="21"/>
                <w:szCs w:val="21"/>
              </w:rPr>
              <w:t>存在/复数/计数/空间关系/动作/共指</w:t>
            </w:r>
          </w:p>
        </w:tc>
        <w:tc>
          <w:tcPr>
            <w:tcW w:w="1220" w:type="pct"/>
          </w:tcPr>
          <w:p w14:paraId="3850CB88">
            <w:pPr>
              <w:pStyle w:val="52"/>
              <w:spacing w:line="360" w:lineRule="auto"/>
              <w:jc w:val="center"/>
              <w:rPr>
                <w:sz w:val="21"/>
                <w:szCs w:val="21"/>
              </w:rPr>
            </w:pPr>
            <w:r>
              <w:rPr>
                <w:rFonts w:hint="eastAsia"/>
                <w:sz w:val="21"/>
                <w:szCs w:val="21"/>
              </w:rPr>
              <w:t>真假判断（foiled</w:t>
            </w:r>
            <w:r>
              <w:rPr>
                <w:sz w:val="21"/>
                <w:szCs w:val="21"/>
              </w:rPr>
              <w:t xml:space="preserve"> </w:t>
            </w:r>
            <w:r>
              <w:rPr>
                <w:rFonts w:hint="eastAsia"/>
                <w:sz w:val="21"/>
                <w:szCs w:val="21"/>
              </w:rPr>
              <w:t>instances）</w:t>
            </w:r>
          </w:p>
        </w:tc>
        <w:tc>
          <w:tcPr>
            <w:tcW w:w="609" w:type="pct"/>
          </w:tcPr>
          <w:p w14:paraId="545843A8">
            <w:pPr>
              <w:pStyle w:val="52"/>
              <w:spacing w:line="360" w:lineRule="auto"/>
              <w:jc w:val="center"/>
              <w:rPr>
                <w:sz w:val="21"/>
                <w:szCs w:val="21"/>
              </w:rPr>
            </w:pPr>
            <w:r>
              <w:rPr>
                <w:rFonts w:hint="eastAsia"/>
                <w:sz w:val="21"/>
                <w:szCs w:val="21"/>
              </w:rPr>
              <w:t>6,795 例</w:t>
            </w:r>
          </w:p>
        </w:tc>
        <w:tc>
          <w:tcPr>
            <w:tcW w:w="1944" w:type="dxa"/>
          </w:tcPr>
          <w:p w14:paraId="286C03DF">
            <w:pPr>
              <w:pStyle w:val="52"/>
              <w:spacing w:line="360" w:lineRule="auto"/>
              <w:jc w:val="center"/>
              <w:rPr>
                <w:sz w:val="21"/>
                <w:szCs w:val="21"/>
              </w:rPr>
            </w:pPr>
            <w:r>
              <w:rPr>
                <w:rFonts w:hint="eastAsia"/>
                <w:sz w:val="21"/>
                <w:szCs w:val="21"/>
              </w:rPr>
              <w:t>存在性强、计数尚可；复数/空间/共指/动作偏弱</w:t>
            </w:r>
          </w:p>
        </w:tc>
      </w:tr>
      <w:tr w14:paraId="4556FE78">
        <w:tblPrEx>
          <w:tblCellMar>
            <w:top w:w="0" w:type="dxa"/>
            <w:left w:w="108" w:type="dxa"/>
            <w:bottom w:w="0" w:type="dxa"/>
            <w:right w:w="108" w:type="dxa"/>
          </w:tblCellMar>
        </w:tblPrEx>
        <w:tc>
          <w:tcPr>
            <w:tcW w:w="797" w:type="pct"/>
          </w:tcPr>
          <w:p w14:paraId="2BA9F52D">
            <w:pPr>
              <w:pStyle w:val="52"/>
              <w:spacing w:line="360" w:lineRule="auto"/>
              <w:jc w:val="center"/>
              <w:rPr>
                <w:sz w:val="21"/>
                <w:szCs w:val="21"/>
              </w:rPr>
            </w:pPr>
            <w:r>
              <w:rPr>
                <w:sz w:val="21"/>
                <w:szCs w:val="21"/>
              </w:rPr>
              <w:t>CREPE</w:t>
            </w:r>
          </w:p>
        </w:tc>
        <w:tc>
          <w:tcPr>
            <w:tcW w:w="1275" w:type="pct"/>
          </w:tcPr>
          <w:p w14:paraId="1C4F4A4E">
            <w:pPr>
              <w:pStyle w:val="52"/>
              <w:spacing w:line="360" w:lineRule="auto"/>
              <w:jc w:val="center"/>
              <w:rPr>
                <w:sz w:val="21"/>
                <w:szCs w:val="21"/>
              </w:rPr>
            </w:pPr>
            <w:r>
              <w:rPr>
                <w:rFonts w:hint="eastAsia"/>
                <w:sz w:val="21"/>
                <w:szCs w:val="21"/>
              </w:rPr>
              <w:t>系统性/生产力</w:t>
            </w:r>
          </w:p>
        </w:tc>
        <w:tc>
          <w:tcPr>
            <w:tcW w:w="1220" w:type="pct"/>
          </w:tcPr>
          <w:p w14:paraId="1617689E">
            <w:pPr>
              <w:pStyle w:val="52"/>
              <w:spacing w:line="360" w:lineRule="auto"/>
              <w:jc w:val="center"/>
              <w:rPr>
                <w:sz w:val="21"/>
                <w:szCs w:val="21"/>
              </w:rPr>
            </w:pPr>
            <w:r>
              <w:rPr>
                <w:rFonts w:hint="eastAsia"/>
                <w:sz w:val="21"/>
                <w:szCs w:val="21"/>
              </w:rPr>
              <w:t>检索（seen-unseen</w:t>
            </w:r>
            <w:r>
              <w:rPr>
                <w:sz w:val="21"/>
                <w:szCs w:val="21"/>
              </w:rPr>
              <w:t xml:space="preserve"> splits + </w:t>
            </w:r>
            <w:r>
              <w:rPr>
                <w:rFonts w:hint="eastAsia"/>
                <w:sz w:val="21"/>
                <w:szCs w:val="21"/>
              </w:rPr>
              <w:t>复杂度梯度）</w:t>
            </w:r>
          </w:p>
        </w:tc>
        <w:tc>
          <w:tcPr>
            <w:tcW w:w="609" w:type="pct"/>
          </w:tcPr>
          <w:p w14:paraId="0E1ABC1E">
            <w:pPr>
              <w:pStyle w:val="52"/>
              <w:spacing w:line="360" w:lineRule="auto"/>
              <w:jc w:val="center"/>
              <w:rPr>
                <w:sz w:val="21"/>
                <w:szCs w:val="21"/>
              </w:rPr>
            </w:pPr>
            <w:r>
              <w:rPr>
                <w:sz w:val="21"/>
                <w:szCs w:val="21"/>
              </w:rPr>
              <w:t xml:space="preserve">37 </w:t>
            </w:r>
            <w:r>
              <w:rPr>
                <w:rFonts w:hint="eastAsia"/>
                <w:sz w:val="21"/>
                <w:szCs w:val="21"/>
              </w:rPr>
              <w:t>万级</w:t>
            </w:r>
          </w:p>
        </w:tc>
        <w:tc>
          <w:tcPr>
            <w:tcW w:w="1944" w:type="dxa"/>
          </w:tcPr>
          <w:p w14:paraId="4438A663">
            <w:pPr>
              <w:pStyle w:val="52"/>
              <w:spacing w:line="360" w:lineRule="auto"/>
              <w:jc w:val="center"/>
              <w:rPr>
                <w:sz w:val="21"/>
                <w:szCs w:val="21"/>
              </w:rPr>
            </w:pPr>
            <w:r>
              <w:rPr>
                <w:rFonts w:hint="eastAsia"/>
                <w:sz w:val="21"/>
                <w:szCs w:val="21"/>
              </w:rPr>
              <w:t>缺陷与规模无关</w:t>
            </w:r>
          </w:p>
        </w:tc>
      </w:tr>
      <w:tr w14:paraId="71B77428">
        <w:tblPrEx>
          <w:tblCellMar>
            <w:top w:w="0" w:type="dxa"/>
            <w:left w:w="108" w:type="dxa"/>
            <w:bottom w:w="0" w:type="dxa"/>
            <w:right w:w="108" w:type="dxa"/>
          </w:tblCellMar>
        </w:tblPrEx>
        <w:tc>
          <w:tcPr>
            <w:tcW w:w="797" w:type="pct"/>
          </w:tcPr>
          <w:p w14:paraId="37EEF1AF">
            <w:pPr>
              <w:pStyle w:val="52"/>
              <w:spacing w:line="360" w:lineRule="auto"/>
              <w:jc w:val="center"/>
              <w:rPr>
                <w:sz w:val="21"/>
                <w:szCs w:val="21"/>
              </w:rPr>
            </w:pPr>
            <w:r>
              <w:rPr>
                <w:sz w:val="21"/>
                <w:szCs w:val="21"/>
              </w:rPr>
              <w:t>ARO</w:t>
            </w:r>
          </w:p>
        </w:tc>
        <w:tc>
          <w:tcPr>
            <w:tcW w:w="1275" w:type="pct"/>
          </w:tcPr>
          <w:p w14:paraId="6BBD610B">
            <w:pPr>
              <w:pStyle w:val="52"/>
              <w:spacing w:line="360" w:lineRule="auto"/>
              <w:jc w:val="center"/>
              <w:rPr>
                <w:sz w:val="21"/>
                <w:szCs w:val="21"/>
              </w:rPr>
            </w:pPr>
            <w:r>
              <w:rPr>
                <w:rFonts w:hint="eastAsia"/>
                <w:sz w:val="21"/>
                <w:szCs w:val="21"/>
              </w:rPr>
              <w:t>属性/关系/词序</w:t>
            </w:r>
          </w:p>
        </w:tc>
        <w:tc>
          <w:tcPr>
            <w:tcW w:w="1220" w:type="pct"/>
          </w:tcPr>
          <w:p w14:paraId="631ED59C">
            <w:pPr>
              <w:pStyle w:val="52"/>
              <w:spacing w:line="360" w:lineRule="auto"/>
              <w:jc w:val="center"/>
              <w:rPr>
                <w:sz w:val="21"/>
                <w:szCs w:val="21"/>
              </w:rPr>
            </w:pPr>
            <w:r>
              <w:rPr>
                <w:rFonts w:hint="eastAsia"/>
                <w:sz w:val="21"/>
                <w:szCs w:val="21"/>
              </w:rPr>
              <w:t>检索</w:t>
            </w:r>
          </w:p>
        </w:tc>
        <w:tc>
          <w:tcPr>
            <w:tcW w:w="609" w:type="pct"/>
          </w:tcPr>
          <w:p w14:paraId="70B84401">
            <w:pPr>
              <w:pStyle w:val="52"/>
              <w:spacing w:line="360" w:lineRule="auto"/>
              <w:jc w:val="center"/>
              <w:rPr>
                <w:sz w:val="21"/>
                <w:szCs w:val="21"/>
              </w:rPr>
            </w:pPr>
            <w:r>
              <w:rPr>
                <w:sz w:val="21"/>
                <w:szCs w:val="21"/>
              </w:rPr>
              <w:t xml:space="preserve">5 </w:t>
            </w:r>
            <w:r>
              <w:rPr>
                <w:rFonts w:hint="eastAsia"/>
                <w:sz w:val="21"/>
                <w:szCs w:val="21"/>
              </w:rPr>
              <w:t>万级</w:t>
            </w:r>
          </w:p>
        </w:tc>
        <w:tc>
          <w:tcPr>
            <w:tcW w:w="1944" w:type="dxa"/>
          </w:tcPr>
          <w:p w14:paraId="750DEF23">
            <w:pPr>
              <w:pStyle w:val="52"/>
              <w:spacing w:line="360" w:lineRule="auto"/>
              <w:jc w:val="center"/>
              <w:rPr>
                <w:sz w:val="21"/>
                <w:szCs w:val="21"/>
              </w:rPr>
            </w:pPr>
            <w:r>
              <w:rPr>
                <w:rFonts w:hint="eastAsia"/>
                <w:sz w:val="21"/>
                <w:szCs w:val="21"/>
              </w:rPr>
              <w:t>词袋模型；存在</w:t>
            </w:r>
            <w:r>
              <w:rPr>
                <w:sz w:val="21"/>
                <w:szCs w:val="21"/>
              </w:rPr>
              <w:t xml:space="preserve"> shortcut</w:t>
            </w:r>
          </w:p>
        </w:tc>
      </w:tr>
      <w:tr w14:paraId="4350880F">
        <w:tblPrEx>
          <w:tblCellMar>
            <w:top w:w="0" w:type="dxa"/>
            <w:left w:w="108" w:type="dxa"/>
            <w:bottom w:w="0" w:type="dxa"/>
            <w:right w:w="108" w:type="dxa"/>
          </w:tblCellMar>
        </w:tblPrEx>
        <w:tc>
          <w:tcPr>
            <w:tcW w:w="797" w:type="pct"/>
          </w:tcPr>
          <w:p w14:paraId="75725365">
            <w:pPr>
              <w:pStyle w:val="52"/>
              <w:spacing w:line="360" w:lineRule="auto"/>
              <w:jc w:val="center"/>
              <w:rPr>
                <w:sz w:val="21"/>
                <w:szCs w:val="21"/>
              </w:rPr>
            </w:pPr>
            <w:r>
              <w:rPr>
                <w:sz w:val="21"/>
                <w:szCs w:val="21"/>
              </w:rPr>
              <w:t>SugarCrepe</w:t>
            </w:r>
          </w:p>
        </w:tc>
        <w:tc>
          <w:tcPr>
            <w:tcW w:w="1275" w:type="pct"/>
          </w:tcPr>
          <w:p w14:paraId="14485C4D">
            <w:pPr>
              <w:pStyle w:val="52"/>
              <w:spacing w:line="360" w:lineRule="auto"/>
              <w:jc w:val="center"/>
              <w:rPr>
                <w:sz w:val="21"/>
                <w:szCs w:val="21"/>
              </w:rPr>
            </w:pPr>
            <w:r>
              <w:rPr>
                <w:rFonts w:hint="eastAsia"/>
                <w:sz w:val="21"/>
                <w:szCs w:val="21"/>
              </w:rPr>
              <w:t>Replace：物/属/关系；Swap/Add：物/属</w:t>
            </w:r>
          </w:p>
        </w:tc>
        <w:tc>
          <w:tcPr>
            <w:tcW w:w="1220" w:type="pct"/>
          </w:tcPr>
          <w:p w14:paraId="28A5A382">
            <w:pPr>
              <w:pStyle w:val="52"/>
              <w:spacing w:line="360" w:lineRule="auto"/>
              <w:jc w:val="center"/>
              <w:rPr>
                <w:sz w:val="21"/>
                <w:szCs w:val="21"/>
              </w:rPr>
            </w:pPr>
            <w:r>
              <w:rPr>
                <w:rFonts w:hint="eastAsia"/>
                <w:sz w:val="21"/>
                <w:szCs w:val="21"/>
              </w:rPr>
              <w:t>二选一检索</w:t>
            </w:r>
          </w:p>
        </w:tc>
        <w:tc>
          <w:tcPr>
            <w:tcW w:w="609" w:type="pct"/>
          </w:tcPr>
          <w:p w14:paraId="197D4FE9">
            <w:pPr>
              <w:pStyle w:val="52"/>
              <w:spacing w:line="360" w:lineRule="auto"/>
              <w:jc w:val="center"/>
              <w:rPr>
                <w:sz w:val="21"/>
                <w:szCs w:val="21"/>
              </w:rPr>
            </w:pPr>
            <w:r>
              <w:rPr>
                <w:sz w:val="21"/>
                <w:szCs w:val="21"/>
              </w:rPr>
              <w:t xml:space="preserve">7.5 </w:t>
            </w:r>
            <w:r>
              <w:rPr>
                <w:rFonts w:hint="eastAsia"/>
                <w:sz w:val="21"/>
                <w:szCs w:val="21"/>
              </w:rPr>
              <w:t>千级</w:t>
            </w:r>
          </w:p>
        </w:tc>
        <w:tc>
          <w:tcPr>
            <w:tcW w:w="1944" w:type="dxa"/>
          </w:tcPr>
          <w:p w14:paraId="1F2C5AB5">
            <w:pPr>
              <w:pStyle w:val="52"/>
              <w:spacing w:line="360" w:lineRule="auto"/>
              <w:jc w:val="center"/>
              <w:rPr>
                <w:sz w:val="21"/>
                <w:szCs w:val="21"/>
              </w:rPr>
            </w:pPr>
            <w:r>
              <w:rPr>
                <w:sz w:val="21"/>
                <w:szCs w:val="21"/>
              </w:rPr>
              <w:t>Swap 最难（预训练 CLIP）；物体 &gt; 属性 &gt; 关系</w:t>
            </w:r>
            <w:r>
              <w:rPr>
                <w:rFonts w:hint="eastAsia"/>
                <w:sz w:val="21"/>
                <w:szCs w:val="21"/>
              </w:rPr>
            </w:r>
            <w:r>
              <w:rPr>
                <w:sz w:val="21"/>
                <w:szCs w:val="21"/>
              </w:rPr>
            </w:r>
            <w:r>
              <w:rPr>
                <w:rFonts w:hint="eastAsia"/>
                <w:sz w:val="21"/>
                <w:szCs w:val="21"/>
              </w:rPr>
            </w:r>
            <w:r>
              <w:rPr>
                <w:sz w:val="21"/>
                <w:szCs w:val="21"/>
              </w:rPr>
            </w:r>
            <w:r>
              <w:rPr>
                <w:rFonts w:hint="eastAsia"/>
                <w:sz w:val="21"/>
                <w:szCs w:val="21"/>
              </w:rPr>
            </w:r>
          </w:p>
        </w:tc>
      </w:tr>
      <w:bookmarkEnd w:id="3"/>
    </w:tbl>
    <w:p w14:paraId="49976836">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p>
    <w:p w14:paraId="664B447A">
      <w:pPr>
        <w:pStyle w:val="33"/>
        <w:spacing w:line="360" w:lineRule="auto"/>
        <w:ind w:firstLine="480" w:firstLineChars="200"/>
        <w:jc w:val="both"/>
      </w:pP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3A74F6C8">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2A50B5E8">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w:rPr>
                  <w:rFonts w:ascii="Cambria Math" w:hAnsi="Cambria Math"/>
                </w:rPr>
                <m:t>#(1)</m:t>
              </m:r>
              <m:ctrlPr>
                <w:rPr>
                  <w:rFonts w:ascii="Cambria Math" w:hAnsi="Cambria Math"/>
                </w:rPr>
              </m:ctrlPr>
            </m:e>
          </m:eqArr>
        </m:oMath>
      </m:oMathPara>
    </w:p>
    <w:p w14:paraId="746A217E">
      <w:pPr>
        <w:pStyle w:val="33"/>
        <w:spacing w:line="360" w:lineRule="auto"/>
        <w:jc w:val="both"/>
      </w:pPr>
      <w:r>
        <w:rPr>
          <w:rFonts w:hint="eastAsia"/>
          <w:color w:val="000000"/>
        </w:rPr>
        <w:t>替代 critic 打分，配合确定性规则验证器提供奖励，开辟了“可验证奖励强化学习”（RL with Verifiable Rewards, RLVR；术语由 Tülu 3 提出，经 DeepSeek-R1 推广）路线。一个自然的对照是直接偏好优化（DPO）[10]：它以离线偏好对为原料、无需显式奖励模型，在可验证奖励设定下也可自动构造偏好对；但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661BCE53">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1F747F03">
      <w:pPr>
        <w:pStyle w:val="3"/>
        <w:spacing w:line="360" w:lineRule="auto"/>
        <w:ind w:firstLine="480" w:firstLineChars="200"/>
        <w:jc w:val="both"/>
      </w:pP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4A7DA9BC">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65459AE">
      <w:pPr>
        <w:pStyle w:val="33"/>
        <w:spacing w:line="360" w:lineRule="auto"/>
        <w:ind w:firstLine="480" w:firstLineChars="200"/>
        <w:jc w:val="both"/>
      </w:pPr>
      <w:r>
        <w:rPr>
          <w:rFonts w:hint="eastAsia"/>
          <w:color w:val="000000"/>
        </w:rPr>
        <w:t>根据奖励信号的增量贡献，现有方法可归纳为三类：结果验证奖励、视觉对齐奖励和推理过程奖励，分别对应组合推理中“是否正确”“是否看对”与“是否合理推理”三个层面的优化目标。具体地，判据设计创新（如何判定对错）归入 3.1，信号源创新（奖励依据什么）归入 3.2，优化对象创新（奖励作用于哪里）归入 3.3；各方法继承自 RLVR 底座（如 GRPO 的答案验证）的通用成分不计入分类依据。类别之间体现的是奖励粒度的扩展而非严格的继承关系；本节按三类展开梳理，每篇方法按统一维度（奖励来源、监督需求、组合触及度、评测与局限）呈现，类别间的关系集中于 3.4 节讨论。</w:t>
      </w:r>
    </w:p>
    <w:p w14:paraId="09297141">
      <w:pPr>
        <w:pStyle w:val="5"/>
        <w:spacing w:line="360" w:lineRule="auto"/>
        <w:jc w:val="both"/>
      </w:pPr>
      <w:bookmarkStart w:id="6" w:name="验证器奖励verifier-based"/>
      <w:r>
        <w:rPr>
          <w:rFonts w:hint="eastAsia" w:eastAsia="宋体"/>
          <w:lang w:val="en-US" w:eastAsia="zh-CN"/>
        </w:rPr>
        <w:t>3.1</w:t>
      </w:r>
      <w:r>
        <w:rPr>
          <w:rFonts w:hint="eastAsia" w:eastAsia="宋体"/>
        </w:rPr>
        <w:t>验证器奖励（Verifier-based）</w:t>
      </w:r>
    </w:p>
    <w:p w14:paraId="41D064F0">
      <w:pPr>
        <w:pStyle w:val="33"/>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本文的“验证器”取确定性判据之义，与学习式验证器相对——后者如过程奖励模型（PRM）需标注数据训练获得，本文将其作为向 3.3 过程建模过渡的桥梁在第 3.3 节讨论；判据既可对照外部标准，也可退化为无外部标准的自洽性检查（SVQA-R1 的一致性判据即属此类，是向自监督方向的延伸）。组合推理的错误集中在精细绑定上，而绑定正误在一定任务设计下可以自动判定。围绕“验证什么”，不同工作分别验证最终答案、推理的中间结构与回答的跨视角一致性。</w:t>
      </w:r>
    </w:p>
    <w:p w14:paraId="792D458E">
      <w:pPr>
        <w:pStyle w:val="3"/>
        <w:spacing w:line="360" w:lineRule="auto"/>
        <w:ind w:firstLine="480" w:firstLineChars="200"/>
        <w:jc w:val="both"/>
      </w:pPr>
      <w:r>
        <w:rPr>
          <w:rFonts w:hint="eastAsia"/>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3B1A053E">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w:rPr>
                  <w:rFonts w:ascii="Cambria Math" w:hAnsi="Cambria Math"/>
                  <w:sz w:val="24"/>
                </w:rPr>
                <m:t>#</m:t>
              </m:r>
              <m:r>
                <m:rPr/>
                <w:rPr>
                  <w:rFonts w:hint="default" w:ascii="Cambria Math" w:hAnsi="Cambria Math"/>
                  <w:sz w:val="24"/>
                  <w:lang w:val="en-US" w:eastAsia="zh-CN"/>
                </w:rPr>
                <m:t>(2)</m:t>
              </m:r>
              <m:ctrlPr>
                <w:rPr>
                  <w:rFonts w:hint="default" w:ascii="Cambria Math" w:hAnsi="Cambria Math"/>
                  <w:i/>
                  <w:sz w:val="24"/>
                </w:rPr>
              </m:ctrlPr>
            </m:e>
          </m:eqArr>
        </m:oMath>
      </m:oMathPara>
    </w:p>
    <w:p w14:paraId="1DAEF495">
      <w:pPr>
        <w:pStyle w:val="33"/>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给出答案</w:t>
      </w:r>
      <w:r>
        <w:rPr>
          <w:rFonts w:hint="eastAsia"/>
          <w:color w:val="000000"/>
          <w:lang w:eastAsia="zh-CN"/>
        </w:rPr>
        <w:t>”</w:t>
      </w:r>
      <w:r>
        <w:rPr>
          <w:rFonts w:hint="eastAsia"/>
          <w:color w:val="000000"/>
        </w:rPr>
        <w:t>的格式时取 1（</w:t>
      </w:r>
      <m:oMath>
        <m:r>
          <m:rPr/>
          <w:rPr>
            <w:rFonts w:ascii="Cambria Math" w:hAnsi="Cambria Math"/>
          </w:rPr>
          <m:t>λ</m:t>
        </m:r>
        <m:r>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万），使二元奖励在“整体相似、细节绑定出错”的样本上保持梯度。论文报告 Qwen2.5-VL-7B 与 InternVL3-8B 在三个组合基准上较原始基线平均提升 9.65 个百分点（按表 3 实算；论文正文概括为约 10 点），且无 SFT 常见的领域外退化。</w:t>
      </w:r>
    </w:p>
    <w:p w14:paraId="6129F2EB">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E5AC810">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t>total</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t>fmt</m:t>
                  </m:r>
                  <m:ctrlPr>
                    <w:rPr>
                      <w:rFonts w:ascii="Cambria Math" w:hAnsi="Cambria Math"/>
                    </w:rPr>
                  </m:ctrlPr>
                </m:sub>
              </m:sSub>
              <m:r>
                <m:rPr/>
                <w:rPr>
                  <w:rFonts w:ascii="Cambria Math" w:hAnsi="Cambria Math"/>
                </w:rPr>
                <m:t>=1]</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w:rPr>
                  <w:rFonts w:ascii="Cambria Math" w:hAnsi="Cambria Math"/>
                </w:rPr>
                <m:t>,#(3)</m:t>
              </m:r>
              <m:ctrlPr>
                <w:rPr>
                  <w:rFonts w:ascii="Cambria Math" w:hAnsi="Cambria Math"/>
                </w:rPr>
              </m:ctrlPr>
            </m:e>
          </m:eqArr>
        </m:oMath>
      </m:oMathPara>
    </w:p>
    <w:p w14:paraId="742E9F31">
      <w:pPr>
        <w:pStyle w:val="33"/>
        <w:spacing w:line="360" w:lineRule="auto"/>
        <w:jc w:val="both"/>
      </w:pPr>
      <w:r>
        <w:rPr>
          <w:rFonts w:hint="eastAsia"/>
          <w:color w:val="000000"/>
        </w:rPr>
        <w:t>其中格式分量是硬门槛，空间奖励仅在答案正确时生效，防止模型为刷结构分而牺牲最终答案。论文报告 7B 模型在 14 个基准上平均超越 GPT-4o 4.7 个百分点，但 STVQA-7K 基于 Visual Genome 人工标注构建，框标注质量直接决定空间分量的可靠性。</w:t>
      </w:r>
    </w:p>
    <w:p w14:paraId="6883BCCF">
      <w:pPr>
        <w:pStyle w:val="3"/>
        <w:spacing w:line="360" w:lineRule="auto"/>
        <w:ind w:firstLine="480" w:firstLineChars="200"/>
        <w:jc w:val="both"/>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SVQA-R1 [14] 代表了对</w:t>
      </w:r>
      <w:r>
        <w:rPr>
          <w:rFonts w:hint="eastAsia" w:cs="Times New Roman"/>
          <w:color w:val="000000" w:themeColor="text1"/>
          <w:lang w:eastAsia="zh-CN"/>
          <w14:textFill>
            <w14:solidFill>
              <w14:schemeClr w14:val="tx1"/>
            </w14:solidFill>
          </w14:textFill>
        </w:rPr>
        <w:t>“</w:t>
      </w:r>
      <w:r>
        <w:rPr>
          <w:rFonts w:hint="eastAsia" w:cs="Times New Roman"/>
          <w:color w:val="000000" w:themeColor="text1"/>
          <w14:textFill>
            <w14:solidFill>
              <w14:schemeClr w14:val="tx1"/>
            </w14:solidFill>
          </w14:textFill>
        </w:rPr>
        <w:t>跨视角一致性</w:t>
      </w:r>
      <w:r>
        <w:rPr>
          <w:rFonts w:hint="eastAsia" w:cs="Times New Roman"/>
          <w:color w:val="000000" w:themeColor="text1"/>
          <w:lang w:eastAsia="zh-CN"/>
          <w14:textFill>
            <w14:solidFill>
              <w14:schemeClr w14:val="tx1"/>
            </w14:solidFill>
          </w14:textFill>
        </w:rPr>
        <w:t>”</w:t>
      </w:r>
      <w:r>
        <w:rPr>
          <w:rFonts w:hint="eastAsia" w:cs="Times New Roman"/>
          <w:color w:val="000000" w:themeColor="text1"/>
          <w14:textFill>
            <w14:solidFill>
              <w14:schemeClr w14:val="tx1"/>
            </w14:solidFill>
          </w14:textFill>
        </w:rPr>
        <w:t>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hint="eastAsia" w:cs="Times New Roman"/>
          <w:color w:val="000000" w:themeColor="text1"/>
          <w14:textFill>
            <w14:solidFill>
              <w14:schemeClr w14:val="tx1"/>
            </w14:solidFill>
          </w14:textFill>
        </w:rPr>
        <w:t>）。论文报告 3B 模型在 Q-Spatial++ 上较 SFT(CoT) 基线提升超 30 个百分点（27.72→58.42），验证范围限于水平镜像翻转下的空间问答。</w:t>
      </w:r>
    </w:p>
    <w:p w14:paraId="0E618A41">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00ECB794">
      <w:pPr>
        <w:pStyle w:val="5"/>
        <w:spacing w:line="360" w:lineRule="auto"/>
        <w:jc w:val="both"/>
      </w:pPr>
      <w:bookmarkStart w:id="7" w:name="视觉对齐奖励grounded"/>
      <w:r>
        <w:rPr>
          <w:rFonts w:hint="eastAsia" w:eastAsia="宋体"/>
          <w:lang w:val="en-US" w:eastAsia="zh-CN"/>
        </w:rPr>
        <w:t>3.2</w:t>
      </w:r>
      <w:r>
        <w:rPr>
          <w:rFonts w:hint="eastAsia" w:eastAsia="宋体"/>
        </w:rPr>
        <w:t>视觉对齐奖励（Grounded）</w:t>
      </w:r>
    </w:p>
    <w:p w14:paraId="373D48FA">
      <w:pPr>
        <w:pStyle w:val="33"/>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31D282F">
      <w:pPr>
        <w:pStyle w:val="3"/>
        <w:spacing w:line="360" w:lineRule="auto"/>
        <w:ind w:firstLine="480" w:firstLineChars="200"/>
        <w:jc w:val="both"/>
      </w:pPr>
      <w:r>
        <w:rPr>
          <w:rFonts w:hint="eastAsia"/>
          <w:color w:val="000000"/>
        </w:rPr>
        <w:t>Ground-R1 [15] 是这一方向的起点，证明 RL 下不依赖外部框标注（训练奖励仅含格式与答案验证，证据框由模型自生成）即可驱动模型学会定位证据。两阶段 rollout 中，模型先输出证据框坐标、再基于裁剪出的局部图像作答，对齐信号来自答案对局部图像的依赖，其奖励本身仍是格式与答案验证。论文诊断出标准 GRPO 的全局归一化偏袒大而显著的证据区域，小证据获得持续负优势，故提出尺度相对策略优化（SRPO），按区域面积分箱做桶内/桶间归一化，较标准 GRPO 在 V* 与 HR-4K 上分别提升 2.1 与 1.2 个百分点。SRPO 属归一化机制而非奖励信号设计，却印证了主线上的一个必要条件：对齐奖励要真正生效，不同尺度的证据必须在优势计算中公平竞争，否则信号将被大区域垄断。</w:t>
      </w:r>
    </w:p>
    <w:p w14:paraId="68F11BF9">
      <w:pPr>
        <w:pStyle w:val="3"/>
        <w:spacing w:line="360" w:lineRule="auto"/>
        <w:ind w:firstLine="480" w:firstLineChars="200"/>
        <w:jc w:val="both"/>
      </w:pPr>
      <w:r>
        <w:rPr>
          <w:rFonts w:hint="eastAsia"/>
          <w:color w:val="000000"/>
        </w:rPr>
        <w:t>GRIT [16] 在监督强度上进一步压缩：包围框坐标直接内嵌进思维链</w:t>
      </w:r>
      <w:r>
        <w:rPr>
          <w:rFonts w:hint="eastAsia"/>
        </w:rPr>
        <w:t>（</w:t>
      </w:r>
      <w:r>
        <w:rPr>
          <w:rStyle w:val="27"/>
        </w:rPr>
        <w:t>&lt;think&gt;</w:t>
      </w:r>
      <w:r>
        <w:t>→</w:t>
      </w:r>
      <w:r>
        <w:rPr>
          <w:rStyle w:val="27"/>
        </w:rPr>
        <w:t>&lt;rethink&gt;</w:t>
      </w:r>
      <w:r>
        <w:t>→</w:t>
      </w:r>
      <w:r>
        <w:rPr>
          <w:rStyle w:val="27"/>
        </w:rPr>
        <w:t>&lt;answer&gt;</w:t>
      </w:r>
      <w:r>
        <w:rPr>
          <w:rFonts w:hint="eastAsia"/>
        </w:rPr>
        <w:t>）</w:t>
      </w:r>
      <w:r>
        <w:rPr>
          <w:rFonts w:hint="eastAsia"/>
          <w:color w:val="000000"/>
        </w:rPr>
        <w:t>，训练仅用 20 个图文问答三元组即触发基座模型的 grounded 推理能力。消融还揭示对齐信号须与推理需求挂钩：加入计数奖励后 grounding 质量明显提升（GIoU 0.349→0.387）。但 bbox 终究只是</w:t>
      </w:r>
      <w:r>
        <w:rPr>
          <w:rFonts w:hint="eastAsia"/>
          <w:color w:val="000000"/>
          <w:lang w:eastAsia="zh-CN"/>
        </w:rPr>
        <w:t>“</w:t>
      </w:r>
      <w:r>
        <w:rPr>
          <w:rFonts w:hint="eastAsia"/>
          <w:color w:val="000000"/>
        </w:rPr>
        <w:t>看哪儿</w:t>
      </w:r>
      <w:r>
        <w:rPr>
          <w:rFonts w:hint="eastAsia"/>
          <w:color w:val="000000"/>
          <w:lang w:eastAsia="zh-CN"/>
        </w:rPr>
        <w:t>”</w:t>
      </w:r>
      <w:r>
        <w:rPr>
          <w:rFonts w:hint="eastAsia"/>
          <w:color w:val="000000"/>
        </w:rPr>
        <w:t>的粗略代理，奖励不约束框本身的质量。</w:t>
      </w:r>
    </w:p>
    <w:p w14:paraId="424C485D">
      <w:pPr>
        <w:pStyle w:val="3"/>
        <w:spacing w:line="360" w:lineRule="auto"/>
        <w:ind w:firstLine="480" w:firstLineChars="200"/>
        <w:jc w:val="both"/>
      </w:pPr>
      <w:r>
        <w:rPr>
          <w:rFonts w:hint="eastAsia"/>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t>ext</m:t>
            </m:r>
            <m:ctrlPr>
              <w:rPr>
                <w:rFonts w:ascii="Cambria Math" w:hAnsi="Cambria Math"/>
              </w:rPr>
            </m:ctrlPr>
          </m:sup>
        </m:sSup>
      </m:oMath>
      <w:r>
        <w:rPr>
          <w:rFonts w:hint="eastAsia"/>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t>int</m:t>
            </m:r>
            <m:ctrlPr>
              <w:rPr>
                <w:rFonts w:ascii="Cambria Math" w:hAnsi="Cambria Math"/>
              </w:rPr>
            </m:ctrlPr>
          </m:sup>
        </m:sSup>
      </m:oMath>
      <w:r>
        <w:rPr>
          <w:rFonts w:hint="eastAsia"/>
          <w:color w:val="000000"/>
        </w:rPr>
        <w:t xml:space="preserve"> 先在答案引用的物体集合上按置信度修正奖励，再在组内归一化：</w:t>
      </w:r>
    </w:p>
    <w:p w14:paraId="5C448BA4">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=R(</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,  </m:t>
              </m:r>
              <m:sSubSup>
                <m:sSubSupPr>
                  <m:ctrlPr>
                    <w:rPr>
                      <w:rFonts w:ascii="Cambria Math" w:hAnsi="Cambria Math"/>
                    </w:rPr>
                  </m:ctrlPr>
                </m:sSubSupPr>
                <m:e>
                  <m:r>
                    <m:rPr/>
                    <w:rPr>
                      <w:rFonts w:ascii="Cambria Math" w:hAnsi="Cambria Math"/>
                    </w:rPr>
                    <m:t>i,o</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m:t>
                  </m:r>
                  <m:sSub>
                    <m:sSubPr>
                      <m:ctrlPr>
                        <w:rPr>
                          <w:rFonts w:ascii="Cambria Math" w:hAnsi="Cambria Math"/>
                        </w:rPr>
                      </m:ctrlPr>
                    </m:sSubPr>
                    <m:e>
                      <m:r>
                        <m:rPr/>
                        <m:t>mean</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m:t>
                  </m:r>
                  <m:ctrlPr>
                    <w:rPr>
                      <w:rFonts w:ascii="Cambria Math" w:hAnsi="Cambria Math"/>
                    </w:rPr>
                  </m:ctrlPr>
                </m:num>
                <m:den>
                  <m:sSub>
                    <m:sSubPr>
                      <m:ctrlPr>
                        <w:rPr>
                          <w:rFonts w:ascii="Cambria Math" w:hAnsi="Cambria Math"/>
                        </w:rPr>
                      </m:ctrlPr>
                    </m:sSubPr>
                    <m:e>
                      <m:r>
                        <m:rPr/>
                        <m:t>std</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]+δ</m:t>
                  </m:r>
                  <m:ctrlPr>
                    <w:rPr>
                      <w:rFonts w:ascii="Cambria Math" w:hAnsi="Cambria Math"/>
                    </w:rPr>
                  </m:ctrlPr>
                </m:den>
              </m:f>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i</m:t>
                  </m:r>
                  <m:ctrlPr>
                    <w:rPr>
                      <w:rFonts w:ascii="Cambria Math" w:hAnsi="Cambria Math"/>
                    </w:rPr>
                  </m:ctrlPr>
                </m:e>
                <m:sub>
                  <m:r>
                    <m:rPr/>
                    <m:t>ext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+ω</m:t>
              </m:r>
              <m:sSubSup>
                <m:sSubSupPr>
                  <m:ctrlPr>
                    <w:rPr>
                      <w:rFonts w:ascii="Cambria Math" w:hAnsi="Cambria Math"/>
                    </w:rPr>
                  </m:ctrlPr>
                </m:sSubSupPr>
                <m:e>
                  <m:r>
                    <m:rPr/>
                    <w:rPr>
                      <w:rFonts w:ascii="Cambria Math" w:hAnsi="Cambria Math"/>
                    </w:rPr>
                    <m:t>i</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,#(4)~(6)</m:t>
              </m:r>
              <m:ctrlPr>
                <w:rPr>
                  <w:rFonts w:ascii="Cambria Math" w:hAnsi="Cambria Math"/>
                  <w:i/>
                </w:rPr>
              </m:ctrlPr>
            </m:e>
          </m:eqArr>
        </m:oMath>
      </m:oMathPara>
    </w:p>
    <w:p w14:paraId="6A7E6E48">
      <w:pPr>
        <w:pStyle w:val="33"/>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81.3%，Aint 计算仅耗时 0.002 s，而 Rollout 阶段占训练总时间的 97.24%（基于 POLIA-3B 实测），开销可忽略。同方向的 SAYO [18] 以区域级视觉注意力作为奖励信号，把对齐对象从显式框推广到注意力分布。</w:t>
      </w:r>
    </w:p>
    <w:p w14:paraId="0D179B9A">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该方向的对齐对象覆盖证据区域、思维链内嵌、物体级与显著性分布，监督需求较低：Ground-R1 不依赖外部框标注，GRIT 仅需 20 个问答三元组，POLIA 复用数据集物体标注。但上述工作多在通用/高分辨率 LVLM 与接地、空间问答基准上验证，显式组合基准（如 MMVP、Winoground、SugarCrepe）上的覆盖仍然不足；对齐奖励衡量“是否看对”，而组合推理还要求“是否合理推理”，后者由推理过程优化方向（3.3）处理。</w:t>
      </w:r>
    </w:p>
    <w:bookmarkEnd w:id="7"/>
    <w:p w14:paraId="11538001">
      <w:pPr>
        <w:pStyle w:val="5"/>
        <w:spacing w:line="360" w:lineRule="auto"/>
        <w:jc w:val="both"/>
      </w:pPr>
      <w:bookmarkStart w:id="8" w:name="推理过程优化process"/>
      <w:r>
        <w:rPr>
          <w:rFonts w:hint="eastAsia" w:eastAsia="宋体"/>
          <w:lang w:val="en-US" w:eastAsia="zh-CN"/>
        </w:rPr>
        <w:t>3.3</w:t>
      </w:r>
      <w:r>
        <w:rPr>
          <w:rFonts w:hint="eastAsia" w:eastAsia="宋体"/>
        </w:rPr>
        <w:t>推理过程优化（Process）</w:t>
      </w:r>
    </w:p>
    <w:p w14:paraId="04CF878F">
      <w:pPr>
        <w:pStyle w:val="33"/>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过程奖励模型（学习式验证器，将验证对象从最终答案迁移到推理步骤），在 7 个多模态推理基准上带来 3.7 ~ 8.9 个点提升（3.7~8.4 见摘要；8.9 为 InternVL2.5-26B），但其步骤定义纯文本、无视觉锚定，不覆盖组合绑定（本文观察）。第二步是把证据框等视觉结构锚定进步骤，这正是 H-GRPO 的探索。三篇工作的显式化程度依次递进：VisualPRM 验证步骤（事后打分）、Self-Questioning 约束结构（强制分解）、H-GRPO 建模路径（步骤逐点进入目标函数）。</w:t>
      </w:r>
    </w:p>
    <w:p w14:paraId="4F443687">
      <w:pPr>
        <w:pStyle w:val="3"/>
        <w:spacing w:line="360" w:lineRule="auto"/>
        <w:ind w:firstLine="480" w:firstLineChars="200"/>
        <w:jc w:val="both"/>
      </w:pPr>
      <w:r>
        <w:rPr>
          <w:rFonts w:hint="eastAsia"/>
          <w:color w:val="000000"/>
        </w:rPr>
        <w:t>Self-Questioning VLM [19] 是显式化的最小实现，设计精简到只剩一个格式约束：模型必须按</w:t>
      </w:r>
      <w:r>
        <w:rPr>
          <w:rFonts w:hint="eastAsia"/>
          <w:color w:val="000000"/>
          <w:lang w:eastAsia="zh-CN"/>
        </w:rPr>
        <w:t>“</w:t>
      </w:r>
      <w:r>
        <w:rPr>
          <w:rFonts w:hint="eastAsia"/>
          <w:color w:val="000000"/>
        </w:rPr>
        <w:t>子问题/子答案序列 + 最终答案</w:t>
      </w:r>
      <w:r>
        <w:rPr>
          <w:rFonts w:hint="eastAsia"/>
          <w:color w:val="000000"/>
          <w:lang w:eastAsia="zh-CN"/>
        </w:rPr>
        <w:t>”</w:t>
      </w:r>
      <w:r>
        <w:rPr>
          <w:rFonts w:hint="eastAsia"/>
          <w:color w:val="000000"/>
        </w:rPr>
        <w:t>输出，奖励为二元形式：</w:t>
      </w:r>
    </w:p>
    <w:p w14:paraId="2AAE1E46">
      <w:pPr>
        <w:pStyle w:val="3"/>
        <w:spacing w:line="360" w:lineRule="auto"/>
        <w:jc w:val="both"/>
      </w:pPr>
      <m:oMathPara>
        <m:oMath>
          <m:eqArr>
            <m:eqArrPr>
              <m:maxDist m:val="1"/>
              <m:ctrlPr>
                <w:rPr>
                  <w:rFonts w:ascii="Cambria Math" w:hAnsi="Cambria Math"/>
                  <w:i/>
                </w:rPr>
              </m:ctrlPr>
            </m:eqArrPr>
            <m:e>
              <m:r>
                <m:rPr/>
                <w:rPr>
                  <w:rFonts w:ascii="Cambria Math" w:hAnsi="Cambria Math"/>
                </w:rPr>
                <m:t>R(y,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+1</m:t>
                        </m:r>
                        <m:ctrlPr>
                          <w:rPr>
                            <w:rFonts w:ascii="Cambria Math" w:hAnsi="Cambria Math"/>
                          </w:rPr>
                        </m:ctrlPr>
                      </m:e>
                      <m:e>
                        <m:r>
                          <m:rPr/>
                          <m:t>ifFormat</m:t>
                        </m:r>
                        <m:r>
                          <m:rPr/>
                          <w:rPr>
                            <w:rFonts w:ascii="Cambria Math" w:hAnsi="Cambria Math"/>
                          </w:rPr>
                          <m:t>(y)∧</m:t>
                        </m:r>
                        <m:r>
                          <m:rPr/>
                          <m:t>Correct</m:t>
                        </m:r>
                        <m:r>
                          <m:rPr/>
                          <w:rPr>
                            <w:rFonts w:ascii="Cambria Math" w:hAnsi="Cambria Math"/>
                          </w:rPr>
                          <m:t>(y,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ctrlPr>
                          <w:rPr>
                            <w:rFonts w:ascii="Cambria Math" w:hAnsi="Cambria Math"/>
                          </w:rPr>
                        </m:ctrlPr>
                      </m:e>
                    </m:mr>
                    <m:mr>
                      <m:e>
                        <m:r>
                          <m:rPr/>
                          <w:rPr>
                            <w:rFonts w:ascii="Cambria Math" w:hAnsi="Cambria Math"/>
                          </w:rPr>
                          <m:t>−1</m:t>
                        </m:r>
                        <m:ctrlPr>
                          <w:rPr>
                            <w:rFonts w:ascii="Cambria Math" w:hAnsi="Cambria Math"/>
                          </w:rPr>
                        </m:ctrlPr>
                      </m:e>
                      <m:e>
                        <m:r>
                          <m:rPr/>
                          <m:t>otherwise</m:t>
                        </m:r>
                        <m:r>
                          <m:rPr/>
                          <w:rPr>
                            <w:rFonts w:ascii="Cambria Math" w:hAnsi="Cambria Math"/>
                          </w:rPr>
                          <m:t>,</m:t>
                        </m:r>
                        <m:ctrlPr>
                          <w:rPr>
                            <w:rFonts w:ascii="Cambria Math" w:hAnsi="Cambria Math"/>
                          </w:rPr>
                        </m:ctrlPr>
                      </m:e>
                    </m:mr>
                  </m:m>
                  <m:ctrlPr>
                    <w:rPr>
                      <w:rFonts w:ascii="Cambria Math" w:hAnsi="Cambria Math"/>
                    </w:rPr>
                  </m:ctrlPr>
                </m:e>
              </m:d>
              <m:r>
                <m:rPr/>
                <w:rPr>
                  <w:rFonts w:ascii="Cambria Math" w:hAnsi="Cambria Math"/>
                </w:rPr>
                <m:t>#(7)</m:t>
              </m:r>
              <m:ctrlPr>
                <w:rPr>
                  <w:rFonts w:ascii="Cambria Math" w:hAnsi="Cambria Math"/>
                  <w:i/>
                </w:rPr>
              </m:ctrlPr>
            </m:e>
          </m:eqArr>
        </m:oMath>
      </m:oMathPara>
    </w:p>
    <w:p w14:paraId="1CDAE5CA">
      <w:pPr>
        <w:pStyle w:val="33"/>
        <w:spacing w:line="360" w:lineRule="auto"/>
        <w:ind w:firstLine="480" w:firstLineChars="200"/>
        <w:jc w:val="both"/>
      </w:pPr>
      <w:r>
        <w:rPr>
          <w:rFonts w:hint="eastAsia"/>
          <w:color w:val="000000"/>
        </w:rPr>
        <w:t>子问题质量故意不检查。正是这种“不检查”逼出了分解行为：模型必须自己探索该问什么，A-OKVQA 上基座模型仅 46.8%，标准 RLVR 对照达 51.6%，而本方法达 52.2%；对照模型与本方法的唯一差别就是格式要求，51.6% 到 52.2% 的额外增益可归因于子问题格式约束（46.8% 到 51.6% 的主增益来自 RL 本身）。该</w:t>
      </w:r>
      <w:r>
        <w:rPr>
          <w:rFonts w:hint="eastAsia"/>
          <w:color w:val="000000"/>
          <w:lang w:eastAsia="zh-CN"/>
        </w:rPr>
        <w:t>“</w:t>
      </w:r>
      <w:r>
        <w:rPr>
          <w:rFonts w:hint="eastAsia"/>
          <w:color w:val="000000"/>
        </w:rPr>
        <w:t>格式+答案</w:t>
      </w:r>
      <w:r>
        <w:rPr>
          <w:rFonts w:hint="eastAsia"/>
          <w:color w:val="000000"/>
          <w:lang w:eastAsia="zh-CN"/>
        </w:rPr>
        <w:t>”</w:t>
      </w:r>
      <w:r>
        <w:rPr>
          <w:rFonts w:hint="eastAsia"/>
          <w:color w:val="000000"/>
        </w:rPr>
        <w:t>二元奖励与 3.1 节 CR³ 同源，仅将格式约束细化为显式子问题分解；其过程信号限于结构存在性，模型可能用无意义的问题应付格式。</w:t>
      </w:r>
    </w:p>
    <w:p w14:paraId="51622B87">
      <w:pPr>
        <w:pStyle w:val="3"/>
        <w:spacing w:line="360" w:lineRule="auto"/>
        <w:ind w:firstLine="480" w:firstLineChars="200"/>
        <w:jc w:val="both"/>
      </w:pPr>
      <w:r>
        <w:rPr>
          <w:rFonts w:hint="eastAsia"/>
          <w:color w:val="000000"/>
        </w:rPr>
        <w:t>H-GRPO [20] 则将过程奖励细化到步骤质量，并显式耦合视觉证据：把推理结构化为</w:t>
      </w:r>
      <w:r>
        <w:rPr>
          <w:rFonts w:hint="eastAsia"/>
          <w:color w:val="000000"/>
          <w:lang w:eastAsia="zh-CN"/>
        </w:rPr>
        <w:t>“</w:t>
      </w:r>
      <w:r>
        <w:rPr>
          <w:rFonts w:hint="eastAsia"/>
          <w:color w:val="000000"/>
        </w:rPr>
        <w:t>（子问题，子答案，证据框）</w:t>
      </w:r>
      <w:r>
        <w:rPr>
          <w:rFonts w:hint="eastAsia"/>
          <w:color w:val="000000"/>
          <w:lang w:eastAsia="zh-CN"/>
        </w:rPr>
        <w:t>”</w:t>
      </w:r>
      <w:r>
        <w:rPr>
          <w:rFonts w:hint="eastAsia"/>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color w:val="000000"/>
        </w:rPr>
        <w:t>，预测与参考三元组经匈牙利二分图匹配，相似度矩阵综合证据框兼容性、子问题/子答案语义相似度与框 IoU 四个分量：</w:t>
      </w:r>
    </w:p>
    <w:p w14:paraId="3FFFF610">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r>
                    <m:rPr/>
                    <m:t>IoU</m:t>
                  </m:r>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ctrlPr>
                    <w:rPr>
                      <w:rFonts w:ascii="Cambria Math" w:hAnsi="Cambria Math"/>
                    </w:rPr>
                  </m:ctrlPr>
                </m:e>
              </m:d>
              <m:r>
                <m:rPr/>
                <w:rPr>
                  <w:rFonts w:ascii="Cambria Math" w:hAnsi="Cambria Math"/>
                </w:rPr>
                <m:t>,#(8)</m:t>
              </m:r>
              <m:ctrlPr>
                <w:rPr>
                  <w:rFonts w:ascii="Cambria Math" w:hAnsi="Cambria Math"/>
                  <w:i/>
                </w:rPr>
              </m:ctrlPr>
            </m:e>
          </m:eqArr>
        </m:oMath>
      </m:oMathPara>
    </w:p>
    <w:p w14:paraId="15347FC9">
      <w:pPr>
        <w:pStyle w:val="33"/>
        <w:spacing w:line="360" w:lineRule="auto"/>
        <w:jc w:val="both"/>
      </w:pPr>
      <w:r>
        <w:rPr>
          <w:rFonts w:hint="eastAsia"/>
          <w:color w:val="000000"/>
        </w:rPr>
        <w:t xml:space="preserve">其中 </w:t>
      </w:r>
      <m:oMath>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oMath>
      <w:r>
        <w:rPr>
          <w:rFonts w:hint="eastAsia"/>
          <w:color w:val="000000"/>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00505C57">
      <w:pPr>
        <w:pStyle w:val="3"/>
        <w:spacing w:line="360" w:lineRule="auto"/>
        <w:jc w:val="both"/>
      </w:pPr>
      <m:oMathPara>
        <m:oMath>
          <m:eqArr>
            <m:eqArrPr>
              <m:maxDist m:val="1"/>
              <m:ctrlPr>
                <w:rPr>
                  <w:rFonts w:ascii="Cambria Math" w:hAnsi="Cambria Math"/>
                </w:rPr>
              </m:ctrlPr>
            </m:eqArrPr>
            <m:e>
              <m:r>
                <m:rPr/>
                <w:rPr>
                  <w:rFonts w:ascii="Cambria Math" w:hAnsi="Cambria Math"/>
                </w:rPr>
                <m:t>ℛ=α</m:t>
              </m:r>
              <m:sSub>
                <m:sSubPr>
                  <m:ctrlPr>
                    <w:rPr>
                      <w:rFonts w:ascii="Cambria Math" w:hAnsi="Cambria Math"/>
                    </w:rPr>
                  </m:ctrlPr>
                </m:sSubPr>
                <m:e>
                  <m:r>
                    <m:rPr/>
                    <w:rPr>
                      <w:rFonts w:ascii="Cambria Math" w:hAnsi="Cambria Math"/>
                    </w:rPr>
                    <m:t>ℛ</m:t>
                  </m:r>
                  <m:ctrlPr>
                    <w:rPr>
                      <w:rFonts w:ascii="Cambria Math" w:hAnsi="Cambria Math"/>
                    </w:rPr>
                  </m:ctrlPr>
                </m:e>
                <m:sub>
                  <m:r>
                    <m:rPr/>
                    <m:t>fmt</m:t>
                  </m:r>
                  <m:ctrlPr>
                    <w:rPr>
                      <w:rFonts w:ascii="Cambria Math" w:hAnsi="Cambria Math"/>
                    </w:rPr>
                  </m:ctrlPr>
                </m:sub>
              </m:sSub>
              <m:r>
                <m:rPr/>
                <w:rPr>
                  <w:rFonts w:ascii="Cambria Math" w:hAnsi="Cambria Math"/>
                </w:rPr>
                <m:t>+β</m:t>
              </m:r>
              <m:sSub>
                <m:sSubPr>
                  <m:ctrlPr>
                    <w:rPr>
                      <w:rFonts w:ascii="Cambria Math" w:hAnsi="Cambria Math"/>
                    </w:rPr>
                  </m:ctrlPr>
                </m:sSubPr>
                <m:e>
                  <m:r>
                    <m:rPr/>
                    <w:rPr>
                      <w:rFonts w:ascii="Cambria Math" w:hAnsi="Cambria Math"/>
                    </w:rPr>
                    <m:t>ℛ</m:t>
                  </m:r>
                  <m:ctrlPr>
                    <w:rPr>
                      <w:rFonts w:ascii="Cambria Math" w:hAnsi="Cambria Math"/>
                    </w:rPr>
                  </m:ctrlPr>
                </m:e>
                <m:sub>
                  <m:r>
                    <m:rPr/>
                    <m:t>ans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ℛ</m:t>
                  </m:r>
                  <m:ctrlPr>
                    <w:rPr>
                      <w:rFonts w:ascii="Cambria Math" w:hAnsi="Cambria Math"/>
                    </w:rPr>
                  </m:ctrlPr>
                </m:e>
                <m:sub>
                  <m:r>
                    <m:rPr/>
                    <m:t>HS</m:t>
                  </m:r>
                  <m:ctrlPr>
                    <w:rPr>
                      <w:rFonts w:ascii="Cambria Math" w:hAnsi="Cambria Math"/>
                    </w:rPr>
                  </m:ctrlPr>
                </m:sub>
              </m:sSub>
              <m:r>
                <m:rPr/>
                <w:rPr>
                  <w:rFonts w:ascii="Cambria Math" w:hAnsi="Cambria Math"/>
                </w:rPr>
                <m:t>,#(9)</m:t>
              </m:r>
              <m:ctrlPr>
                <w:rPr>
                  <w:rFonts w:ascii="Cambria Math" w:hAnsi="Cambria Math"/>
                </w:rPr>
              </m:ctrlPr>
            </m:e>
          </m:eqArr>
        </m:oMath>
      </m:oMathPara>
    </w:p>
    <w:p w14:paraId="79491577">
      <w:pPr>
        <w:pStyle w:val="33"/>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73.4%），但参考推理链的质量决定奖励上限（参考链经人工验证）。</w:t>
      </w:r>
    </w:p>
    <w:p w14:paraId="2CFE6A8B">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123148FE">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00DD21E1">
      <w:pPr>
        <w:pStyle w:val="33"/>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如图 1 所示）。从提出时间看，三类方法并未呈现严格的先后递进：结果验证与视觉对齐方向的代表工作自 2025 年中期至 2026 年间相继出现，过程优化方向以 VisualPRM [12]（2025 年 3 月）为过程建模先声、Self-Questioning [19] 与 H-GRPO [20] 集中于 2026 年中，三个方向的活跃期相互重叠。此外，直接以组合推理为优化对象的研究目前仍属少数，多数方法以显式组合基准</w:t>
      </w:r>
      <w:r>
        <w:rPr>
          <w:rFonts w:hint="eastAsia"/>
          <w:color w:val="000000"/>
          <w:lang w:eastAsia="zh-CN"/>
        </w:rPr>
        <w:t>、</w:t>
      </w:r>
      <w:r>
        <w:rPr>
          <w:rFonts w:hint="eastAsia"/>
          <w:color w:val="000000"/>
        </w:rPr>
        <w:t>空间推理或通用 VQA 基准为评测载体，本文按奖励设计的增量贡献（见 3 节开头）而非评测载体归类，各方法的组合参考价值与评测局限详见 4.3 节。“演进”指设计空间的维度扩展而非时间上的先后淘汰。表 2 汇总类别层面的对比；表 3 与表 4 分别给出逐方法的奖励粒度刻度与实验设置。即便在方法层面，三个方向也存在互相借鉴：H-GRPO 的“答案奖励×匈牙利门控”融合了结果验证与过程匹配，POLIA [17] 的物体级优势同样依赖答案级判据的引导，类别不是封闭的抽屉。</w:t>
      </w:r>
    </w:p>
    <w:p w14:paraId="33B862E2">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2：方法分类对比表</w:t>
      </w:r>
    </w:p>
    <w:tbl>
      <w:tblPr>
        <w:tblStyle w:val="82"/>
        <w:tblW w:w="5000" w:type="pct"/>
        <w:tblInd w:w="0" w:type="dxa"/>
        <w:tblLayout w:type="fixed"/>
        <w:tblCellMar>
          <w:top w:w="0" w:type="dxa"/>
          <w:left w:w="108" w:type="dxa"/>
          <w:bottom w:w="0" w:type="dxa"/>
          <w:right w:w="108" w:type="dxa"/>
        </w:tblCellMar>
      </w:tblPr>
      <w:tblGrid>
        <w:gridCol w:w="1861"/>
        <w:gridCol w:w="2256"/>
        <w:gridCol w:w="2374"/>
        <w:gridCol w:w="2149"/>
      </w:tblGrid>
      <w:tr w14:paraId="05E4B059">
        <w:tblPrEx>
          <w:tblCellMar>
            <w:top w:w="0" w:type="dxa"/>
            <w:left w:w="108" w:type="dxa"/>
            <w:bottom w:w="0" w:type="dxa"/>
            <w:right w:w="108" w:type="dxa"/>
          </w:tblCellMar>
        </w:tblPrEx>
        <w:trPr>
          <w:tblHeader/>
        </w:trPr>
        <w:tc>
          <w:tcPr>
            <w:tcW w:w="1861" w:type="dxa"/>
            <w:tcBorders>
              <w:bottom w:val="single" w:color="auto" w:sz="0" w:space="0"/>
              <w:insideH w:val="single" w:sz="0" w:space="0"/>
            </w:tcBorders>
            <w:vAlign w:val="bottom"/>
          </w:tcPr>
          <w:p w14:paraId="6B8E340E">
            <w:pPr>
              <w:pStyle w:val="52"/>
              <w:spacing w:line="360" w:lineRule="auto"/>
              <w:jc w:val="both"/>
              <w:rPr>
                <w:sz w:val="21"/>
                <w:szCs w:val="21"/>
              </w:rPr>
            </w:pPr>
            <w:r>
              <w:rPr>
                <w:rFonts w:hint="eastAsia"/>
                <w:sz w:val="21"/>
                <w:szCs w:val="21"/>
              </w:rPr>
              <w:t>维度</w:t>
            </w:r>
          </w:p>
        </w:tc>
        <w:tc>
          <w:tcPr>
            <w:tcW w:w="2256" w:type="dxa"/>
            <w:tcBorders>
              <w:bottom w:val="single" w:color="auto" w:sz="0" w:space="0"/>
              <w:insideH w:val="single" w:sz="0" w:space="0"/>
            </w:tcBorders>
            <w:vAlign w:val="bottom"/>
          </w:tcPr>
          <w:p w14:paraId="6705CBB5">
            <w:pPr>
              <w:pStyle w:val="52"/>
              <w:spacing w:line="360" w:lineRule="auto"/>
              <w:jc w:val="both"/>
              <w:rPr>
                <w:sz w:val="21"/>
                <w:szCs w:val="21"/>
              </w:rPr>
            </w:pPr>
            <w:r>
              <w:rPr>
                <w:rFonts w:hint="eastAsia"/>
                <w:sz w:val="21"/>
                <w:szCs w:val="21"/>
              </w:rPr>
              <w:t>验证器奖励</w:t>
            </w:r>
          </w:p>
        </w:tc>
        <w:tc>
          <w:tcPr>
            <w:tcW w:w="2374" w:type="dxa"/>
            <w:tcBorders>
              <w:bottom w:val="single" w:color="auto" w:sz="0" w:space="0"/>
              <w:insideH w:val="single" w:sz="0" w:space="0"/>
            </w:tcBorders>
            <w:vAlign w:val="bottom"/>
          </w:tcPr>
          <w:p w14:paraId="72F8450A">
            <w:pPr>
              <w:pStyle w:val="52"/>
              <w:spacing w:line="360" w:lineRule="auto"/>
              <w:jc w:val="both"/>
              <w:rPr>
                <w:sz w:val="21"/>
                <w:szCs w:val="21"/>
              </w:rPr>
            </w:pPr>
            <w:r>
              <w:rPr>
                <w:rFonts w:hint="eastAsia"/>
                <w:sz w:val="21"/>
                <w:szCs w:val="21"/>
              </w:rPr>
              <w:t>视觉对齐奖励</w:t>
            </w:r>
          </w:p>
        </w:tc>
        <w:tc>
          <w:tcPr>
            <w:tcW w:w="2149" w:type="dxa"/>
            <w:tcBorders>
              <w:bottom w:val="single" w:color="auto" w:sz="0" w:space="0"/>
              <w:insideH w:val="single" w:sz="0" w:space="0"/>
            </w:tcBorders>
            <w:vAlign w:val="bottom"/>
          </w:tcPr>
          <w:p w14:paraId="2B288684">
            <w:pPr>
              <w:pStyle w:val="52"/>
              <w:spacing w:line="360" w:lineRule="auto"/>
              <w:jc w:val="both"/>
              <w:rPr>
                <w:sz w:val="21"/>
                <w:szCs w:val="21"/>
              </w:rPr>
            </w:pPr>
            <w:r>
              <w:rPr>
                <w:rFonts w:hint="eastAsia"/>
                <w:sz w:val="21"/>
                <w:szCs w:val="21"/>
              </w:rPr>
              <w:t>推理过程优化</w:t>
            </w:r>
          </w:p>
        </w:tc>
      </w:tr>
      <w:tr w14:paraId="67C4E753">
        <w:tblPrEx>
          <w:tblCellMar>
            <w:top w:w="0" w:type="dxa"/>
            <w:left w:w="108" w:type="dxa"/>
            <w:bottom w:w="0" w:type="dxa"/>
            <w:right w:w="108" w:type="dxa"/>
          </w:tblCellMar>
        </w:tblPrEx>
        <w:tc>
          <w:tcPr>
            <w:tcW w:w="1861" w:type="dxa"/>
          </w:tcPr>
          <w:p w14:paraId="50F4AC0B">
            <w:pPr>
              <w:pStyle w:val="52"/>
              <w:spacing w:line="360" w:lineRule="auto"/>
              <w:jc w:val="both"/>
              <w:rPr>
                <w:sz w:val="21"/>
                <w:szCs w:val="21"/>
              </w:rPr>
            </w:pPr>
            <w:r>
              <w:rPr>
                <w:rFonts w:hint="eastAsia"/>
                <w:sz w:val="21"/>
                <w:szCs w:val="21"/>
              </w:rPr>
              <w:t>奖励信号来源</w:t>
            </w:r>
          </w:p>
        </w:tc>
        <w:tc>
          <w:tcPr>
            <w:tcW w:w="2256" w:type="dxa"/>
          </w:tcPr>
          <w:p w14:paraId="096C3211">
            <w:pPr>
              <w:pStyle w:val="52"/>
              <w:spacing w:line="360" w:lineRule="auto"/>
              <w:jc w:val="both"/>
              <w:rPr>
                <w:sz w:val="21"/>
                <w:szCs w:val="21"/>
              </w:rPr>
            </w:pPr>
            <w:r>
              <w:rPr>
                <w:rFonts w:hint="eastAsia"/>
                <w:sz w:val="21"/>
                <w:szCs w:val="21"/>
              </w:rPr>
              <w:t>结果验证（规则/图结构/视图一致性）</w:t>
            </w:r>
          </w:p>
        </w:tc>
        <w:tc>
          <w:tcPr>
            <w:tcW w:w="2374" w:type="dxa"/>
          </w:tcPr>
          <w:p w14:paraId="7FC279CF">
            <w:pPr>
              <w:pStyle w:val="52"/>
              <w:spacing w:line="360" w:lineRule="auto"/>
              <w:jc w:val="both"/>
              <w:rPr>
                <w:sz w:val="21"/>
                <w:szCs w:val="21"/>
              </w:rPr>
            </w:pPr>
            <w:r>
              <w:rPr>
                <w:rFonts w:hint="eastAsia"/>
                <w:sz w:val="21"/>
                <w:szCs w:val="21"/>
              </w:rPr>
              <w:t>回答-视觉语义结构对齐度</w:t>
            </w:r>
          </w:p>
        </w:tc>
        <w:tc>
          <w:tcPr>
            <w:tcW w:w="2149" w:type="dxa"/>
          </w:tcPr>
          <w:p w14:paraId="7AE34156">
            <w:pPr>
              <w:pStyle w:val="52"/>
              <w:spacing w:line="360" w:lineRule="auto"/>
              <w:jc w:val="both"/>
              <w:rPr>
                <w:sz w:val="21"/>
                <w:szCs w:val="21"/>
              </w:rPr>
            </w:pPr>
            <w:r>
              <w:rPr>
                <w:rFonts w:hint="eastAsia"/>
                <w:sz w:val="21"/>
                <w:szCs w:val="21"/>
              </w:rPr>
              <w:t>过程结构/步骤信用分配</w:t>
            </w:r>
          </w:p>
        </w:tc>
      </w:tr>
      <w:tr w14:paraId="4F54457B">
        <w:tblPrEx>
          <w:tblCellMar>
            <w:top w:w="0" w:type="dxa"/>
            <w:left w:w="108" w:type="dxa"/>
            <w:bottom w:w="0" w:type="dxa"/>
            <w:right w:w="108" w:type="dxa"/>
          </w:tblCellMar>
        </w:tblPrEx>
        <w:tc>
          <w:tcPr>
            <w:tcW w:w="1861" w:type="dxa"/>
          </w:tcPr>
          <w:p w14:paraId="1620B92B">
            <w:pPr>
              <w:pStyle w:val="52"/>
              <w:spacing w:line="360" w:lineRule="auto"/>
              <w:jc w:val="both"/>
              <w:rPr>
                <w:sz w:val="21"/>
                <w:szCs w:val="21"/>
              </w:rPr>
            </w:pPr>
            <w:r>
              <w:rPr>
                <w:rFonts w:hint="eastAsia"/>
                <w:sz w:val="21"/>
                <w:szCs w:val="21"/>
              </w:rPr>
              <w:t>奖励粒度（典型刻度）</w:t>
            </w:r>
          </w:p>
        </w:tc>
        <w:tc>
          <w:tcPr>
            <w:tcW w:w="2256" w:type="dxa"/>
          </w:tcPr>
          <w:p w14:paraId="256F4E2B">
            <w:pPr>
              <w:pStyle w:val="52"/>
              <w:spacing w:line="360" w:lineRule="auto"/>
              <w:jc w:val="both"/>
              <w:rPr>
                <w:sz w:val="21"/>
                <w:szCs w:val="21"/>
              </w:rPr>
            </w:pPr>
            <w:r>
              <w:rPr>
                <w:rFonts w:hint="eastAsia"/>
                <w:sz w:val="21"/>
                <w:szCs w:val="21"/>
              </w:rPr>
              <w:t>答案级</w:t>
            </w:r>
            <w:r>
              <w:rPr>
                <w:sz w:val="21"/>
                <w:szCs w:val="21"/>
              </w:rPr>
              <w:t xml:space="preserve"> → </w:t>
            </w:r>
            <w:r>
              <w:rPr>
                <w:rFonts w:hint="eastAsia"/>
                <w:sz w:val="21"/>
                <w:szCs w:val="21"/>
              </w:rPr>
              <w:t>结构/一致性级</w:t>
            </w:r>
          </w:p>
        </w:tc>
        <w:tc>
          <w:tcPr>
            <w:tcW w:w="2374" w:type="dxa"/>
          </w:tcPr>
          <w:p w14:paraId="0BD55B47">
            <w:pPr>
              <w:pStyle w:val="52"/>
              <w:spacing w:line="360" w:lineRule="auto"/>
              <w:jc w:val="both"/>
              <w:rPr>
                <w:sz w:val="21"/>
                <w:szCs w:val="21"/>
              </w:rPr>
            </w:pPr>
            <w:r>
              <w:rPr>
                <w:rFonts w:hint="eastAsia"/>
                <w:sz w:val="21"/>
                <w:szCs w:val="21"/>
              </w:rPr>
              <w:t>区域级</w:t>
            </w:r>
            <w:r>
              <w:rPr>
                <w:sz w:val="21"/>
                <w:szCs w:val="21"/>
              </w:rPr>
              <w:t xml:space="preserve"> → </w:t>
            </w:r>
            <w:r>
              <w:rPr>
                <w:rFonts w:hint="eastAsia"/>
                <w:sz w:val="21"/>
                <w:szCs w:val="21"/>
              </w:rPr>
              <w:t>物体级</w:t>
            </w:r>
            <w:r>
              <w:rPr>
                <w:sz w:val="21"/>
                <w:szCs w:val="21"/>
              </w:rPr>
              <w:t xml:space="preserve"> → </w:t>
            </w:r>
            <w:r>
              <w:rPr>
                <w:rFonts w:hint="eastAsia"/>
                <w:sz w:val="21"/>
                <w:szCs w:val="21"/>
              </w:rPr>
              <w:t>显著性级</w:t>
            </w:r>
          </w:p>
        </w:tc>
        <w:tc>
          <w:tcPr>
            <w:tcW w:w="2149" w:type="dxa"/>
          </w:tcPr>
          <w:p w14:paraId="0E31A0FD">
            <w:pPr>
              <w:pStyle w:val="52"/>
              <w:spacing w:line="360" w:lineRule="auto"/>
              <w:jc w:val="both"/>
              <w:rPr>
                <w:sz w:val="21"/>
                <w:szCs w:val="21"/>
              </w:rPr>
            </w:pPr>
            <w:r>
              <w:rPr>
                <w:rFonts w:hint="eastAsia"/>
                <w:sz w:val="21"/>
                <w:szCs w:val="21"/>
              </w:rPr>
              <w:t>子问题级</w:t>
            </w:r>
            <w:r>
              <w:rPr>
                <w:sz w:val="21"/>
                <w:szCs w:val="21"/>
              </w:rPr>
              <w:t xml:space="preserve"> → </w:t>
            </w:r>
            <w:r>
              <w:rPr>
                <w:rFonts w:hint="eastAsia"/>
                <w:sz w:val="21"/>
                <w:szCs w:val="21"/>
              </w:rPr>
              <w:t>步骤+证据级</w:t>
            </w:r>
          </w:p>
        </w:tc>
      </w:tr>
      <w:tr w14:paraId="418B18E7">
        <w:tblPrEx>
          <w:tblCellMar>
            <w:top w:w="0" w:type="dxa"/>
            <w:left w:w="108" w:type="dxa"/>
            <w:bottom w:w="0" w:type="dxa"/>
            <w:right w:w="108" w:type="dxa"/>
          </w:tblCellMar>
        </w:tblPrEx>
        <w:tc>
          <w:tcPr>
            <w:tcW w:w="1861" w:type="dxa"/>
          </w:tcPr>
          <w:p w14:paraId="17626C01">
            <w:pPr>
              <w:pStyle w:val="52"/>
              <w:spacing w:line="360" w:lineRule="auto"/>
              <w:jc w:val="both"/>
              <w:rPr>
                <w:sz w:val="21"/>
                <w:szCs w:val="21"/>
              </w:rPr>
            </w:pPr>
            <w:r>
              <w:rPr>
                <w:rFonts w:hint="eastAsia"/>
                <w:sz w:val="21"/>
                <w:szCs w:val="21"/>
              </w:rPr>
              <w:t>是否触及组合绑定</w:t>
            </w:r>
          </w:p>
        </w:tc>
        <w:tc>
          <w:tcPr>
            <w:tcW w:w="2256" w:type="dxa"/>
          </w:tcPr>
          <w:p w14:paraId="71A50AC5">
            <w:pPr>
              <w:pStyle w:val="52"/>
              <w:spacing w:line="360" w:lineRule="auto"/>
              <w:jc w:val="both"/>
              <w:rPr>
                <w:sz w:val="21"/>
                <w:szCs w:val="21"/>
              </w:rPr>
            </w:pPr>
            <w:r>
              <w:rPr>
                <w:rFonts w:hint="eastAsia"/>
                <w:sz w:val="21"/>
                <w:szCs w:val="21"/>
              </w:rPr>
              <w:t>间接（验证绑定结果）</w:t>
            </w:r>
          </w:p>
        </w:tc>
        <w:tc>
          <w:tcPr>
            <w:tcW w:w="2374" w:type="dxa"/>
          </w:tcPr>
          <w:p w14:paraId="5814C5A1">
            <w:pPr>
              <w:pStyle w:val="52"/>
              <w:spacing w:line="360" w:lineRule="auto"/>
              <w:jc w:val="both"/>
              <w:rPr>
                <w:sz w:val="21"/>
                <w:szCs w:val="21"/>
              </w:rPr>
            </w:pPr>
            <w:r>
              <w:rPr>
                <w:rFonts w:hint="eastAsia"/>
                <w:sz w:val="21"/>
                <w:szCs w:val="21"/>
              </w:rPr>
              <w:t>直接（绑定到视觉证据）</w:t>
            </w:r>
          </w:p>
        </w:tc>
        <w:tc>
          <w:tcPr>
            <w:tcW w:w="2149" w:type="dxa"/>
          </w:tcPr>
          <w:p w14:paraId="46563E7A">
            <w:pPr>
              <w:pStyle w:val="52"/>
              <w:spacing w:line="360" w:lineRule="auto"/>
              <w:jc w:val="both"/>
              <w:rPr>
                <w:sz w:val="21"/>
                <w:szCs w:val="21"/>
              </w:rPr>
            </w:pPr>
            <w:r>
              <w:rPr>
                <w:rFonts w:hint="eastAsia"/>
                <w:sz w:val="21"/>
                <w:szCs w:val="21"/>
              </w:rPr>
              <w:t>间接（过程正确性）</w:t>
            </w:r>
          </w:p>
        </w:tc>
      </w:tr>
      <w:tr w14:paraId="12D8BE16">
        <w:tblPrEx>
          <w:tblCellMar>
            <w:top w:w="0" w:type="dxa"/>
            <w:left w:w="108" w:type="dxa"/>
            <w:bottom w:w="0" w:type="dxa"/>
            <w:right w:w="108" w:type="dxa"/>
          </w:tblCellMar>
        </w:tblPrEx>
        <w:tc>
          <w:tcPr>
            <w:tcW w:w="1861" w:type="dxa"/>
          </w:tcPr>
          <w:p w14:paraId="362173F3">
            <w:pPr>
              <w:pStyle w:val="52"/>
              <w:spacing w:line="360" w:lineRule="auto"/>
              <w:jc w:val="both"/>
              <w:rPr>
                <w:sz w:val="21"/>
                <w:szCs w:val="21"/>
              </w:rPr>
            </w:pPr>
            <w:r>
              <w:rPr>
                <w:rFonts w:hint="eastAsia"/>
                <w:sz w:val="21"/>
                <w:szCs w:val="21"/>
              </w:rPr>
              <w:t>代表工作</w:t>
            </w:r>
          </w:p>
        </w:tc>
        <w:tc>
          <w:tcPr>
            <w:tcW w:w="2256" w:type="dxa"/>
          </w:tcPr>
          <w:p w14:paraId="79D27EB7">
            <w:pPr>
              <w:pStyle w:val="52"/>
              <w:spacing w:line="360" w:lineRule="auto"/>
              <w:jc w:val="both"/>
              <w:rPr>
                <w:sz w:val="21"/>
                <w:szCs w:val="21"/>
              </w:rPr>
            </w:pPr>
            <w:r>
              <w:rPr>
                <w:sz w:val="21"/>
                <w:szCs w:val="21"/>
              </w:rPr>
              <w:t>CR³ / SpatialThinker / SVQA-R1</w:t>
            </w:r>
          </w:p>
        </w:tc>
        <w:tc>
          <w:tcPr>
            <w:tcW w:w="2374" w:type="dxa"/>
          </w:tcPr>
          <w:p w14:paraId="50442204">
            <w:pPr>
              <w:pStyle w:val="52"/>
              <w:spacing w:line="360" w:lineRule="auto"/>
              <w:jc w:val="both"/>
              <w:rPr>
                <w:sz w:val="21"/>
                <w:szCs w:val="21"/>
              </w:rPr>
            </w:pPr>
            <w:r>
              <w:rPr>
                <w:rFonts w:ascii="Times New Roman" w:eastAsia="宋体"/>
                <w:sz w:val="21"/>
                <w:szCs w:val="21"/>
              </w:rPr>
              <w:t>Ground-R1 / GRIT / POLIA / SAYO</w:t>
            </w:r>
          </w:p>
        </w:tc>
        <w:tc>
          <w:tcPr>
            <w:tcW w:w="2149" w:type="dxa"/>
          </w:tcPr>
          <w:p w14:paraId="5708A9A3">
            <w:pPr>
              <w:pStyle w:val="52"/>
              <w:spacing w:line="360" w:lineRule="auto"/>
              <w:jc w:val="both"/>
              <w:rPr>
                <w:sz w:val="21"/>
                <w:szCs w:val="21"/>
              </w:rPr>
            </w:pPr>
            <w:r>
              <w:rPr>
                <w:rFonts w:ascii="Times New Roman" w:eastAsia="宋体"/>
                <w:sz w:val="21"/>
                <w:szCs w:val="21"/>
              </w:rPr>
              <w:t>Self-Questioning / H-GRPO</w:t>
            </w:r>
          </w:p>
        </w:tc>
      </w:tr>
      <w:tr w14:paraId="0A116712">
        <w:tblPrEx>
          <w:tblCellMar>
            <w:top w:w="0" w:type="dxa"/>
            <w:left w:w="108" w:type="dxa"/>
            <w:bottom w:w="0" w:type="dxa"/>
            <w:right w:w="108" w:type="dxa"/>
          </w:tblCellMar>
        </w:tblPrEx>
        <w:tc>
          <w:tcPr>
            <w:tcW w:w="1861" w:type="dxa"/>
          </w:tcPr>
          <w:p w14:paraId="4E9606D7">
            <w:pPr>
              <w:pStyle w:val="52"/>
              <w:spacing w:line="360" w:lineRule="auto"/>
              <w:jc w:val="both"/>
              <w:rPr>
                <w:sz w:val="21"/>
                <w:szCs w:val="21"/>
              </w:rPr>
            </w:pPr>
            <w:r>
              <w:rPr>
                <w:rFonts w:hint="eastAsia"/>
                <w:sz w:val="21"/>
                <w:szCs w:val="21"/>
              </w:rPr>
              <w:t>主要短板</w:t>
            </w:r>
          </w:p>
        </w:tc>
        <w:tc>
          <w:tcPr>
            <w:tcW w:w="2256" w:type="dxa"/>
          </w:tcPr>
          <w:p w14:paraId="5B12D7DC">
            <w:pPr>
              <w:pStyle w:val="52"/>
              <w:spacing w:line="360" w:lineRule="auto"/>
              <w:jc w:val="both"/>
              <w:rPr>
                <w:sz w:val="21"/>
                <w:szCs w:val="21"/>
              </w:rPr>
            </w:pPr>
            <w:r>
              <w:rPr>
                <w:rFonts w:hint="eastAsia"/>
                <w:sz w:val="21"/>
                <w:szCs w:val="21"/>
              </w:rPr>
              <w:t>正确性难定义</w:t>
            </w:r>
          </w:p>
        </w:tc>
        <w:tc>
          <w:tcPr>
            <w:tcW w:w="2374" w:type="dxa"/>
          </w:tcPr>
          <w:p w14:paraId="0EBFF5E7">
            <w:pPr>
              <w:pStyle w:val="52"/>
              <w:spacing w:line="360" w:lineRule="auto"/>
              <w:jc w:val="both"/>
              <w:rPr>
                <w:sz w:val="21"/>
                <w:szCs w:val="21"/>
              </w:rPr>
            </w:pPr>
            <w:r>
              <w:rPr>
                <w:rFonts w:hint="eastAsia"/>
                <w:sz w:val="21"/>
                <w:szCs w:val="21"/>
              </w:rPr>
              <w:t>评测未显式覆盖组合</w:t>
            </w:r>
          </w:p>
        </w:tc>
        <w:tc>
          <w:tcPr>
            <w:tcW w:w="2149" w:type="dxa"/>
          </w:tcPr>
          <w:p w14:paraId="06A8FA23">
            <w:pPr>
              <w:pStyle w:val="52"/>
              <w:spacing w:line="360" w:lineRule="auto"/>
              <w:jc w:val="both"/>
              <w:rPr>
                <w:sz w:val="21"/>
                <w:szCs w:val="21"/>
              </w:rPr>
            </w:pPr>
            <w:r>
              <w:rPr>
                <w:rFonts w:hint="eastAsia"/>
                <w:sz w:val="21"/>
                <w:szCs w:val="21"/>
              </w:rPr>
              <w:t>过程信号多为纯文本</w:t>
            </w:r>
          </w:p>
        </w:tc>
      </w:tr>
    </w:tbl>
    <w:p w14:paraId="1AFB7029">
      <w:pPr>
        <w:pStyle w:val="12"/>
        <w:spacing w:line="360" w:lineRule="auto"/>
        <w:jc w:val="center"/>
        <w:rPr>
          <w:i w:val="0"/>
          <w:iCs/>
          <w:sz w:val="21"/>
          <w:szCs w:val="21"/>
        </w:rPr>
      </w:pPr>
      <w:r>
        <w:rPr>
          <w:rFonts w:hint="eastAsia"/>
          <w:i w:val="0"/>
          <w:iCs/>
          <w:color w:val="000000"/>
          <w:sz w:val="21"/>
          <w:szCs w:val="21"/>
        </w:rPr>
        <w:t>表 3：代表方法的设计对比（奖励粒度、增量贡献层、信号机制与监督需求）</w:t>
      </w:r>
    </w:p>
    <w:tbl>
      <w:tblPr>
        <w:tblStyle w:val="82"/>
        <w:tblW w:w="4999" w:type="pct"/>
        <w:tblInd w:w="0" w:type="dxa"/>
        <w:tblLayout w:type="fixed"/>
        <w:tblCellMar>
          <w:top w:w="0" w:type="dxa"/>
          <w:left w:w="108" w:type="dxa"/>
          <w:bottom w:w="0" w:type="dxa"/>
          <w:right w:w="108" w:type="dxa"/>
        </w:tblCellMar>
      </w:tblPr>
      <w:tblGrid>
        <w:gridCol w:w="1454"/>
        <w:gridCol w:w="1770"/>
        <w:gridCol w:w="2077"/>
        <w:gridCol w:w="2138"/>
        <w:gridCol w:w="1200"/>
      </w:tblGrid>
      <w:tr w14:paraId="0276738E">
        <w:tblPrEx>
          <w:tblCellMar>
            <w:top w:w="0" w:type="dxa"/>
            <w:left w:w="108" w:type="dxa"/>
            <w:bottom w:w="0" w:type="dxa"/>
            <w:right w:w="108" w:type="dxa"/>
          </w:tblCellMar>
        </w:tblPrEx>
        <w:trPr>
          <w:tblHeader/>
        </w:trPr>
        <w:tc>
          <w:tcPr>
            <w:tcW w:w="1454" w:type="dxa"/>
            <w:tcBorders>
              <w:bottom w:val="single" w:color="auto" w:sz="0" w:space="0"/>
              <w:insideH w:val="single" w:sz="0" w:space="0"/>
            </w:tcBorders>
            <w:vAlign w:val="bottom"/>
          </w:tcPr>
          <w:p w14:paraId="1D2766B2">
            <w:pPr>
              <w:pStyle w:val="52"/>
              <w:spacing w:line="360" w:lineRule="auto"/>
              <w:jc w:val="both"/>
              <w:rPr>
                <w:sz w:val="21"/>
                <w:szCs w:val="21"/>
              </w:rPr>
            </w:pPr>
            <w:r>
              <w:rPr>
                <w:rFonts w:hint="eastAsia"/>
                <w:sz w:val="21"/>
                <w:szCs w:val="21"/>
              </w:rPr>
              <w:t>方法</w:t>
            </w:r>
          </w:p>
        </w:tc>
        <w:tc>
          <w:tcPr>
            <w:tcW w:w="1770" w:type="dxa"/>
            <w:tcBorders>
              <w:bottom w:val="single" w:color="auto" w:sz="0" w:space="0"/>
              <w:insideH w:val="single" w:sz="0" w:space="0"/>
            </w:tcBorders>
            <w:vAlign w:val="bottom"/>
          </w:tcPr>
          <w:p w14:paraId="61206281">
            <w:pPr>
              <w:pStyle w:val="52"/>
              <w:spacing w:line="360" w:lineRule="auto"/>
              <w:jc w:val="both"/>
              <w:rPr>
                <w:sz w:val="21"/>
                <w:szCs w:val="21"/>
              </w:rPr>
            </w:pPr>
            <w:r>
              <w:rPr>
                <w:rFonts w:hint="eastAsia"/>
                <w:sz w:val="21"/>
                <w:szCs w:val="21"/>
              </w:rPr>
              <w:t>奖励粒度</w:t>
            </w:r>
          </w:p>
        </w:tc>
        <w:tc>
          <w:tcPr>
            <w:tcW w:w="2077" w:type="dxa"/>
            <w:tcBorders>
              <w:bottom w:val="single" w:color="auto" w:sz="0" w:space="0"/>
              <w:insideH w:val="single" w:sz="0" w:space="0"/>
            </w:tcBorders>
            <w:vAlign w:val="bottom"/>
          </w:tcPr>
          <w:p w14:paraId="2F055DC9">
            <w:pPr>
              <w:pStyle w:val="52"/>
              <w:spacing w:line="360" w:lineRule="auto"/>
              <w:jc w:val="both"/>
              <w:rPr>
                <w:sz w:val="21"/>
                <w:szCs w:val="21"/>
              </w:rPr>
            </w:pPr>
            <w:r>
              <w:rPr>
                <w:rFonts w:hint="eastAsia"/>
                <w:sz w:val="21"/>
                <w:szCs w:val="21"/>
              </w:rPr>
              <w:t>信号机制</w:t>
            </w:r>
          </w:p>
        </w:tc>
        <w:tc>
          <w:tcPr>
            <w:tcW w:w="2138" w:type="dxa"/>
            <w:tcBorders>
              <w:bottom w:val="single" w:color="auto" w:sz="0" w:space="0"/>
              <w:insideH w:val="single" w:sz="0" w:space="0"/>
            </w:tcBorders>
            <w:vAlign w:val="bottom"/>
          </w:tcPr>
          <w:p w14:paraId="2052AC73">
            <w:pPr>
              <w:pStyle w:val="52"/>
              <w:spacing w:line="360" w:lineRule="auto"/>
              <w:jc w:val="both"/>
              <w:rPr>
                <w:sz w:val="21"/>
                <w:szCs w:val="21"/>
              </w:rPr>
            </w:pPr>
            <w:r>
              <w:rPr>
                <w:rFonts w:hint="eastAsia"/>
                <w:sz w:val="21"/>
                <w:szCs w:val="21"/>
              </w:rPr>
              <w:t>监督需求</w:t>
            </w:r>
          </w:p>
        </w:tc>
        <w:tc>
          <w:tcPr>
            <w:tcW w:w="1200" w:type="dxa"/>
            <w:tcBorders>
              <w:bottom w:val="single" w:color="auto" w:sz="0" w:space="0"/>
              <w:insideH w:val="single" w:sz="0" w:space="0"/>
            </w:tcBorders>
            <w:vAlign w:val="bottom"/>
          </w:tcPr>
          <w:p w14:paraId="79530A0D">
            <w:pPr>
              <w:rPr>
                <w:sz w:val="21"/>
                <w:szCs w:val="21"/>
              </w:rPr>
            </w:pPr>
            <w:r>
              <w:rPr>
                <w:rFonts w:hint="eastAsia"/>
                <w:sz w:val="21"/>
                <w:szCs w:val="21"/>
              </w:rPr>
              <w:t>增量贡献层</w:t>
            </w:r>
          </w:p>
        </w:tc>
      </w:tr>
      <w:tr w14:paraId="33CA5FDF">
        <w:tblPrEx>
          <w:tblCellMar>
            <w:top w:w="0" w:type="dxa"/>
            <w:left w:w="108" w:type="dxa"/>
            <w:bottom w:w="0" w:type="dxa"/>
            <w:right w:w="108" w:type="dxa"/>
          </w:tblCellMar>
        </w:tblPrEx>
        <w:tc>
          <w:tcPr>
            <w:tcW w:w="1454" w:type="dxa"/>
          </w:tcPr>
          <w:p w14:paraId="468066BE">
            <w:pPr>
              <w:pStyle w:val="52"/>
              <w:spacing w:line="360" w:lineRule="auto"/>
              <w:jc w:val="both"/>
              <w:rPr>
                <w:sz w:val="21"/>
                <w:szCs w:val="21"/>
              </w:rPr>
            </w:pPr>
            <w:r>
              <w:rPr>
                <w:sz w:val="21"/>
                <w:szCs w:val="21"/>
              </w:rPr>
              <w:t>CR³</w:t>
            </w:r>
          </w:p>
        </w:tc>
        <w:tc>
          <w:tcPr>
            <w:tcW w:w="1770" w:type="dxa"/>
          </w:tcPr>
          <w:p w14:paraId="7CC66859">
            <w:pPr>
              <w:pStyle w:val="52"/>
              <w:spacing w:line="360" w:lineRule="auto"/>
              <w:jc w:val="both"/>
              <w:rPr>
                <w:sz w:val="21"/>
                <w:szCs w:val="21"/>
              </w:rPr>
            </w:pPr>
            <w:r>
              <w:rPr>
                <w:rFonts w:hint="eastAsia"/>
                <w:sz w:val="21"/>
                <w:szCs w:val="21"/>
              </w:rPr>
              <w:t>答案级</w:t>
            </w:r>
          </w:p>
        </w:tc>
        <w:tc>
          <w:tcPr>
            <w:tcW w:w="2077" w:type="dxa"/>
          </w:tcPr>
          <w:p w14:paraId="3801A27E">
            <w:pPr>
              <w:pStyle w:val="52"/>
              <w:spacing w:line="360" w:lineRule="auto"/>
              <w:jc w:val="both"/>
              <w:rPr>
                <w:sz w:val="21"/>
                <w:szCs w:val="21"/>
              </w:rPr>
            </w:pPr>
            <w:r>
              <w:rPr>
                <w:rFonts w:hint="eastAsia"/>
                <w:sz w:val="21"/>
                <w:szCs w:val="21"/>
              </w:rPr>
              <w:t>二元规则验证器</w:t>
            </w:r>
          </w:p>
        </w:tc>
        <w:tc>
          <w:tcPr>
            <w:tcW w:w="2138" w:type="dxa"/>
          </w:tcPr>
          <w:p w14:paraId="47EB0DB8">
            <w:pPr>
              <w:pStyle w:val="52"/>
              <w:spacing w:line="360" w:lineRule="auto"/>
              <w:jc w:val="both"/>
              <w:rPr>
                <w:sz w:val="21"/>
                <w:szCs w:val="21"/>
              </w:rPr>
            </w:pPr>
            <w:r>
              <w:rPr>
                <w:rFonts w:hint="eastAsia"/>
                <w:sz w:val="21"/>
                <w:szCs w:val="21"/>
              </w:rPr>
              <w:t>无</w:t>
            </w:r>
          </w:p>
        </w:tc>
        <w:tc>
          <w:tcPr>
            <w:tcW w:w="1200" w:type="dxa"/>
          </w:tcPr>
          <w:p w14:paraId="0F9AE96B">
            <w:pPr>
              <w:rPr>
                <w:sz w:val="21"/>
                <w:szCs w:val="21"/>
              </w:rPr>
            </w:pPr>
            <w:r>
              <w:rPr>
                <w:rFonts w:hint="eastAsia"/>
                <w:sz w:val="21"/>
                <w:szCs w:val="21"/>
              </w:rPr>
              <w:t>判据</w:t>
            </w:r>
          </w:p>
        </w:tc>
      </w:tr>
      <w:tr w14:paraId="176CEBD7">
        <w:tblPrEx>
          <w:tblCellMar>
            <w:top w:w="0" w:type="dxa"/>
            <w:left w:w="108" w:type="dxa"/>
            <w:bottom w:w="0" w:type="dxa"/>
            <w:right w:w="108" w:type="dxa"/>
          </w:tblCellMar>
        </w:tblPrEx>
        <w:tc>
          <w:tcPr>
            <w:tcW w:w="1454" w:type="dxa"/>
          </w:tcPr>
          <w:p w14:paraId="2F99EB74">
            <w:pPr>
              <w:pStyle w:val="52"/>
              <w:spacing w:line="360" w:lineRule="auto"/>
              <w:jc w:val="both"/>
              <w:rPr>
                <w:sz w:val="21"/>
                <w:szCs w:val="21"/>
              </w:rPr>
            </w:pPr>
            <w:r>
              <w:rPr>
                <w:sz w:val="21"/>
                <w:szCs w:val="21"/>
              </w:rPr>
              <w:t>SpatialThinker</w:t>
            </w:r>
          </w:p>
        </w:tc>
        <w:tc>
          <w:tcPr>
            <w:tcW w:w="1770" w:type="dxa"/>
          </w:tcPr>
          <w:p w14:paraId="4973C423">
            <w:pPr>
              <w:pStyle w:val="52"/>
              <w:spacing w:line="360" w:lineRule="auto"/>
              <w:jc w:val="both"/>
              <w:rPr>
                <w:sz w:val="21"/>
                <w:szCs w:val="21"/>
              </w:rPr>
            </w:pPr>
            <w:r>
              <w:rPr>
                <w:rFonts w:hint="eastAsia"/>
                <w:sz w:val="21"/>
                <w:szCs w:val="21"/>
              </w:rPr>
              <w:t>场景图结构级</w:t>
            </w:r>
          </w:p>
        </w:tc>
        <w:tc>
          <w:tcPr>
            <w:tcW w:w="2077" w:type="dxa"/>
          </w:tcPr>
          <w:p w14:paraId="00385F78">
            <w:pPr>
              <w:pStyle w:val="52"/>
              <w:spacing w:line="360" w:lineRule="auto"/>
              <w:jc w:val="both"/>
              <w:rPr>
                <w:sz w:val="21"/>
                <w:szCs w:val="21"/>
              </w:rPr>
            </w:pPr>
            <w:r>
              <w:rPr>
                <w:rFonts w:hint="eastAsia"/>
                <w:sz w:val="21"/>
                <w:szCs w:val="21"/>
              </w:rPr>
              <w:t>字典序门控多分量奖励</w:t>
            </w:r>
          </w:p>
        </w:tc>
        <w:tc>
          <w:tcPr>
            <w:tcW w:w="2138" w:type="dxa"/>
          </w:tcPr>
          <w:p w14:paraId="0115B282">
            <w:pPr>
              <w:pStyle w:val="52"/>
              <w:spacing w:line="360" w:lineRule="auto"/>
              <w:jc w:val="both"/>
              <w:rPr>
                <w:sz w:val="21"/>
                <w:szCs w:val="21"/>
              </w:rPr>
            </w:pPr>
            <w:r>
              <w:rPr>
                <w:rFonts w:hint="eastAsia"/>
                <w:sz w:val="21"/>
                <w:szCs w:val="21"/>
              </w:rPr>
              <w:t>高（STVQA-7K 基于人工场景图标注合成）</w:t>
            </w:r>
          </w:p>
        </w:tc>
        <w:tc>
          <w:tcPr>
            <w:tcW w:w="1200" w:type="dxa"/>
          </w:tcPr>
          <w:p w14:paraId="2FB1C8D9">
            <w:pPr>
              <w:rPr>
                <w:sz w:val="21"/>
                <w:szCs w:val="21"/>
              </w:rPr>
            </w:pPr>
            <w:r>
              <w:rPr>
                <w:rFonts w:hint="eastAsia"/>
                <w:sz w:val="21"/>
                <w:szCs w:val="21"/>
              </w:rPr>
              <w:t>判据</w:t>
            </w:r>
          </w:p>
        </w:tc>
      </w:tr>
      <w:tr w14:paraId="551873B0">
        <w:tblPrEx>
          <w:tblCellMar>
            <w:top w:w="0" w:type="dxa"/>
            <w:left w:w="108" w:type="dxa"/>
            <w:bottom w:w="0" w:type="dxa"/>
            <w:right w:w="108" w:type="dxa"/>
          </w:tblCellMar>
        </w:tblPrEx>
        <w:tc>
          <w:tcPr>
            <w:tcW w:w="1454" w:type="dxa"/>
          </w:tcPr>
          <w:p w14:paraId="3037CEC7">
            <w:pPr>
              <w:pStyle w:val="52"/>
              <w:spacing w:line="360" w:lineRule="auto"/>
              <w:jc w:val="both"/>
              <w:rPr>
                <w:sz w:val="21"/>
                <w:szCs w:val="21"/>
              </w:rPr>
            </w:pPr>
            <w:r>
              <w:rPr>
                <w:sz w:val="21"/>
                <w:szCs w:val="21"/>
              </w:rPr>
              <w:t>SVQA-R1</w:t>
            </w:r>
          </w:p>
        </w:tc>
        <w:tc>
          <w:tcPr>
            <w:tcW w:w="1770" w:type="dxa"/>
          </w:tcPr>
          <w:p w14:paraId="569E1CF3">
            <w:pPr>
              <w:pStyle w:val="52"/>
              <w:spacing w:line="360" w:lineRule="auto"/>
              <w:jc w:val="both"/>
              <w:rPr>
                <w:sz w:val="21"/>
                <w:szCs w:val="21"/>
              </w:rPr>
            </w:pPr>
            <w:r>
              <w:rPr>
                <w:rFonts w:hint="eastAsia"/>
                <w:sz w:val="21"/>
                <w:szCs w:val="21"/>
              </w:rPr>
              <w:t>答案一致性级</w:t>
            </w:r>
          </w:p>
        </w:tc>
        <w:tc>
          <w:tcPr>
            <w:tcW w:w="2077" w:type="dxa"/>
          </w:tcPr>
          <w:p w14:paraId="1F207B7B">
            <w:pPr>
              <w:pStyle w:val="52"/>
              <w:spacing w:line="360" w:lineRule="auto"/>
              <w:jc w:val="both"/>
              <w:rPr>
                <w:sz w:val="21"/>
                <w:szCs w:val="21"/>
              </w:rPr>
            </w:pPr>
            <w:r>
              <w:rPr>
                <w:rFonts w:hint="eastAsia"/>
                <w:sz w:val="21"/>
                <w:szCs w:val="21"/>
              </w:rPr>
              <w:t>跨视角一致性惩罚</w:t>
            </w:r>
          </w:p>
        </w:tc>
        <w:tc>
          <w:tcPr>
            <w:tcW w:w="2138" w:type="dxa"/>
          </w:tcPr>
          <w:p w14:paraId="5C740351">
            <w:pPr>
              <w:pStyle w:val="52"/>
              <w:spacing w:line="360" w:lineRule="auto"/>
              <w:jc w:val="both"/>
              <w:rPr>
                <w:sz w:val="21"/>
                <w:szCs w:val="21"/>
              </w:rPr>
            </w:pPr>
            <w:r>
              <w:rPr>
                <w:rFonts w:hint="eastAsia"/>
                <w:sz w:val="21"/>
                <w:szCs w:val="21"/>
              </w:rPr>
              <w:t>无（自监督）</w:t>
            </w:r>
          </w:p>
        </w:tc>
        <w:tc>
          <w:tcPr>
            <w:tcW w:w="1200" w:type="dxa"/>
          </w:tcPr>
          <w:p w14:paraId="2E873863">
            <w:pPr>
              <w:rPr>
                <w:sz w:val="21"/>
                <w:szCs w:val="21"/>
              </w:rPr>
            </w:pPr>
            <w:r>
              <w:rPr>
                <w:rFonts w:hint="eastAsia"/>
                <w:sz w:val="21"/>
                <w:szCs w:val="21"/>
              </w:rPr>
              <w:t>判据</w:t>
            </w:r>
          </w:p>
        </w:tc>
      </w:tr>
      <w:tr w14:paraId="60E44B45">
        <w:tblPrEx>
          <w:tblCellMar>
            <w:top w:w="0" w:type="dxa"/>
            <w:left w:w="108" w:type="dxa"/>
            <w:bottom w:w="0" w:type="dxa"/>
            <w:right w:w="108" w:type="dxa"/>
          </w:tblCellMar>
        </w:tblPrEx>
        <w:tc>
          <w:tcPr>
            <w:tcW w:w="1454" w:type="dxa"/>
          </w:tcPr>
          <w:p w14:paraId="130AA507">
            <w:pPr>
              <w:pStyle w:val="52"/>
              <w:spacing w:line="360" w:lineRule="auto"/>
              <w:jc w:val="both"/>
              <w:rPr>
                <w:sz w:val="21"/>
                <w:szCs w:val="21"/>
              </w:rPr>
            </w:pPr>
            <w:r>
              <w:rPr>
                <w:sz w:val="21"/>
                <w:szCs w:val="21"/>
              </w:rPr>
              <w:t>Ground-R1</w:t>
            </w:r>
          </w:p>
        </w:tc>
        <w:tc>
          <w:tcPr>
            <w:tcW w:w="1770" w:type="dxa"/>
          </w:tcPr>
          <w:p w14:paraId="39F22060">
            <w:pPr>
              <w:pStyle w:val="52"/>
              <w:spacing w:line="360" w:lineRule="auto"/>
              <w:jc w:val="both"/>
              <w:rPr>
                <w:sz w:val="21"/>
                <w:szCs w:val="21"/>
              </w:rPr>
            </w:pPr>
            <w:r>
              <w:rPr>
                <w:rFonts w:hint="eastAsia"/>
                <w:sz w:val="21"/>
                <w:szCs w:val="21"/>
              </w:rPr>
              <w:t>证据区域级</w:t>
            </w:r>
          </w:p>
        </w:tc>
        <w:tc>
          <w:tcPr>
            <w:tcW w:w="2077" w:type="dxa"/>
          </w:tcPr>
          <w:p w14:paraId="3F317263">
            <w:pPr>
              <w:pStyle w:val="52"/>
              <w:spacing w:line="360" w:lineRule="auto"/>
              <w:jc w:val="both"/>
              <w:rPr>
                <w:sz w:val="21"/>
                <w:szCs w:val="21"/>
              </w:rPr>
            </w:pPr>
            <w:r>
              <w:rPr>
                <w:rFonts w:hint="eastAsia"/>
                <w:sz w:val="21"/>
                <w:szCs w:val="21"/>
              </w:rPr>
              <w:t>两阶段格式+答案奖励</w:t>
            </w:r>
          </w:p>
        </w:tc>
        <w:tc>
          <w:tcPr>
            <w:tcW w:w="2138" w:type="dxa"/>
          </w:tcPr>
          <w:p w14:paraId="7ED56682">
            <w:pPr>
              <w:pStyle w:val="52"/>
              <w:spacing w:line="360" w:lineRule="auto"/>
              <w:jc w:val="both"/>
              <w:rPr>
                <w:sz w:val="21"/>
                <w:szCs w:val="21"/>
              </w:rPr>
            </w:pPr>
            <w:r>
              <w:rPr>
                <w:rFonts w:hint="eastAsia"/>
                <w:sz w:val="21"/>
                <w:szCs w:val="21"/>
              </w:rPr>
              <w:t>低（仅格式，无框标注）</w:t>
            </w:r>
          </w:p>
        </w:tc>
        <w:tc>
          <w:tcPr>
            <w:tcW w:w="1200" w:type="dxa"/>
          </w:tcPr>
          <w:p w14:paraId="4C43D878">
            <w:pPr>
              <w:rPr>
                <w:sz w:val="21"/>
                <w:szCs w:val="21"/>
              </w:rPr>
            </w:pPr>
            <w:r>
              <w:rPr>
                <w:rFonts w:hint="eastAsia"/>
                <w:sz w:val="21"/>
                <w:szCs w:val="21"/>
              </w:rPr>
              <w:t>信号源</w:t>
            </w:r>
          </w:p>
        </w:tc>
      </w:tr>
      <w:tr w14:paraId="669E2003">
        <w:tblPrEx>
          <w:tblCellMar>
            <w:top w:w="0" w:type="dxa"/>
            <w:left w:w="108" w:type="dxa"/>
            <w:bottom w:w="0" w:type="dxa"/>
            <w:right w:w="108" w:type="dxa"/>
          </w:tblCellMar>
        </w:tblPrEx>
        <w:tc>
          <w:tcPr>
            <w:tcW w:w="1454" w:type="dxa"/>
          </w:tcPr>
          <w:p w14:paraId="69EE3249">
            <w:pPr>
              <w:pStyle w:val="52"/>
              <w:spacing w:line="360" w:lineRule="auto"/>
              <w:jc w:val="both"/>
              <w:rPr>
                <w:sz w:val="21"/>
                <w:szCs w:val="21"/>
              </w:rPr>
            </w:pPr>
            <w:r>
              <w:rPr>
                <w:sz w:val="21"/>
                <w:szCs w:val="21"/>
              </w:rPr>
              <w:t>GRIT</w:t>
            </w:r>
          </w:p>
        </w:tc>
        <w:tc>
          <w:tcPr>
            <w:tcW w:w="1770" w:type="dxa"/>
          </w:tcPr>
          <w:p w14:paraId="684E12CD">
            <w:pPr>
              <w:pStyle w:val="52"/>
              <w:spacing w:line="360" w:lineRule="auto"/>
              <w:jc w:val="both"/>
              <w:rPr>
                <w:sz w:val="21"/>
                <w:szCs w:val="21"/>
              </w:rPr>
            </w:pPr>
            <w:r>
              <w:rPr>
                <w:rFonts w:hint="eastAsia"/>
                <w:sz w:val="21"/>
                <w:szCs w:val="21"/>
              </w:rPr>
              <w:t>区域级（思维链内嵌）</w:t>
            </w:r>
          </w:p>
        </w:tc>
        <w:tc>
          <w:tcPr>
            <w:tcW w:w="2077" w:type="dxa"/>
          </w:tcPr>
          <w:p w14:paraId="0B1ABB1F">
            <w:pPr>
              <w:pStyle w:val="52"/>
              <w:spacing w:line="360" w:lineRule="auto"/>
              <w:jc w:val="both"/>
              <w:rPr>
                <w:sz w:val="21"/>
                <w:szCs w:val="21"/>
              </w:rPr>
            </w:pPr>
            <w:r>
              <w:rPr>
                <w:rFonts w:hint="eastAsia"/>
                <w:sz w:val="21"/>
                <w:szCs w:val="21"/>
              </w:rPr>
              <w:t>格式+计数奖励</w:t>
            </w:r>
          </w:p>
        </w:tc>
        <w:tc>
          <w:tcPr>
            <w:tcW w:w="2138" w:type="dxa"/>
          </w:tcPr>
          <w:p w14:paraId="66528C0D">
            <w:pPr>
              <w:pStyle w:val="52"/>
              <w:spacing w:line="360" w:lineRule="auto"/>
              <w:jc w:val="both"/>
              <w:rPr>
                <w:sz w:val="21"/>
                <w:szCs w:val="21"/>
              </w:rPr>
            </w:pPr>
            <w:r>
              <w:rPr>
                <w:rFonts w:hint="eastAsia"/>
                <w:sz w:val="21"/>
                <w:szCs w:val="21"/>
              </w:rPr>
              <w:t>极低（20</w:t>
            </w:r>
            <w:r>
              <w:rPr>
                <w:sz w:val="21"/>
                <w:szCs w:val="21"/>
              </w:rPr>
              <w:t xml:space="preserve"> </w:t>
            </w:r>
            <w:r>
              <w:rPr>
                <w:rFonts w:hint="eastAsia"/>
                <w:sz w:val="21"/>
                <w:szCs w:val="21"/>
              </w:rPr>
              <w:t>个问答三元组）</w:t>
            </w:r>
          </w:p>
        </w:tc>
        <w:tc>
          <w:tcPr>
            <w:tcW w:w="1200" w:type="dxa"/>
          </w:tcPr>
          <w:p w14:paraId="371B9D09">
            <w:pPr>
              <w:rPr>
                <w:sz w:val="21"/>
                <w:szCs w:val="21"/>
              </w:rPr>
            </w:pPr>
            <w:r>
              <w:rPr>
                <w:rFonts w:hint="eastAsia"/>
                <w:sz w:val="21"/>
                <w:szCs w:val="21"/>
              </w:rPr>
              <w:t>信号源</w:t>
            </w:r>
          </w:p>
        </w:tc>
      </w:tr>
      <w:tr w14:paraId="4A5A7522">
        <w:tblPrEx>
          <w:tblCellMar>
            <w:top w:w="0" w:type="dxa"/>
            <w:left w:w="108" w:type="dxa"/>
            <w:bottom w:w="0" w:type="dxa"/>
            <w:right w:w="108" w:type="dxa"/>
          </w:tblCellMar>
        </w:tblPrEx>
        <w:tc>
          <w:tcPr>
            <w:tcW w:w="1454" w:type="dxa"/>
          </w:tcPr>
          <w:p w14:paraId="15A12E42">
            <w:pPr>
              <w:pStyle w:val="52"/>
              <w:spacing w:line="360" w:lineRule="auto"/>
              <w:jc w:val="both"/>
              <w:rPr>
                <w:sz w:val="21"/>
                <w:szCs w:val="21"/>
              </w:rPr>
            </w:pPr>
            <w:r>
              <w:rPr>
                <w:sz w:val="21"/>
                <w:szCs w:val="21"/>
              </w:rPr>
              <w:t>POLIA</w:t>
            </w:r>
          </w:p>
        </w:tc>
        <w:tc>
          <w:tcPr>
            <w:tcW w:w="1770" w:type="dxa"/>
          </w:tcPr>
          <w:p w14:paraId="1E03C210">
            <w:pPr>
              <w:pStyle w:val="52"/>
              <w:spacing w:line="360" w:lineRule="auto"/>
              <w:jc w:val="both"/>
              <w:rPr>
                <w:sz w:val="21"/>
                <w:szCs w:val="21"/>
              </w:rPr>
            </w:pPr>
            <w:r>
              <w:rPr>
                <w:rFonts w:hint="eastAsia"/>
                <w:sz w:val="21"/>
                <w:szCs w:val="21"/>
              </w:rPr>
              <w:t>物体级</w:t>
            </w:r>
          </w:p>
        </w:tc>
        <w:tc>
          <w:tcPr>
            <w:tcW w:w="2077" w:type="dxa"/>
          </w:tcPr>
          <w:p w14:paraId="1F4DBA75">
            <w:pPr>
              <w:pStyle w:val="52"/>
              <w:spacing w:line="360" w:lineRule="auto"/>
              <w:jc w:val="both"/>
              <w:rPr>
                <w:sz w:val="21"/>
                <w:szCs w:val="21"/>
              </w:rPr>
            </w:pPr>
            <w:r>
              <w:rPr>
                <w:rFonts w:hint="eastAsia"/>
                <w:sz w:val="21"/>
                <w:szCs w:val="21"/>
              </w:rPr>
              <w:t>置信度修正的物体级内在优势</w:t>
            </w:r>
          </w:p>
        </w:tc>
        <w:tc>
          <w:tcPr>
            <w:tcW w:w="2138" w:type="dxa"/>
          </w:tcPr>
          <w:p w14:paraId="6B85D617">
            <w:pPr>
              <w:pStyle w:val="52"/>
              <w:spacing w:line="360" w:lineRule="auto"/>
              <w:jc w:val="both"/>
              <w:rPr>
                <w:sz w:val="21"/>
                <w:szCs w:val="21"/>
              </w:rPr>
            </w:pPr>
            <w:r>
              <w:rPr>
                <w:rFonts w:hint="eastAsia"/>
                <w:sz w:val="21"/>
                <w:szCs w:val="21"/>
              </w:rPr>
              <w:t>低（利用数据集物体标注）</w:t>
            </w:r>
          </w:p>
        </w:tc>
        <w:tc>
          <w:tcPr>
            <w:tcW w:w="1200" w:type="dxa"/>
          </w:tcPr>
          <w:p w14:paraId="5B8C6B62">
            <w:pPr>
              <w:rPr>
                <w:sz w:val="21"/>
                <w:szCs w:val="21"/>
              </w:rPr>
            </w:pPr>
            <w:r>
              <w:rPr>
                <w:rFonts w:hint="eastAsia"/>
                <w:sz w:val="21"/>
                <w:szCs w:val="21"/>
              </w:rPr>
              <w:t>信号源</w:t>
            </w:r>
          </w:p>
        </w:tc>
      </w:tr>
      <w:tr w14:paraId="19FA0300">
        <w:tblPrEx>
          <w:tblCellMar>
            <w:top w:w="0" w:type="dxa"/>
            <w:left w:w="108" w:type="dxa"/>
            <w:bottom w:w="0" w:type="dxa"/>
            <w:right w:w="108" w:type="dxa"/>
          </w:tblCellMar>
        </w:tblPrEx>
        <w:tc>
          <w:tcPr>
            <w:tcW w:w="1454" w:type="dxa"/>
          </w:tcPr>
          <w:p w14:paraId="3822AFAD">
            <w:pPr>
              <w:pStyle w:val="52"/>
              <w:spacing w:line="360" w:lineRule="auto"/>
              <w:jc w:val="both"/>
              <w:rPr>
                <w:sz w:val="21"/>
                <w:szCs w:val="21"/>
              </w:rPr>
            </w:pPr>
            <w:r>
              <w:rPr>
                <w:sz w:val="21"/>
                <w:szCs w:val="21"/>
              </w:rPr>
              <w:t>Self-Questioning</w:t>
            </w:r>
          </w:p>
        </w:tc>
        <w:tc>
          <w:tcPr>
            <w:tcW w:w="1770" w:type="dxa"/>
          </w:tcPr>
          <w:p w14:paraId="54BE9191">
            <w:pPr>
              <w:pStyle w:val="52"/>
              <w:spacing w:line="360" w:lineRule="auto"/>
              <w:jc w:val="both"/>
              <w:rPr>
                <w:sz w:val="21"/>
                <w:szCs w:val="21"/>
              </w:rPr>
            </w:pPr>
            <w:r>
              <w:rPr>
                <w:rFonts w:hint="eastAsia"/>
                <w:sz w:val="21"/>
                <w:szCs w:val="21"/>
              </w:rPr>
              <w:t>子问题结构级</w:t>
            </w:r>
          </w:p>
        </w:tc>
        <w:tc>
          <w:tcPr>
            <w:tcW w:w="2077" w:type="dxa"/>
          </w:tcPr>
          <w:p w14:paraId="4497BA41">
            <w:pPr>
              <w:pStyle w:val="52"/>
              <w:spacing w:line="360" w:lineRule="auto"/>
              <w:jc w:val="both"/>
              <w:rPr>
                <w:sz w:val="21"/>
                <w:szCs w:val="21"/>
              </w:rPr>
            </w:pPr>
            <w:r>
              <w:rPr>
                <w:rFonts w:hint="eastAsia"/>
                <w:sz w:val="21"/>
                <w:szCs w:val="21"/>
              </w:rPr>
              <w:t>二元格式+正确性奖励</w:t>
            </w:r>
          </w:p>
        </w:tc>
        <w:tc>
          <w:tcPr>
            <w:tcW w:w="2138" w:type="dxa"/>
          </w:tcPr>
          <w:p w14:paraId="2CC7BCC4">
            <w:pPr>
              <w:pStyle w:val="52"/>
              <w:spacing w:line="360" w:lineRule="auto"/>
              <w:jc w:val="both"/>
              <w:rPr>
                <w:sz w:val="21"/>
                <w:szCs w:val="21"/>
              </w:rPr>
            </w:pPr>
            <w:r>
              <w:rPr>
                <w:rFonts w:hint="eastAsia"/>
                <w:sz w:val="21"/>
                <w:szCs w:val="21"/>
              </w:rPr>
              <w:t>无</w:t>
            </w:r>
          </w:p>
        </w:tc>
        <w:tc>
          <w:tcPr>
            <w:tcW w:w="1200" w:type="dxa"/>
          </w:tcPr>
          <w:p w14:paraId="668E10C7">
            <w:pPr>
              <w:rPr>
                <w:sz w:val="21"/>
                <w:szCs w:val="21"/>
              </w:rPr>
            </w:pPr>
            <w:r>
              <w:rPr>
                <w:rFonts w:hint="eastAsia"/>
                <w:sz w:val="21"/>
                <w:szCs w:val="21"/>
              </w:rPr>
              <w:t>对象</w:t>
            </w:r>
          </w:p>
        </w:tc>
      </w:tr>
      <w:tr w14:paraId="444DC4D4">
        <w:tblPrEx>
          <w:tblCellMar>
            <w:top w:w="0" w:type="dxa"/>
            <w:left w:w="108" w:type="dxa"/>
            <w:bottom w:w="0" w:type="dxa"/>
            <w:right w:w="108" w:type="dxa"/>
          </w:tblCellMar>
        </w:tblPrEx>
        <w:tc>
          <w:tcPr>
            <w:tcW w:w="1454" w:type="dxa"/>
          </w:tcPr>
          <w:p w14:paraId="2468E765">
            <w:pPr>
              <w:pStyle w:val="52"/>
              <w:spacing w:line="360" w:lineRule="auto"/>
              <w:jc w:val="both"/>
              <w:rPr>
                <w:sz w:val="21"/>
                <w:szCs w:val="21"/>
              </w:rPr>
            </w:pPr>
            <w:r>
              <w:rPr>
                <w:sz w:val="21"/>
                <w:szCs w:val="21"/>
              </w:rPr>
              <w:t>H-GRPO</w:t>
            </w:r>
          </w:p>
        </w:tc>
        <w:tc>
          <w:tcPr>
            <w:tcW w:w="1770" w:type="dxa"/>
          </w:tcPr>
          <w:p w14:paraId="3577E8EC">
            <w:pPr>
              <w:pStyle w:val="52"/>
              <w:spacing w:line="360" w:lineRule="auto"/>
              <w:jc w:val="both"/>
              <w:rPr>
                <w:sz w:val="21"/>
                <w:szCs w:val="21"/>
              </w:rPr>
            </w:pPr>
            <w:r>
              <w:rPr>
                <w:rFonts w:hint="eastAsia"/>
                <w:sz w:val="21"/>
                <w:szCs w:val="21"/>
              </w:rPr>
              <w:t>推理步骤+证据级</w:t>
            </w:r>
          </w:p>
        </w:tc>
        <w:tc>
          <w:tcPr>
            <w:tcW w:w="2077" w:type="dxa"/>
          </w:tcPr>
          <w:p w14:paraId="63B196E9">
            <w:pPr>
              <w:pStyle w:val="52"/>
              <w:spacing w:line="360" w:lineRule="auto"/>
              <w:jc w:val="both"/>
              <w:rPr>
                <w:sz w:val="21"/>
                <w:szCs w:val="21"/>
              </w:rPr>
            </w:pPr>
            <w:r>
              <w:rPr>
                <w:rFonts w:hint="eastAsia"/>
                <w:sz w:val="21"/>
                <w:szCs w:val="21"/>
              </w:rPr>
              <w:t>匈牙利门控过程奖励</w:t>
            </w:r>
          </w:p>
        </w:tc>
        <w:tc>
          <w:tcPr>
            <w:tcW w:w="2138" w:type="dxa"/>
          </w:tcPr>
          <w:p w14:paraId="7D46F2A6">
            <w:pPr>
              <w:pStyle w:val="52"/>
              <w:spacing w:line="360" w:lineRule="auto"/>
              <w:jc w:val="both"/>
              <w:rPr>
                <w:sz w:val="21"/>
                <w:szCs w:val="21"/>
              </w:rPr>
            </w:pPr>
            <w:r>
              <w:rPr>
                <w:rFonts w:hint="eastAsia"/>
                <w:sz w:val="21"/>
                <w:szCs w:val="21"/>
              </w:rPr>
              <w:t>无</w:t>
            </w:r>
          </w:p>
        </w:tc>
        <w:tc>
          <w:tcPr>
            <w:tcW w:w="1200" w:type="dxa"/>
          </w:tcPr>
          <w:p w14:paraId="0A487D0A">
            <w:pPr>
              <w:rPr>
                <w:sz w:val="21"/>
                <w:szCs w:val="21"/>
              </w:rPr>
            </w:pPr>
            <w:r>
              <w:rPr>
                <w:rFonts w:hint="eastAsia"/>
                <w:sz w:val="21"/>
                <w:szCs w:val="21"/>
              </w:rPr>
              <w:t>对象</w:t>
            </w:r>
          </w:p>
        </w:tc>
      </w:tr>
    </w:tbl>
    <w:p w14:paraId="1D9CB177">
      <w:pPr>
        <w:pStyle w:val="12"/>
        <w:spacing w:line="360" w:lineRule="auto"/>
        <w:jc w:val="center"/>
        <w:rPr>
          <w:i w:val="0"/>
          <w:iCs/>
          <w:sz w:val="21"/>
          <w:szCs w:val="21"/>
        </w:rPr>
      </w:pPr>
      <w:r>
        <w:rPr>
          <w:rFonts w:hint="eastAsia"/>
          <w:i w:val="0"/>
          <w:iCs/>
          <w:color w:val="000000"/>
          <w:sz w:val="21"/>
          <w:szCs w:val="21"/>
        </w:rPr>
        <w:t>表 4：代表方法的实验设置与结果对比（基座模型、评测基准、关键数据/设计与代表性结果）</w:t>
      </w:r>
    </w:p>
    <w:tbl>
      <w:tblPr>
        <w:tblStyle w:val="82"/>
        <w:tblW w:w="5000" w:type="pct"/>
        <w:tblInd w:w="0" w:type="dxa"/>
        <w:tblLayout w:type="fixed"/>
        <w:tblCellMar>
          <w:top w:w="0" w:type="dxa"/>
          <w:left w:w="108" w:type="dxa"/>
          <w:bottom w:w="0" w:type="dxa"/>
          <w:right w:w="108" w:type="dxa"/>
        </w:tblCellMar>
      </w:tblPr>
      <w:tblGrid>
        <w:gridCol w:w="1086"/>
        <w:gridCol w:w="1518"/>
        <w:gridCol w:w="1934"/>
        <w:gridCol w:w="1649"/>
        <w:gridCol w:w="2454"/>
      </w:tblGrid>
      <w:tr w14:paraId="2EEE7D9C">
        <w:tblPrEx>
          <w:tblCellMar>
            <w:top w:w="0" w:type="dxa"/>
            <w:left w:w="108" w:type="dxa"/>
            <w:bottom w:w="0" w:type="dxa"/>
            <w:right w:w="108" w:type="dxa"/>
          </w:tblCellMar>
        </w:tblPrEx>
        <w:trPr>
          <w:tblHeader/>
        </w:trPr>
        <w:tc>
          <w:tcPr>
            <w:tcW w:w="628" w:type="pct"/>
            <w:tcBorders>
              <w:bottom w:val="single" w:color="auto" w:sz="0" w:space="0"/>
              <w:insideH w:val="single" w:sz="0" w:space="0"/>
            </w:tcBorders>
            <w:vAlign w:val="bottom"/>
          </w:tcPr>
          <w:p w14:paraId="758B1F7C">
            <w:pPr>
              <w:pStyle w:val="52"/>
              <w:spacing w:line="360" w:lineRule="auto"/>
              <w:jc w:val="both"/>
              <w:rPr>
                <w:sz w:val="21"/>
                <w:szCs w:val="21"/>
              </w:rPr>
            </w:pPr>
            <w:r>
              <w:rPr>
                <w:rFonts w:hint="eastAsia"/>
                <w:sz w:val="21"/>
                <w:szCs w:val="21"/>
              </w:rPr>
              <w:t>方法</w:t>
            </w:r>
          </w:p>
        </w:tc>
        <w:tc>
          <w:tcPr>
            <w:tcW w:w="878" w:type="pct"/>
            <w:tcBorders>
              <w:bottom w:val="single" w:color="auto" w:sz="0" w:space="0"/>
              <w:insideH w:val="single" w:sz="0" w:space="0"/>
            </w:tcBorders>
            <w:vAlign w:val="bottom"/>
          </w:tcPr>
          <w:p w14:paraId="41220875">
            <w:pPr>
              <w:pStyle w:val="52"/>
              <w:spacing w:line="360" w:lineRule="auto"/>
              <w:jc w:val="both"/>
              <w:rPr>
                <w:sz w:val="21"/>
                <w:szCs w:val="21"/>
              </w:rPr>
            </w:pPr>
            <w:r>
              <w:rPr>
                <w:rFonts w:hint="eastAsia"/>
                <w:sz w:val="21"/>
                <w:szCs w:val="21"/>
              </w:rPr>
              <w:t>基座模型</w:t>
            </w:r>
          </w:p>
        </w:tc>
        <w:tc>
          <w:tcPr>
            <w:tcW w:w="1119" w:type="pct"/>
            <w:tcBorders>
              <w:bottom w:val="single" w:color="auto" w:sz="0" w:space="0"/>
              <w:insideH w:val="single" w:sz="0" w:space="0"/>
            </w:tcBorders>
            <w:vAlign w:val="bottom"/>
          </w:tcPr>
          <w:p w14:paraId="06710B2F">
            <w:pPr>
              <w:pStyle w:val="52"/>
              <w:spacing w:line="360" w:lineRule="auto"/>
              <w:jc w:val="both"/>
              <w:rPr>
                <w:sz w:val="21"/>
                <w:szCs w:val="21"/>
              </w:rPr>
            </w:pPr>
            <w:r>
              <w:rPr>
                <w:rFonts w:hint="eastAsia"/>
                <w:sz w:val="21"/>
                <w:szCs w:val="21"/>
              </w:rPr>
              <w:t>评测基准</w:t>
            </w:r>
          </w:p>
        </w:tc>
        <w:tc>
          <w:tcPr>
            <w:tcW w:w="954" w:type="pct"/>
            <w:tcBorders>
              <w:bottom w:val="single" w:color="auto" w:sz="0" w:space="0"/>
              <w:insideH w:val="single" w:sz="0" w:space="0"/>
            </w:tcBorders>
            <w:vAlign w:val="bottom"/>
          </w:tcPr>
          <w:p w14:paraId="15412D45">
            <w:pPr>
              <w:pStyle w:val="52"/>
              <w:spacing w:line="360" w:lineRule="auto"/>
              <w:jc w:val="both"/>
              <w:rPr>
                <w:sz w:val="21"/>
                <w:szCs w:val="21"/>
              </w:rPr>
            </w:pPr>
            <w:r>
              <w:rPr>
                <w:rFonts w:hint="eastAsia"/>
                <w:sz w:val="21"/>
                <w:szCs w:val="21"/>
              </w:rPr>
              <w:t>关键数据/设计</w:t>
            </w:r>
          </w:p>
        </w:tc>
        <w:tc>
          <w:tcPr>
            <w:tcW w:w="1419" w:type="pct"/>
            <w:tcBorders>
              <w:bottom w:val="single" w:color="auto" w:sz="0" w:space="0"/>
              <w:insideH w:val="single" w:sz="0" w:space="0"/>
            </w:tcBorders>
            <w:vAlign w:val="bottom"/>
          </w:tcPr>
          <w:p w14:paraId="6F234031">
            <w:pPr>
              <w:pStyle w:val="52"/>
              <w:spacing w:line="360" w:lineRule="auto"/>
              <w:jc w:val="both"/>
              <w:rPr>
                <w:sz w:val="21"/>
                <w:szCs w:val="21"/>
              </w:rPr>
            </w:pPr>
            <w:r>
              <w:rPr>
                <w:rFonts w:hint="eastAsia"/>
                <w:sz w:val="21"/>
                <w:szCs w:val="21"/>
              </w:rPr>
              <w:t>代表性结果</w:t>
            </w:r>
          </w:p>
        </w:tc>
      </w:tr>
      <w:tr w14:paraId="04D03183">
        <w:tblPrEx>
          <w:tblCellMar>
            <w:top w:w="0" w:type="dxa"/>
            <w:left w:w="108" w:type="dxa"/>
            <w:bottom w:w="0" w:type="dxa"/>
            <w:right w:w="108" w:type="dxa"/>
          </w:tblCellMar>
        </w:tblPrEx>
        <w:tc>
          <w:tcPr>
            <w:tcW w:w="628" w:type="pct"/>
          </w:tcPr>
          <w:p w14:paraId="257C4274">
            <w:pPr>
              <w:pStyle w:val="52"/>
              <w:spacing w:line="360" w:lineRule="auto"/>
              <w:jc w:val="both"/>
              <w:rPr>
                <w:sz w:val="21"/>
                <w:szCs w:val="21"/>
              </w:rPr>
            </w:pPr>
            <w:r>
              <w:rPr>
                <w:sz w:val="21"/>
                <w:szCs w:val="21"/>
              </w:rPr>
              <w:t>CR³</w:t>
            </w:r>
          </w:p>
        </w:tc>
        <w:tc>
          <w:tcPr>
            <w:tcW w:w="878" w:type="pct"/>
          </w:tcPr>
          <w:p w14:paraId="4B1718AC">
            <w:pPr>
              <w:pStyle w:val="52"/>
              <w:spacing w:line="360" w:lineRule="auto"/>
              <w:jc w:val="both"/>
              <w:rPr>
                <w:sz w:val="21"/>
                <w:szCs w:val="21"/>
              </w:rPr>
            </w:pPr>
            <w:r>
              <w:rPr>
                <w:sz w:val="21"/>
                <w:szCs w:val="21"/>
              </w:rPr>
              <w:t>Qwen2.5-VL-7B / InternVL3-8B</w:t>
            </w:r>
          </w:p>
        </w:tc>
        <w:tc>
          <w:tcPr>
            <w:tcW w:w="1119" w:type="pct"/>
          </w:tcPr>
          <w:p w14:paraId="1556FF94">
            <w:pPr>
              <w:pStyle w:val="52"/>
              <w:spacing w:line="360" w:lineRule="auto"/>
              <w:jc w:val="both"/>
              <w:rPr>
                <w:sz w:val="21"/>
                <w:szCs w:val="21"/>
              </w:rPr>
            </w:pPr>
            <w:r>
              <w:rPr>
                <w:sz w:val="21"/>
                <w:szCs w:val="21"/>
              </w:rPr>
              <w:t>MMVP/Winoground/Cola</w:t>
            </w:r>
          </w:p>
        </w:tc>
        <w:tc>
          <w:tcPr>
            <w:tcW w:w="954" w:type="pct"/>
          </w:tcPr>
          <w:p w14:paraId="268A7697">
            <w:pPr>
              <w:pStyle w:val="52"/>
              <w:spacing w:line="360" w:lineRule="auto"/>
              <w:jc w:val="both"/>
              <w:rPr>
                <w:sz w:val="21"/>
                <w:szCs w:val="21"/>
              </w:rPr>
            </w:pPr>
            <w:r>
              <w:rPr>
                <w:rFonts w:hint="eastAsia"/>
                <w:sz w:val="21"/>
                <w:szCs w:val="21"/>
              </w:rPr>
              <w:t>语义+视觉双重筛选：18.5</w:t>
            </w:r>
            <w:r>
              <w:rPr>
                <w:sz w:val="21"/>
                <w:szCs w:val="21"/>
              </w:rPr>
              <w:t xml:space="preserve"> </w:t>
            </w:r>
            <w:r>
              <w:rPr>
                <w:rFonts w:hint="eastAsia"/>
                <w:sz w:val="21"/>
                <w:szCs w:val="21"/>
              </w:rPr>
              <w:t>万→1.89</w:t>
            </w:r>
            <w:r>
              <w:rPr>
                <w:sz w:val="21"/>
                <w:szCs w:val="21"/>
              </w:rPr>
              <w:t xml:space="preserve"> </w:t>
            </w:r>
            <w:r>
              <w:rPr>
                <w:rFonts w:hint="eastAsia"/>
                <w:sz w:val="21"/>
                <w:szCs w:val="21"/>
              </w:rPr>
              <w:t>万难负样本</w:t>
            </w:r>
          </w:p>
        </w:tc>
        <w:tc>
          <w:tcPr>
            <w:tcW w:w="1419" w:type="pct"/>
          </w:tcPr>
          <w:p w14:paraId="329D38C9">
            <w:pPr>
              <w:pStyle w:val="52"/>
              <w:spacing w:line="360" w:lineRule="auto"/>
              <w:jc w:val="both"/>
              <w:rPr>
                <w:sz w:val="21"/>
                <w:szCs w:val="21"/>
              </w:rPr>
            </w:pPr>
            <w:r>
              <w:rPr>
                <w:rFonts w:hint="eastAsia"/>
                <w:sz w:val="21"/>
                <w:szCs w:val="21"/>
                <w:lang w:val="en-US" w:eastAsia="zh-CN"/>
              </w:rPr>
              <w:t>较原始基线平均超 9 点，较 SFT 超 5 点</w:t>
            </w:r>
          </w:p>
        </w:tc>
      </w:tr>
      <w:tr w14:paraId="340110D2">
        <w:tblPrEx>
          <w:tblCellMar>
            <w:top w:w="0" w:type="dxa"/>
            <w:left w:w="108" w:type="dxa"/>
            <w:bottom w:w="0" w:type="dxa"/>
            <w:right w:w="108" w:type="dxa"/>
          </w:tblCellMar>
        </w:tblPrEx>
        <w:tc>
          <w:tcPr>
            <w:tcW w:w="628" w:type="pct"/>
          </w:tcPr>
          <w:p w14:paraId="7503798A">
            <w:pPr>
              <w:pStyle w:val="52"/>
              <w:spacing w:line="360" w:lineRule="auto"/>
              <w:jc w:val="both"/>
              <w:rPr>
                <w:sz w:val="21"/>
                <w:szCs w:val="21"/>
              </w:rPr>
            </w:pPr>
            <w:r>
              <w:rPr>
                <w:sz w:val="21"/>
                <w:szCs w:val="21"/>
              </w:rPr>
              <w:t>SpatialThinker</w:t>
            </w:r>
          </w:p>
        </w:tc>
        <w:tc>
          <w:tcPr>
            <w:tcW w:w="878" w:type="pct"/>
          </w:tcPr>
          <w:p w14:paraId="4D6F0694">
            <w:pPr>
              <w:pStyle w:val="52"/>
              <w:spacing w:line="360" w:lineRule="auto"/>
              <w:jc w:val="both"/>
              <w:rPr>
                <w:sz w:val="21"/>
                <w:szCs w:val="21"/>
              </w:rPr>
            </w:pPr>
            <w:r>
              <w:rPr>
                <w:sz w:val="21"/>
                <w:szCs w:val="21"/>
              </w:rPr>
              <w:t>7B</w:t>
            </w:r>
          </w:p>
        </w:tc>
        <w:tc>
          <w:tcPr>
            <w:tcW w:w="1119" w:type="pct"/>
          </w:tcPr>
          <w:p w14:paraId="44A4FEF2">
            <w:pPr>
              <w:pStyle w:val="52"/>
              <w:spacing w:line="360" w:lineRule="auto"/>
              <w:jc w:val="both"/>
              <w:rPr>
                <w:sz w:val="21"/>
                <w:szCs w:val="21"/>
              </w:rPr>
            </w:pPr>
            <w:r>
              <w:rPr>
                <w:sz w:val="21"/>
                <w:szCs w:val="21"/>
              </w:rPr>
              <w:t xml:space="preserve">14 </w:t>
            </w:r>
            <w:r>
              <w:rPr>
                <w:rFonts w:hint="eastAsia"/>
                <w:sz w:val="21"/>
                <w:szCs w:val="21"/>
              </w:rPr>
              <w:t>基准</w:t>
            </w:r>
          </w:p>
        </w:tc>
        <w:tc>
          <w:tcPr>
            <w:tcW w:w="954" w:type="pct"/>
          </w:tcPr>
          <w:p w14:paraId="151E121C">
            <w:pPr>
              <w:pStyle w:val="52"/>
              <w:spacing w:line="360" w:lineRule="auto"/>
              <w:jc w:val="both"/>
              <w:rPr>
                <w:sz w:val="21"/>
                <w:szCs w:val="21"/>
              </w:rPr>
            </w:pPr>
            <w:r>
              <w:rPr>
                <w:rFonts w:hint="eastAsia"/>
                <w:sz w:val="21"/>
                <w:szCs w:val="21"/>
              </w:rPr>
              <w:t>匈牙利匹配</w:t>
            </w:r>
            <w:r>
              <w:rPr>
                <w:sz w:val="21"/>
                <w:szCs w:val="21"/>
              </w:rPr>
              <w:t xml:space="preserve"> + CIoU </w:t>
            </w:r>
            <w:r>
              <w:rPr>
                <w:rFonts w:hint="eastAsia"/>
                <w:sz w:val="21"/>
                <w:szCs w:val="21"/>
              </w:rPr>
              <w:t>稠密梯度</w:t>
            </w:r>
          </w:p>
        </w:tc>
        <w:tc>
          <w:tcPr>
            <w:tcW w:w="1419" w:type="pct"/>
          </w:tcPr>
          <w:p w14:paraId="7C2411C5">
            <w:pPr>
              <w:pStyle w:val="52"/>
              <w:spacing w:line="360" w:lineRule="auto"/>
              <w:jc w:val="both"/>
              <w:rPr>
                <w:sz w:val="21"/>
                <w:szCs w:val="21"/>
              </w:rPr>
            </w:pPr>
            <w:r>
              <w:rPr>
                <w:rFonts w:hint="eastAsia"/>
                <w:sz w:val="21"/>
                <w:szCs w:val="21"/>
              </w:rPr>
              <w:t>14 基准平均超 GPT-4o 4.7 个百分点</w:t>
            </w:r>
          </w:p>
        </w:tc>
      </w:tr>
      <w:tr w14:paraId="597F95AA">
        <w:tblPrEx>
          <w:tblCellMar>
            <w:top w:w="0" w:type="dxa"/>
            <w:left w:w="108" w:type="dxa"/>
            <w:bottom w:w="0" w:type="dxa"/>
            <w:right w:w="108" w:type="dxa"/>
          </w:tblCellMar>
        </w:tblPrEx>
        <w:tc>
          <w:tcPr>
            <w:tcW w:w="628" w:type="pct"/>
          </w:tcPr>
          <w:p w14:paraId="2E325157">
            <w:pPr>
              <w:pStyle w:val="52"/>
              <w:spacing w:line="360" w:lineRule="auto"/>
              <w:jc w:val="both"/>
              <w:rPr>
                <w:sz w:val="21"/>
                <w:szCs w:val="21"/>
              </w:rPr>
            </w:pPr>
            <w:r>
              <w:rPr>
                <w:sz w:val="21"/>
                <w:szCs w:val="21"/>
              </w:rPr>
              <w:t>SVQA-R1</w:t>
            </w:r>
          </w:p>
        </w:tc>
        <w:tc>
          <w:tcPr>
            <w:tcW w:w="878" w:type="pct"/>
          </w:tcPr>
          <w:p w14:paraId="35553711">
            <w:pPr>
              <w:pStyle w:val="52"/>
              <w:spacing w:line="360" w:lineRule="auto"/>
              <w:jc w:val="both"/>
              <w:rPr>
                <w:sz w:val="21"/>
                <w:szCs w:val="21"/>
              </w:rPr>
            </w:pPr>
            <w:r>
              <w:rPr>
                <w:sz w:val="21"/>
                <w:szCs w:val="21"/>
              </w:rPr>
              <w:t>3B</w:t>
            </w:r>
          </w:p>
        </w:tc>
        <w:tc>
          <w:tcPr>
            <w:tcW w:w="1119" w:type="pct"/>
          </w:tcPr>
          <w:p w14:paraId="425CF49E">
            <w:pPr>
              <w:pStyle w:val="52"/>
              <w:spacing w:line="360" w:lineRule="auto"/>
              <w:jc w:val="both"/>
              <w:rPr>
                <w:sz w:val="21"/>
                <w:szCs w:val="21"/>
              </w:rPr>
            </w:pPr>
            <w:r>
              <w:rPr>
                <w:sz w:val="21"/>
                <w:szCs w:val="21"/>
              </w:rPr>
              <w:t>Q-Spatial++</w:t>
            </w:r>
          </w:p>
        </w:tc>
        <w:tc>
          <w:tcPr>
            <w:tcW w:w="954" w:type="pct"/>
          </w:tcPr>
          <w:p w14:paraId="041AEAB4">
            <w:pPr>
              <w:pStyle w:val="52"/>
              <w:spacing w:line="360" w:lineRule="auto"/>
              <w:jc w:val="both"/>
              <w:rPr>
                <w:sz w:val="21"/>
                <w:szCs w:val="21"/>
              </w:rPr>
            </w:pPr>
            <w:r>
              <w:rPr>
                <w:rFonts w:hint="eastAsia"/>
                <w:sz w:val="21"/>
                <w:szCs w:val="21"/>
              </w:rPr>
              <w:t>镜像翻转问答对</w:t>
            </w:r>
          </w:p>
        </w:tc>
        <w:tc>
          <w:tcPr>
            <w:tcW w:w="1419" w:type="pct"/>
          </w:tcPr>
          <w:p w14:paraId="47909045">
            <w:pPr>
              <w:pStyle w:val="52"/>
              <w:spacing w:line="360" w:lineRule="auto"/>
              <w:jc w:val="both"/>
              <w:rPr>
                <w:sz w:val="21"/>
                <w:szCs w:val="21"/>
              </w:rPr>
            </w:pPr>
            <w:r>
              <w:rPr>
                <w:rFonts w:hint="eastAsia"/>
                <w:sz w:val="21"/>
                <w:szCs w:val="21"/>
              </w:rPr>
              <w:t>较 SFT(CoT) 提升超 30 个百分点</w:t>
            </w:r>
          </w:p>
        </w:tc>
      </w:tr>
      <w:tr w14:paraId="4F9F7DBF">
        <w:tblPrEx>
          <w:tblCellMar>
            <w:top w:w="0" w:type="dxa"/>
            <w:left w:w="108" w:type="dxa"/>
            <w:bottom w:w="0" w:type="dxa"/>
            <w:right w:w="108" w:type="dxa"/>
          </w:tblCellMar>
        </w:tblPrEx>
        <w:tc>
          <w:tcPr>
            <w:tcW w:w="628" w:type="pct"/>
          </w:tcPr>
          <w:p w14:paraId="5CDA70AA">
            <w:pPr>
              <w:pStyle w:val="52"/>
              <w:spacing w:line="360" w:lineRule="auto"/>
              <w:jc w:val="both"/>
              <w:rPr>
                <w:sz w:val="21"/>
                <w:szCs w:val="21"/>
              </w:rPr>
            </w:pPr>
            <w:r>
              <w:rPr>
                <w:sz w:val="21"/>
                <w:szCs w:val="21"/>
              </w:rPr>
              <w:t>Ground-R1</w:t>
            </w:r>
          </w:p>
        </w:tc>
        <w:tc>
          <w:tcPr>
            <w:tcW w:w="878" w:type="pct"/>
          </w:tcPr>
          <w:p w14:paraId="7D24F1EE">
            <w:pPr>
              <w:pStyle w:val="52"/>
              <w:spacing w:line="360" w:lineRule="auto"/>
              <w:jc w:val="both"/>
              <w:rPr>
                <w:sz w:val="21"/>
                <w:szCs w:val="21"/>
              </w:rPr>
            </w:pPr>
            <w:r>
              <w:rPr>
                <w:sz w:val="21"/>
                <w:szCs w:val="21"/>
              </w:rPr>
              <w:t>Qwen2.5-VL-7B</w:t>
            </w:r>
          </w:p>
        </w:tc>
        <w:tc>
          <w:tcPr>
            <w:tcW w:w="1119" w:type="pct"/>
          </w:tcPr>
          <w:p w14:paraId="3BFF593D">
            <w:pPr>
              <w:pStyle w:val="52"/>
              <w:spacing w:line="360" w:lineRule="auto"/>
              <w:jc w:val="both"/>
              <w:rPr>
                <w:sz w:val="21"/>
                <w:szCs w:val="21"/>
              </w:rPr>
            </w:pPr>
            <w:r>
              <w:rPr>
                <w:rFonts w:hint="eastAsia"/>
                <w:sz w:val="21"/>
                <w:szCs w:val="21"/>
              </w:rPr>
              <w:t>通用 LVLM + 高分辨率 + 接地</w:t>
            </w:r>
          </w:p>
        </w:tc>
        <w:tc>
          <w:tcPr>
            <w:tcW w:w="954" w:type="pct"/>
          </w:tcPr>
          <w:p w14:paraId="7A944CC1">
            <w:pPr>
              <w:pStyle w:val="52"/>
              <w:spacing w:line="360" w:lineRule="auto"/>
              <w:jc w:val="both"/>
              <w:rPr>
                <w:sz w:val="21"/>
                <w:szCs w:val="21"/>
              </w:rPr>
            </w:pPr>
            <w:r>
              <w:rPr>
                <w:rFonts w:hint="eastAsia"/>
                <w:sz w:val="21"/>
                <w:szCs w:val="21"/>
              </w:rPr>
              <w:t>两阶段 rollout + 尺度分箱归一化</w:t>
            </w:r>
          </w:p>
        </w:tc>
        <w:tc>
          <w:tcPr>
            <w:tcW w:w="1419" w:type="pct"/>
          </w:tcPr>
          <w:p w14:paraId="10453E6C">
            <w:pPr>
              <w:pStyle w:val="52"/>
              <w:spacing w:line="360" w:lineRule="auto"/>
              <w:jc w:val="both"/>
              <w:rPr>
                <w:sz w:val="21"/>
                <w:szCs w:val="21"/>
              </w:rPr>
            </w:pPr>
            <w:r>
              <w:rPr>
                <w:rFonts w:hint="eastAsia"/>
                <w:sz w:val="21"/>
                <w:szCs w:val="21"/>
              </w:rPr>
              <w:t>较标准 GRPO：V* +2.1、HR-4K +1.2 个百分点</w:t>
            </w:r>
          </w:p>
        </w:tc>
      </w:tr>
      <w:tr w14:paraId="6954CC54">
        <w:tblPrEx>
          <w:tblCellMar>
            <w:top w:w="0" w:type="dxa"/>
            <w:left w:w="108" w:type="dxa"/>
            <w:bottom w:w="0" w:type="dxa"/>
            <w:right w:w="108" w:type="dxa"/>
          </w:tblCellMar>
        </w:tblPrEx>
        <w:tc>
          <w:tcPr>
            <w:tcW w:w="628" w:type="pct"/>
          </w:tcPr>
          <w:p w14:paraId="295C9C27">
            <w:pPr>
              <w:pStyle w:val="52"/>
              <w:spacing w:line="360" w:lineRule="auto"/>
              <w:jc w:val="both"/>
              <w:rPr>
                <w:sz w:val="21"/>
                <w:szCs w:val="21"/>
              </w:rPr>
            </w:pPr>
            <w:r>
              <w:rPr>
                <w:sz w:val="21"/>
                <w:szCs w:val="21"/>
              </w:rPr>
              <w:t>GRIT</w:t>
            </w:r>
          </w:p>
        </w:tc>
        <w:tc>
          <w:tcPr>
            <w:tcW w:w="878" w:type="pct"/>
          </w:tcPr>
          <w:p w14:paraId="2FD2443E">
            <w:pPr>
              <w:pStyle w:val="52"/>
              <w:spacing w:line="360" w:lineRule="auto"/>
              <w:jc w:val="both"/>
              <w:rPr>
                <w:sz w:val="21"/>
                <w:szCs w:val="21"/>
              </w:rPr>
            </w:pPr>
            <w:r>
              <w:rPr>
                <w:sz w:val="21"/>
                <w:szCs w:val="21"/>
              </w:rPr>
              <w:t>Qwen2.5-VL-3B / InternVL3-2B</w:t>
            </w:r>
          </w:p>
        </w:tc>
        <w:tc>
          <w:tcPr>
            <w:tcW w:w="1119" w:type="pct"/>
          </w:tcPr>
          <w:p w14:paraId="7EE84E2F">
            <w:pPr>
              <w:pStyle w:val="52"/>
              <w:spacing w:line="360" w:lineRule="auto"/>
              <w:jc w:val="both"/>
              <w:rPr>
                <w:sz w:val="21"/>
                <w:szCs w:val="21"/>
              </w:rPr>
            </w:pPr>
            <w:r>
              <w:rPr>
                <w:rFonts w:hint="eastAsia"/>
                <w:sz w:val="21"/>
                <w:szCs w:val="21"/>
              </w:rPr>
              <w:t>VSR/TallyQA/GQA/MathVista/MME/OVDEval（六数据集七测试集）</w:t>
            </w:r>
          </w:p>
        </w:tc>
        <w:tc>
          <w:tcPr>
            <w:tcW w:w="954" w:type="pct"/>
          </w:tcPr>
          <w:p w14:paraId="36AA36D3">
            <w:pPr>
              <w:pStyle w:val="52"/>
              <w:spacing w:line="360" w:lineRule="auto"/>
              <w:jc w:val="both"/>
              <w:rPr>
                <w:sz w:val="21"/>
                <w:szCs w:val="21"/>
              </w:rPr>
            </w:pPr>
            <w:r>
              <w:rPr>
                <w:rFonts w:hint="eastAsia"/>
                <w:sz w:val="21"/>
                <w:szCs w:val="21"/>
              </w:rPr>
              <w:t>bbox 坐标内嵌思维链（仅 20 个问答三元组）</w:t>
            </w:r>
          </w:p>
        </w:tc>
        <w:tc>
          <w:tcPr>
            <w:tcW w:w="1419" w:type="pct"/>
          </w:tcPr>
          <w:p w14:paraId="73882502">
            <w:pPr>
              <w:pStyle w:val="52"/>
              <w:spacing w:line="360" w:lineRule="auto"/>
              <w:jc w:val="both"/>
              <w:rPr>
                <w:sz w:val="21"/>
                <w:szCs w:val="21"/>
              </w:rPr>
            </w:pPr>
            <w:r>
              <w:rPr>
                <w:rFonts w:hint="eastAsia" w:ascii="Times New Roman" w:eastAsia="宋体"/>
                <w:sz w:val="21"/>
                <w:szCs w:val="21"/>
              </w:rPr>
              <w:t>接地 IoU 0.349→0.387</w:t>
            </w:r>
          </w:p>
        </w:tc>
      </w:tr>
      <w:tr w14:paraId="54CBE239">
        <w:tblPrEx>
          <w:tblCellMar>
            <w:top w:w="0" w:type="dxa"/>
            <w:left w:w="108" w:type="dxa"/>
            <w:bottom w:w="0" w:type="dxa"/>
            <w:right w:w="108" w:type="dxa"/>
          </w:tblCellMar>
        </w:tblPrEx>
        <w:tc>
          <w:tcPr>
            <w:tcW w:w="628" w:type="pct"/>
          </w:tcPr>
          <w:p w14:paraId="1C6FCF35">
            <w:pPr>
              <w:pStyle w:val="52"/>
              <w:spacing w:line="360" w:lineRule="auto"/>
              <w:jc w:val="both"/>
              <w:rPr>
                <w:sz w:val="21"/>
                <w:szCs w:val="21"/>
              </w:rPr>
            </w:pPr>
            <w:r>
              <w:rPr>
                <w:sz w:val="21"/>
                <w:szCs w:val="21"/>
              </w:rPr>
              <w:t>POLIA</w:t>
            </w:r>
          </w:p>
        </w:tc>
        <w:tc>
          <w:tcPr>
            <w:tcW w:w="878" w:type="pct"/>
          </w:tcPr>
          <w:p w14:paraId="1423DCBF">
            <w:pPr>
              <w:pStyle w:val="52"/>
              <w:spacing w:line="360" w:lineRule="auto"/>
              <w:jc w:val="both"/>
              <w:rPr>
                <w:sz w:val="21"/>
                <w:szCs w:val="21"/>
              </w:rPr>
            </w:pPr>
            <w:r>
              <w:rPr>
                <w:sz w:val="21"/>
                <w:szCs w:val="21"/>
              </w:rPr>
              <w:t>Qwen2.5-VL-7B</w:t>
            </w:r>
          </w:p>
        </w:tc>
        <w:tc>
          <w:tcPr>
            <w:tcW w:w="1119" w:type="pct"/>
          </w:tcPr>
          <w:p w14:paraId="124BF19F">
            <w:pPr>
              <w:pStyle w:val="52"/>
              <w:spacing w:line="360" w:lineRule="auto"/>
              <w:jc w:val="both"/>
              <w:rPr>
                <w:sz w:val="21"/>
                <w:szCs w:val="21"/>
              </w:rPr>
            </w:pPr>
            <w:r>
              <w:rPr>
                <w:rFonts w:hint="eastAsia"/>
                <w:sz w:val="21"/>
                <w:szCs w:val="21"/>
              </w:rPr>
              <w:t>VSR 等 7 基准</w:t>
            </w:r>
          </w:p>
        </w:tc>
        <w:tc>
          <w:tcPr>
            <w:tcW w:w="954" w:type="pct"/>
          </w:tcPr>
          <w:p w14:paraId="1AE35001">
            <w:pPr>
              <w:pStyle w:val="52"/>
              <w:spacing w:line="360" w:lineRule="auto"/>
              <w:jc w:val="both"/>
              <w:rPr>
                <w:sz w:val="21"/>
                <w:szCs w:val="21"/>
              </w:rPr>
            </w:pPr>
            <w:r>
              <w:rPr>
                <w:rFonts w:hint="eastAsia"/>
                <w:sz w:val="21"/>
                <w:szCs w:val="21"/>
              </w:rPr>
              <w:t>双层优势</w:t>
            </w:r>
            <w:r>
              <w:rPr>
                <w:sz w:val="21"/>
                <w:szCs w:val="21"/>
              </w:rPr>
              <w:t xml:space="preserv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Pr>
          <w:p w14:paraId="6B6B06CB">
            <w:pPr>
              <w:pStyle w:val="52"/>
              <w:spacing w:line="360" w:lineRule="auto"/>
              <w:jc w:val="both"/>
              <w:rPr>
                <w:sz w:val="21"/>
                <w:szCs w:val="21"/>
              </w:rPr>
            </w:pPr>
            <w:r>
              <w:rPr>
                <w:rFonts w:hint="eastAsia"/>
                <w:sz w:val="21"/>
                <w:szCs w:val="21"/>
              </w:rPr>
              <w:t>GRPO 基线 59.0→81.3</w:t>
            </w:r>
          </w:p>
        </w:tc>
      </w:tr>
      <w:tr w14:paraId="14F546CD">
        <w:tblPrEx>
          <w:tblCellMar>
            <w:top w:w="0" w:type="dxa"/>
            <w:left w:w="108" w:type="dxa"/>
            <w:bottom w:w="0" w:type="dxa"/>
            <w:right w:w="108" w:type="dxa"/>
          </w:tblCellMar>
        </w:tblPrEx>
        <w:tc>
          <w:tcPr>
            <w:tcW w:w="628" w:type="pct"/>
          </w:tcPr>
          <w:p w14:paraId="0A17BF36">
            <w:pPr>
              <w:pStyle w:val="52"/>
              <w:spacing w:line="360" w:lineRule="auto"/>
              <w:jc w:val="both"/>
              <w:rPr>
                <w:sz w:val="21"/>
                <w:szCs w:val="21"/>
              </w:rPr>
            </w:pPr>
            <w:r>
              <w:rPr>
                <w:sz w:val="21"/>
                <w:szCs w:val="21"/>
              </w:rPr>
              <w:t>Self-Questioning</w:t>
            </w:r>
          </w:p>
        </w:tc>
        <w:tc>
          <w:tcPr>
            <w:tcW w:w="878" w:type="pct"/>
          </w:tcPr>
          <w:p w14:paraId="646C83C8">
            <w:pPr>
              <w:pStyle w:val="52"/>
              <w:spacing w:line="360" w:lineRule="auto"/>
              <w:jc w:val="both"/>
              <w:rPr>
                <w:sz w:val="21"/>
                <w:szCs w:val="21"/>
              </w:rPr>
            </w:pPr>
            <w:r>
              <w:rPr>
                <w:sz w:val="21"/>
                <w:szCs w:val="21"/>
              </w:rPr>
              <w:t>Qwen2.5-VL-3B</w:t>
            </w:r>
          </w:p>
        </w:tc>
        <w:tc>
          <w:tcPr>
            <w:tcW w:w="1119" w:type="pct"/>
          </w:tcPr>
          <w:p w14:paraId="0548CF12">
            <w:pPr>
              <w:pStyle w:val="52"/>
              <w:spacing w:line="360" w:lineRule="auto"/>
              <w:jc w:val="both"/>
              <w:rPr>
                <w:sz w:val="21"/>
                <w:szCs w:val="21"/>
              </w:rPr>
            </w:pPr>
            <w:r>
              <w:rPr>
                <w:sz w:val="21"/>
                <w:szCs w:val="21"/>
              </w:rPr>
              <w:t>A-OKVQA</w:t>
            </w:r>
          </w:p>
        </w:tc>
        <w:tc>
          <w:tcPr>
            <w:tcW w:w="954" w:type="pct"/>
          </w:tcPr>
          <w:p w14:paraId="6BBE8853">
            <w:pPr>
              <w:pStyle w:val="52"/>
              <w:spacing w:line="360" w:lineRule="auto"/>
              <w:jc w:val="both"/>
              <w:rPr>
                <w:sz w:val="21"/>
                <w:szCs w:val="21"/>
              </w:rPr>
            </w:pPr>
            <w:r>
              <w:rPr>
                <w:rFonts w:hint="eastAsia"/>
                <w:sz w:val="21"/>
                <w:szCs w:val="21"/>
              </w:rPr>
              <w:t>子问题质量刻意不检查</w:t>
            </w:r>
          </w:p>
        </w:tc>
        <w:tc>
          <w:tcPr>
            <w:tcW w:w="1419" w:type="pct"/>
          </w:tcPr>
          <w:p w14:paraId="353A6813">
            <w:pPr>
              <w:pStyle w:val="52"/>
              <w:spacing w:line="360" w:lineRule="auto"/>
              <w:jc w:val="both"/>
              <w:rPr>
                <w:sz w:val="21"/>
                <w:szCs w:val="21"/>
              </w:rPr>
            </w:pPr>
            <w:r>
              <w:rPr>
                <w:rFonts w:hint="eastAsia"/>
                <w:sz w:val="21"/>
                <w:szCs w:val="21"/>
              </w:rPr>
              <w:t>52.2（基座 46.8 / 标准 RL 51.6）</w:t>
            </w:r>
          </w:p>
        </w:tc>
      </w:tr>
      <w:tr w14:paraId="67E6E17C">
        <w:tblPrEx>
          <w:tblCellMar>
            <w:top w:w="0" w:type="dxa"/>
            <w:left w:w="108" w:type="dxa"/>
            <w:bottom w:w="0" w:type="dxa"/>
            <w:right w:w="108" w:type="dxa"/>
          </w:tblCellMar>
        </w:tblPrEx>
        <w:tc>
          <w:tcPr>
            <w:tcW w:w="628" w:type="pct"/>
          </w:tcPr>
          <w:p w14:paraId="0BBC7CB8">
            <w:pPr>
              <w:pStyle w:val="52"/>
              <w:spacing w:line="360" w:lineRule="auto"/>
              <w:jc w:val="both"/>
              <w:rPr>
                <w:sz w:val="21"/>
                <w:szCs w:val="21"/>
              </w:rPr>
            </w:pPr>
            <w:r>
              <w:rPr>
                <w:sz w:val="21"/>
                <w:szCs w:val="21"/>
              </w:rPr>
              <w:t>H-GRPO</w:t>
            </w:r>
          </w:p>
        </w:tc>
        <w:tc>
          <w:tcPr>
            <w:tcW w:w="878" w:type="pct"/>
          </w:tcPr>
          <w:p w14:paraId="2757AB9C">
            <w:pPr>
              <w:pStyle w:val="52"/>
              <w:spacing w:line="360" w:lineRule="auto"/>
              <w:jc w:val="both"/>
              <w:rPr>
                <w:sz w:val="21"/>
                <w:szCs w:val="21"/>
              </w:rPr>
            </w:pPr>
            <w:r>
              <w:rPr>
                <w:sz w:val="21"/>
                <w:szCs w:val="21"/>
              </w:rPr>
              <w:t>SmolVLM-2.2B / Qwen2.5-VL-3B</w:t>
            </w:r>
          </w:p>
        </w:tc>
        <w:tc>
          <w:tcPr>
            <w:tcW w:w="1119" w:type="pct"/>
          </w:tcPr>
          <w:p w14:paraId="54689C21">
            <w:pPr>
              <w:pStyle w:val="52"/>
              <w:spacing w:line="360" w:lineRule="auto"/>
              <w:jc w:val="both"/>
              <w:rPr>
                <w:sz w:val="21"/>
                <w:szCs w:val="21"/>
              </w:rPr>
            </w:pPr>
            <w:r>
              <w:rPr>
                <w:rFonts w:hint="eastAsia"/>
                <w:sz w:val="21"/>
                <w:szCs w:val="21"/>
              </w:rPr>
              <w:t>A-OKVQA/Visual7W 与 OOD 基准（MMMU/RealWorldQA/RoboSpatial/MMStar）</w:t>
            </w:r>
          </w:p>
        </w:tc>
        <w:tc>
          <w:tcPr>
            <w:tcW w:w="954" w:type="pct"/>
          </w:tcPr>
          <w:p w14:paraId="1108479B">
            <w:pPr>
              <w:pStyle w:val="52"/>
              <w:spacing w:line="360" w:lineRule="auto"/>
              <w:jc w:val="both"/>
              <w:rPr>
                <w:sz w:val="21"/>
                <w:szCs w:val="21"/>
              </w:rPr>
            </w:pPr>
            <w:r>
              <w:rPr>
                <w:rFonts w:hint="eastAsia"/>
                <w:sz w:val="21"/>
                <w:szCs w:val="21"/>
              </w:rPr>
              <w:t>三元组序列（子问题/子答案/证据框）匹配</w:t>
            </w:r>
          </w:p>
        </w:tc>
        <w:tc>
          <w:tcPr>
            <w:tcW w:w="1419" w:type="pct"/>
          </w:tcPr>
          <w:p w14:paraId="7F18B655">
            <w:pPr>
              <w:pStyle w:val="52"/>
              <w:spacing w:line="360" w:lineRule="auto"/>
              <w:jc w:val="both"/>
              <w:rPr>
                <w:sz w:val="21"/>
                <w:szCs w:val="21"/>
              </w:rPr>
            </w:pPr>
            <w:r>
              <w:rPr>
                <w:sz w:val="21"/>
                <w:szCs w:val="21"/>
              </w:rPr>
              <w:t>SmolVLM-2.2B A-OKVQA 73.4%</w:t>
            </w:r>
            <w:bookmarkStart w:id="17" w:name="_GoBack"/>
            <w:bookmarkEnd w:id="17"/>
          </w:p>
        </w:tc>
      </w:tr>
    </w:tbl>
    <w:p w14:paraId="6955F313">
      <w:pPr>
        <w:pStyle w:val="3"/>
        <w:spacing w:line="360" w:lineRule="auto"/>
        <w:jc w:val="both"/>
      </w:pPr>
      <w:r>
        <w:rPr>
          <w:rFonts w:hint="eastAsia"/>
          <w:color w:val="000000"/>
        </w:rPr>
        <w:t>注：表中数值均为论文报告值；“提升”“超出”均指绝对百分点（含 SVQA-R1 的 +30 点）；GIoU 为接地 IoU。各方法基座、训练数据与评测协议不同，数值不可直接横向比较（见 4.3 节）。</w:t>
      </w:r>
    </w:p>
    <w:p w14:paraId="5E7529BF">
      <w:pPr>
        <w:pStyle w:val="87"/>
        <w:spacing w:line="360" w:lineRule="auto"/>
        <w:jc w:val="both"/>
      </w:pPr>
      <w:r>
        <w:drawing>
          <wp:inline distT="0" distB="0" distL="114300" distR="114300">
            <wp:extent cx="5334000" cy="2858135"/>
            <wp:effectExtent l="0" t="0" r="0" b="8890"/>
            <wp:docPr id="2"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1：奖励信号设计空间演化示意图（草稿）"/>
                    <pic:cNvPicPr>
                      <a:picLocks noChangeAspect="1" noChangeArrowheads="1"/>
                    </pic:cNvPicPr>
                  </pic:nvPicPr>
                  <pic:blipFill>
                    <a:blip r:embed="rId5"/>
                    <a:stretch>
                      <a:fillRect/>
                    </a:stretch>
                  </pic:blipFill>
                  <pic:spPr>
                    <a:xfrm>
                      <a:off x="0" y="0"/>
                      <a:ext cx="5334000" cy="2858476"/>
                    </a:xfrm>
                    <a:prstGeom prst="rect">
                      <a:avLst/>
                    </a:prstGeom>
                    <a:noFill/>
                    <a:ln w="9525">
                      <a:noFill/>
                    </a:ln>
                  </pic:spPr>
                </pic:pic>
              </a:graphicData>
            </a:graphic>
          </wp:inline>
        </w:drawing>
      </w:r>
    </w:p>
    <w:p w14:paraId="7AF7AAF0">
      <w:pPr>
        <w:pStyle w:val="37"/>
        <w:spacing w:line="360" w:lineRule="auto"/>
        <w:jc w:val="center"/>
        <w:rPr>
          <w:i w:val="0"/>
          <w:iCs/>
          <w:sz w:val="21"/>
          <w:szCs w:val="21"/>
        </w:rPr>
      </w:pPr>
      <w:r>
        <w:rPr>
          <w:rFonts w:hint="eastAsia"/>
          <w:i w:val="0"/>
          <w:iCs/>
          <w:sz w:val="21"/>
          <w:szCs w:val="21"/>
        </w:rPr>
        <w:t>图</w:t>
      </w:r>
      <w:r>
        <w:rPr>
          <w:i w:val="0"/>
          <w:iCs/>
          <w:sz w:val="21"/>
          <w:szCs w:val="21"/>
        </w:rPr>
        <w:t xml:space="preserve"> </w:t>
      </w:r>
      <w:r>
        <w:rPr>
          <w:rFonts w:hint="eastAsia"/>
          <w:i w:val="0"/>
          <w:iCs/>
          <w:sz w:val="21"/>
          <w:szCs w:val="21"/>
        </w:rPr>
        <w:t>1：奖励信号设计空间演化示意图</w:t>
      </w:r>
    </w:p>
    <w:bookmarkEnd w:id="5"/>
    <w:bookmarkEnd w:id="9"/>
    <w:p w14:paraId="13C3A140">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p>
    <w:p w14:paraId="34DC53B1">
      <w:pPr>
        <w:pStyle w:val="5"/>
        <w:spacing w:line="360" w:lineRule="auto"/>
        <w:jc w:val="both"/>
      </w:pPr>
      <w:bookmarkStart w:id="11" w:name="奖励信号连续谱"/>
      <w:r>
        <w:rPr>
          <w:rFonts w:eastAsia="宋体"/>
        </w:rPr>
        <w:t xml:space="preserve">4.1 </w:t>
      </w:r>
      <w:r>
        <w:rPr>
          <w:rFonts w:hint="eastAsia" w:eastAsia="宋体"/>
        </w:rPr>
        <w:t>奖励信号连续谱</w:t>
      </w:r>
    </w:p>
    <w:p w14:paraId="6CC812F8">
      <w:pPr>
        <w:pStyle w:val="33"/>
        <w:spacing w:line="360" w:lineRule="auto"/>
        <w:ind w:firstLine="480" w:firstLineChars="200"/>
        <w:jc w:val="both"/>
      </w:pPr>
      <w:r>
        <w:rPr>
          <w:rFonts w:hint="eastAsia"/>
          <w:color w:val="000000"/>
        </w:rPr>
        <w:t>3.4 节的三分法在描述上是方便的，但表 3 的粒度刻度揭示了一个更本质的事实：三类方法并非离散的类别，而是同一奖励设计空间中的连续谱。这一判断有数学层面的支撑：如 2.2 节所述，在 token 级策略梯度与单次更新的设定下，标准 GRPO 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奖励设计空间的维度扩展：推理展开维度上自答案级（CR³）经结构级（SpatialThinker）延伸至步骤级（H-GRPO），视觉锚定维度上自区域级（Ground-R1）细化至物体级（POLIA）；两个维度相互独立、不可直接比较，各刻度至今仍在并行发展。</w:t>
      </w:r>
    </w:p>
    <w:bookmarkEnd w:id="11"/>
    <w:p w14:paraId="00A1E46C">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B036517">
      <w:pPr>
        <w:pStyle w:val="33"/>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个评估样本（每样本含 True-path/False-path 一对）由程序化管线生成并机械验证，评分全可复现，最强模型也仅得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4052C8E2">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69BD97E3">
      <w:pPr>
        <w:pStyle w:val="33"/>
        <w:spacing w:line="360" w:lineRule="auto"/>
        <w:ind w:firstLine="480" w:firstLineChars="200"/>
        <w:jc w:val="both"/>
      </w:pPr>
      <w:r>
        <w:rPr>
          <w:rFonts w:hint="eastAsia"/>
          <w:color w:val="000000"/>
        </w:rPr>
        <w:t>三类方法在评测上各行其是：CR³ 报告 MMVP、Winoground、Cola，SpatialThinker 横跨 14 个基准，SVQA-R1 聚焦 Q-Spatial++，Ground-R1 在通用/高分辨率与接地基准上验证，POLIA 在 VSR 等 7 个基准上验证，H-GRPO 则依赖 A-OKVQA/Visual7W 与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16396216">
      <w:pPr>
        <w:pStyle w:val="5"/>
        <w:spacing w:line="360" w:lineRule="auto"/>
        <w:jc w:val="both"/>
      </w:pPr>
      <w:bookmarkStart w:id="14" w:name="开放问题"/>
      <w:r>
        <w:rPr>
          <w:rFonts w:eastAsia="宋体"/>
        </w:rPr>
        <w:t xml:space="preserve">4.4 </w:t>
      </w:r>
      <w:r>
        <w:rPr>
          <w:rFonts w:hint="eastAsia" w:eastAsia="宋体"/>
        </w:rPr>
        <w:t>开放问题</w:t>
      </w:r>
    </w:p>
    <w:p w14:paraId="649E9299">
      <w:pPr>
        <w:pStyle w:val="33"/>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依赖基于 Visual Genome 人工场景图标注合成的 STVQA-7K，POLIA 需要数据集物体标注，Ground-R1 证明了无框监督的可行性，但代价是“看对地方”无法被直接验证。</w:t>
      </w:r>
    </w:p>
    <w:bookmarkEnd w:id="10"/>
    <w:bookmarkEnd w:id="14"/>
    <w:p w14:paraId="643A9F6F">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BD77729">
      <w:pPr>
        <w:pStyle w:val="33"/>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27182568">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以数学推理为主（7 个评测基准中 5 个为数学类），是否具备判断组合绑定正确性所需的感知与对齐能力尚待验证；因此“将组合绑定纳入多模态 PRM 的步骤定义”本身是一个尚待验证的前提，而非现成的解决方案。</w:t>
      </w:r>
    </w:p>
    <w:p w14:paraId="5DFBE44A">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45A5E57B">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6DEC7E82">
      <w:pPr>
        <w:pStyle w:val="33"/>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推理展开：答案级→结构级→步骤级；视觉锚定：区域级→物体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5838CA90">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04D96399">
      <w:pPr>
        <w:pStyle w:val="4"/>
        <w:spacing w:line="360" w:lineRule="auto"/>
        <w:jc w:val="both"/>
      </w:pPr>
      <w:r>
        <w:rPr>
          <w:rFonts w:hint="eastAsia" w:ascii="Times New Roman" w:hAnsi="Times New Roman" w:eastAsia="宋体"/>
        </w:rPr>
        <w:t>参考文献</w:t>
      </w:r>
    </w:p>
    <w:p w14:paraId="0355E3F7">
      <w:pPr>
        <w:pStyle w:val="33"/>
        <w:spacing w:before="0" w:after="60" w:line="360" w:lineRule="auto"/>
        <w:ind w:left="480" w:hanging="480" w:hangingChars="200"/>
        <w:jc w:val="both"/>
      </w:pPr>
      <w:r>
        <w:t>[1] Zixian Ma, Jerry Hong, Mustafa Omer Gul, Mona Gandhi, Irena Gao, Ranjay Krishna. CREPE: Can Vision-Language Foundation Models Reason Compositionally? arXiv:2212.07796, CVPR 2023.</w:t>
      </w:r>
    </w:p>
    <w:p w14:paraId="496EABE6">
      <w:pPr>
        <w:pStyle w:val="3"/>
        <w:spacing w:before="0" w:after="60" w:line="360" w:lineRule="auto"/>
        <w:ind w:left="480" w:hanging="480" w:hangingChars="200"/>
        <w:jc w:val="both"/>
      </w:pPr>
      <w:r>
        <w:t>[2] Mert Yuksekgonul, Federico Bianchi, Pratyusha Kalluri, Dan Jurafsky, James Zou. When and Why Vision-Language Models Behave Like Bags-of-Words, and What to Do About It? arXiv:2210.01936, ICLR 2023.</w:t>
      </w:r>
    </w:p>
    <w:p w14:paraId="1AB43532">
      <w:pPr>
        <w:pStyle w:val="3"/>
        <w:spacing w:before="0" w:after="60" w:line="360" w:lineRule="auto"/>
        <w:ind w:left="480" w:hanging="480" w:hangingChars="200"/>
        <w:jc w:val="both"/>
      </w:pPr>
      <w:r>
        <w:t>[3] Cheng-Yu Hsieh, Jieyu Zhang, Zixian Ma, Aniruddha Kembhavi, Ranjay Krishna. SugarCrepe: Fixing Hackable Benchmarks for Vision-Language Compositionality. arXiv:2306.14610, NeurIPS 2023.</w:t>
      </w:r>
    </w:p>
    <w:p w14:paraId="0934EC66">
      <w:pPr>
        <w:pStyle w:val="3"/>
        <w:spacing w:before="0" w:after="60" w:line="360" w:lineRule="auto"/>
        <w:ind w:left="480" w:hanging="480" w:hangingChars="200"/>
        <w:jc w:val="both"/>
      </w:pPr>
      <w:r>
        <w:t>[4] Shun Qian, Bingquan Liu, Chengjie Sun, Peijin Xie, Zhen Xu, Baoxun Wang. CR³: Boosting Compositional Reasoning in MLLMs through Rule-based Reinforcement Learning. AAAI 2026, doi:10.1609/aaai.v40i29.39680.</w:t>
      </w:r>
    </w:p>
    <w:p w14:paraId="19C3F264">
      <w:pPr>
        <w:pStyle w:val="3"/>
        <w:spacing w:before="0" w:after="60" w:line="360" w:lineRule="auto"/>
        <w:ind w:left="480" w:hanging="480" w:hangingChars="200"/>
        <w:jc w:val="both"/>
      </w:pPr>
      <w:r>
        <w:t>[5] Letitia Parcalabescu, Michele Cafagna, Lilitta Muradjan, Anette Frank, Iacer Calixto, Albert Gatt. VALSE: A Task-Independent Benchmark for Vision and Language Models Centered on Linguistic Phenomena. arXiv:2112.07566, ACL 2022.</w:t>
      </w:r>
    </w:p>
    <w:p w14:paraId="77D05269">
      <w:pPr>
        <w:pStyle w:val="3"/>
        <w:spacing w:before="0" w:after="60" w:line="360" w:lineRule="auto"/>
        <w:ind w:left="480" w:hanging="480" w:hangingChars="200"/>
        <w:jc w:val="both"/>
      </w:pPr>
      <w:r>
        <w:t>[6] Zhiqing Sun, Sheng Shen, Shengcao Cao, Haotian Liu, Chunyuan Li, Yikang Shen, Chuang Gan, Liang-Yan Gui, Yu-Xiong Wang, Yiming Yang, Kurt Keutzer, Trevor Darrell. Aligning Large Multimodal Models with Factually Augmented RLHF (LLaVA-RLHF). arXiv:2309.14525.</w:t>
      </w:r>
    </w:p>
    <w:p w14:paraId="086496A5">
      <w:pPr>
        <w:pStyle w:val="3"/>
        <w:spacing w:before="0" w:after="60" w:line="360" w:lineRule="auto"/>
        <w:ind w:left="480" w:hanging="480" w:hangingChars="200"/>
        <w:jc w:val="both"/>
      </w:pPr>
      <w:r>
        <w:t>[7] Tianyu Yu, Yuan Yao, Haoye Zhang, Taiwen He, Yifeng Han, Ganqu Cui, Jinyi Hu, Zhiyuan Liu, Hai-Tao Zheng, Maosong Sun, Tat-Seng Chua. RLHF-V: Towards Trustworthy MLLMs via Behavior Alignment from Fine-grained Correctional Human Feedback. arXiv:2312.00849, CVPR 2024.</w:t>
      </w:r>
    </w:p>
    <w:p w14:paraId="57814A7F">
      <w:pPr>
        <w:pStyle w:val="3"/>
        <w:spacing w:before="0" w:after="60" w:line="360" w:lineRule="auto"/>
        <w:ind w:left="480" w:hanging="480" w:hangingChars="200"/>
        <w:jc w:val="both"/>
      </w:pPr>
      <w:r>
        <w:t>[8] Lei Li, Zhihui Xie, Mukai Li, Shunian Chen, Peiyi Wang, Liang Chen, Yazheng Yang, Benyou Wang, Lingpeng Kong, Qi Liu. VLFeedback: A Large-Scale AI Feedback Dataset for Large Vision-Language Models Alignment (Silkie). arXiv:2410.09421, EMNLP 2024.</w:t>
      </w:r>
    </w:p>
    <w:p w14:paraId="2D3D9860">
      <w:pPr>
        <w:pStyle w:val="3"/>
        <w:spacing w:before="0" w:after="60" w:line="360" w:lineRule="auto"/>
        <w:ind w:left="480" w:hanging="480" w:hangingChars="200"/>
        <w:jc w:val="both"/>
      </w:pPr>
      <w:r>
        <w:t>[9] Zhihong Shao, Peiyi Wang, Qihao Zhu, Runxin Xu, Junxiao Song, Mingchuan Zhang, Y.K. Li, Y. Wu, Daya Guo. DeepSeekMath: Pushing the Limits of Mathematical Reasoning in Open Language Models. arXiv:2402.03300.</w:t>
      </w:r>
    </w:p>
    <w:p w14:paraId="08A00EC9">
      <w:pPr>
        <w:pStyle w:val="3"/>
        <w:spacing w:before="0" w:after="60" w:line="360" w:lineRule="auto"/>
        <w:ind w:left="480" w:hanging="480" w:hangingChars="200"/>
        <w:jc w:val="both"/>
      </w:pPr>
      <w:r>
        <w:rPr>
          <w:rFonts w:ascii="Times New Roman" w:eastAsia="宋体"/>
          <w:color w:val="000000"/>
        </w:rPr>
        <w:t>[10] Rafael Rafailov, Archit Sharma, Eric Mitchell, Stefano Ermon, Christopher D. Manning, Chelsea Finn. Direct Preference Optimization: Your Language Model is Secretly a Reward Model. arXiv:2305.18290, NeurIPS 2023.</w:t>
      </w:r>
    </w:p>
    <w:p w14:paraId="7E296736">
      <w:pPr>
        <w:pStyle w:val="3"/>
        <w:spacing w:before="0" w:after="60" w:line="360" w:lineRule="auto"/>
        <w:ind w:left="480" w:hanging="480" w:hangingChars="200"/>
        <w:jc w:val="both"/>
      </w:pPr>
      <w:r>
        <w:t>[11] Michael Sullivan, Alexander Koller. GRPO is Secretly a Process Reward Model. arXiv:2509.21154, 2025.</w:t>
      </w:r>
    </w:p>
    <w:p w14:paraId="2689F90A">
      <w:pPr>
        <w:pStyle w:val="3"/>
        <w:spacing w:before="0" w:after="60" w:line="360" w:lineRule="auto"/>
        <w:ind w:left="480" w:hanging="480" w:hangingChars="200"/>
        <w:jc w:val="both"/>
      </w:pPr>
      <w:r>
        <w:t>[12] Weiyun Wang, Zhangwei Gao, Lianjie Chen, Zhe Chen, Jinguo Zhu, Xiangyu Zhao, Yangzhou Liu, Yue Cao, Shenglong Ye, Xizhou Zhu, Lewei Lu, Haodong Duan, Yu Qiao, Jifeng Dai, Wenhai Wang. VisualPRM: An Effective Process Reward Model for Multimodal Reasoning. arXiv:2503.10291, 2025.</w:t>
      </w:r>
    </w:p>
    <w:p w14:paraId="6A64F585">
      <w:pPr>
        <w:pStyle w:val="3"/>
        <w:spacing w:before="0" w:after="60" w:line="360" w:lineRule="auto"/>
        <w:ind w:left="480" w:hanging="480" w:hangingChars="200"/>
        <w:jc w:val="both"/>
      </w:pPr>
      <w:r>
        <w:t>[13] Hunar Batra, Haoqin Tu, Hardy Chen, Yuanze Lin, Cihang Xie, Ronald Clark. SpatialThinker: Reinforcing Scene Graph-Grounded Spatial Reasoning via Dense Rewards. arXiv:2511.07403, NeurIPS 2025 Workshops.</w:t>
      </w:r>
    </w:p>
    <w:p w14:paraId="40D48830">
      <w:pPr>
        <w:pStyle w:val="3"/>
        <w:spacing w:before="0" w:after="60" w:line="360" w:lineRule="auto"/>
        <w:ind w:left="480" w:hanging="480" w:hangingChars="200"/>
        <w:jc w:val="both"/>
      </w:pPr>
      <w:r>
        <w:t>[14] Peiyao Wang, Haibin Ling. SVQA-R1: Reinforcing Spatial Reasoning in MLLMs via View-Consistent Reward Optimization. arXiv:2506.01371, ICLR 2026 Workshop.</w:t>
      </w:r>
    </w:p>
    <w:p w14:paraId="0D9B2E64">
      <w:pPr>
        <w:pStyle w:val="3"/>
        <w:spacing w:before="0" w:after="60" w:line="360" w:lineRule="auto"/>
        <w:ind w:left="480" w:hanging="480" w:hangingChars="200"/>
        <w:jc w:val="both"/>
      </w:pPr>
      <w:r>
        <w:t>[15] Meng Cao, Haoze Zhao, Can Zhang, Xiaojun Chang, Ian Reid, Xiaodan Liang. Ground-R1: Thinking with Images via Scale Relative Policy Optimization. arXiv:2505.20272 (v3), 2026.</w:t>
      </w:r>
    </w:p>
    <w:p w14:paraId="7CA71CCF">
      <w:pPr>
        <w:pStyle w:val="3"/>
        <w:spacing w:before="0" w:after="60" w:line="360" w:lineRule="auto"/>
        <w:ind w:left="480" w:hanging="480" w:hangingChars="200"/>
        <w:jc w:val="both"/>
      </w:pPr>
      <w:r>
        <w:t>[16] Yue Fan, Xuehai He, Diji Yang, Kaizhi Zheng, Ching-Chen Kuo, Yuting Zheng, Sravana Jyothi Narayanaraju, Xinze Guan, Xin Eric Wang. GRIT: Teaching MLLMs to Think with Images. arXiv:2505.15879, NeurIPS 2025.</w:t>
      </w:r>
    </w:p>
    <w:p w14:paraId="5292B61F">
      <w:pPr>
        <w:pStyle w:val="3"/>
        <w:spacing w:before="0" w:after="60" w:line="360" w:lineRule="auto"/>
        <w:ind w:left="480" w:hanging="480" w:hangingChars="200"/>
        <w:jc w:val="both"/>
      </w:pPr>
      <w:r>
        <w:t>[17] Yiran Zeng, Da Chen, Hangyu Mao, Yuanxing Zhang, Pengfei Wan, Mengchen Zhao. POLIA: Policy Optimization with Visual-Object-Level Intrinsic Advantage for Multimodal Reasoning. ICML 2026.</w:t>
      </w:r>
    </w:p>
    <w:p w14:paraId="137B30CB">
      <w:pPr>
        <w:pStyle w:val="3"/>
        <w:spacing w:before="0" w:after="60" w:line="360" w:lineRule="auto"/>
        <w:ind w:left="480" w:hanging="480" w:hangingChars="200"/>
        <w:jc w:val="both"/>
      </w:pPr>
      <w:r>
        <w:rPr>
          <w:rFonts w:ascii="Times New Roman" w:eastAsia="宋体"/>
          <w:color w:val="000000"/>
        </w:rPr>
        <w:t>[18] Siqu Ou, Tianrui Wan, Zhiyuan Zhao, Junyu Gao, Xuelong Li. Do MLLMs Really See It: Reinforcing Visual Attention in Multimodal LLMs (SAYO). arXiv:2602.08241, 2026.</w:t>
      </w:r>
    </w:p>
    <w:p w14:paraId="0557FA7E">
      <w:pPr>
        <w:pStyle w:val="3"/>
        <w:spacing w:before="0" w:after="60" w:line="360" w:lineRule="auto"/>
        <w:ind w:left="480" w:hanging="480" w:hangingChars="200"/>
        <w:jc w:val="both"/>
      </w:pPr>
      <w:r>
        <w:rPr>
          <w:rFonts w:ascii="Times New Roman" w:eastAsia="宋体"/>
          <w:color w:val="000000"/>
        </w:rPr>
        <w:t>[19] Saraswathy Amjith. Self-Questioning Vision-Language Models: Reinforcement Learning for Compositional Visual Reasoning. arXiv:2606.15651, 2026.</w:t>
      </w:r>
    </w:p>
    <w:p w14:paraId="54C247AF">
      <w:pPr>
        <w:pStyle w:val="3"/>
        <w:spacing w:before="0" w:after="60" w:line="360" w:lineRule="auto"/>
        <w:ind w:left="480" w:hanging="480" w:hangingChars="200"/>
        <w:jc w:val="both"/>
      </w:pPr>
      <w:r>
        <w:rPr>
          <w:rFonts w:ascii="Times New Roman" w:eastAsia="宋体"/>
          <w:color w:val="000000"/>
        </w:rPr>
        <w:t>[20] Eric Peh, Debaditya Roy, Basura Fernando. H-GRPO: Permutation-Invariant Reinforcement Learning for Grounded Visual Reasoning. arXiv:2606.29915, 2026.</w:t>
      </w:r>
    </w:p>
    <w:p w14:paraId="79348E29">
      <w:pPr>
        <w:pStyle w:val="3"/>
        <w:spacing w:before="0" w:after="60" w:line="360" w:lineRule="auto"/>
        <w:ind w:left="480" w:hanging="480" w:hangingChars="200"/>
        <w:jc w:val="both"/>
      </w:pPr>
      <w:r>
        <w:rPr>
          <w:rFonts w:ascii="Times New Roman" w:eastAsia="宋体"/>
          <w:color w:val="000000"/>
        </w:rPr>
        <w:t>[21] Haozhan Shen, Shilin Yan, Hongwei Xue, Shuaiqi Lu, Xiaojun Tang, Guannan Zhang, Tiancheng Zhao, Jianwei Yin. MM-CondChain: A Programmatically Verified Benchmark for Visually Grounded Deep Compositional Reasoning. arXiv:2603.12266, 2026.</w:t>
      </w:r>
    </w:p>
    <w:p w14:paraId="072F7E9A">
      <w:pPr>
        <w:pStyle w:val="3"/>
        <w:spacing w:before="0" w:after="60" w:line="360" w:lineRule="auto"/>
        <w:ind w:left="480" w:hanging="480" w:hangingChars="200"/>
        <w:jc w:val="both"/>
      </w:pPr>
      <w:r>
        <w:rPr>
          <w:rFonts w:ascii="Times New Roman" w:eastAsia="宋体"/>
          <w:color w:val="000000"/>
        </w:rPr>
        <w:t>[22] Runhui Huang, Jie Wu, Rui Yang, Zhe Liu, Hengshuang Zhao. AlphaGRPO: Unlocking Self-Reflective Multimodal Generation in Unified Multimodal Models via Decompositional Verifiable Reward. arXiv:2605.12495, ICML 2026.</w:t>
      </w:r>
    </w:p>
    <w:p w14:paraId="2A31424B">
      <w:pPr>
        <w:pStyle w:val="3"/>
        <w:spacing w:before="0" w:after="60" w:line="360" w:lineRule="auto"/>
        <w:ind w:left="480" w:hanging="480" w:hangingChars="200"/>
        <w:jc w:val="both"/>
      </w:pPr>
      <w:r>
        <w:rPr>
          <w:rFonts w:ascii="Times New Roman" w:eastAsia="宋体"/>
          <w:color w:val="000000"/>
        </w:rPr>
        <w:t>[23] Sewon Min, Kalpesh Krishna, Xinxi Lyu, Mike Lewis, Wen-tau Yih, Pang Wei Koh, Mohit Iyyer, Luke Zettlemoyer, Hannaneh Hajishirzi.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13732CC"/>
    <w:rsid w:val="16DA2B7A"/>
    <w:rsid w:val="1AEF1EA3"/>
    <w:rsid w:val="2B3B6E60"/>
    <w:rsid w:val="2FBA37D4"/>
    <w:rsid w:val="42B90F27"/>
    <w:rsid w:val="484B750C"/>
    <w:rsid w:val="4C802BEA"/>
    <w:rsid w:val="55FD0C16"/>
    <w:rsid w:val="561072C2"/>
    <w:rsid w:val="58DE2AF2"/>
    <w:rsid w:val="59070080"/>
    <w:rsid w:val="5C092CAE"/>
    <w:rsid w:val="5CAD44AB"/>
    <w:rsid w:val="5CF40AB7"/>
    <w:rsid w:val="5F015635"/>
    <w:rsid w:val="60B66CA1"/>
    <w:rsid w:val="624C13D9"/>
    <w:rsid w:val="64A86918"/>
    <w:rsid w:val="656658CC"/>
    <w:rsid w:val="6B3709F5"/>
    <w:rsid w:val="6E396833"/>
    <w:rsid w:val="72D40B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77"/>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83"/>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0"/>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49"/>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79"/>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80"/>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5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7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41"/>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54"/>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36"/>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40"/>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character" w:customStyle="1" w:styleId="26">
    <w:name w:val="VerbatimStringTok"/>
    <w:basedOn w:val="27"/>
    <w:qFormat/>
    <w:uiPriority w:val="0"/>
    <w:rPr>
      <w:rFonts w:ascii="Consolas" w:hAnsi="Consolas"/>
      <w:color w:val="4070A0"/>
      <w:sz w:val="22"/>
    </w:rPr>
  </w:style>
  <w:style w:type="character" w:customStyle="1" w:styleId="27">
    <w:name w:val="Verbatim Char"/>
    <w:basedOn w:val="23"/>
    <w:link w:val="28"/>
    <w:qFormat/>
    <w:uiPriority w:val="0"/>
    <w:rPr>
      <w:rFonts w:ascii="Consolas" w:hAnsi="Consolas"/>
      <w:sz w:val="22"/>
    </w:rPr>
  </w:style>
  <w:style w:type="paragraph" w:customStyle="1" w:styleId="28">
    <w:name w:val="Source Code"/>
    <w:basedOn w:val="1"/>
    <w:link w:val="27"/>
    <w:qFormat/>
    <w:uiPriority w:val="0"/>
    <w:pPr>
      <w:wordWrap w:val="0"/>
    </w:pPr>
  </w:style>
  <w:style w:type="character" w:customStyle="1" w:styleId="29">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1">
    <w:name w:val="InformationTok"/>
    <w:basedOn w:val="27"/>
    <w:qFormat/>
    <w:uiPriority w:val="0"/>
    <w:rPr>
      <w:rFonts w:ascii="Consolas" w:hAnsi="Consolas"/>
      <w:b/>
      <w:i/>
      <w:color w:val="60A0B0"/>
      <w:sz w:val="22"/>
    </w:rPr>
  </w:style>
  <w:style w:type="character" w:customStyle="1" w:styleId="32">
    <w:name w:val="ErrorTok"/>
    <w:basedOn w:val="27"/>
    <w:qFormat/>
    <w:uiPriority w:val="0"/>
    <w:rPr>
      <w:rFonts w:ascii="Consolas" w:hAnsi="Consolas"/>
      <w:b/>
      <w:color w:val="FF0000"/>
      <w:sz w:val="22"/>
    </w:rPr>
  </w:style>
  <w:style w:type="paragraph" w:customStyle="1" w:styleId="33">
    <w:name w:val="First Paragraph"/>
    <w:basedOn w:val="3"/>
    <w:next w:val="3"/>
    <w:qFormat/>
    <w:uiPriority w:val="0"/>
  </w:style>
  <w:style w:type="character" w:customStyle="1" w:styleId="34">
    <w:name w:val="VariableTok"/>
    <w:basedOn w:val="27"/>
    <w:qFormat/>
    <w:uiPriority w:val="0"/>
    <w:rPr>
      <w:rFonts w:ascii="Consolas" w:hAnsi="Consolas"/>
      <w:color w:val="19177C"/>
      <w:sz w:val="22"/>
    </w:rPr>
  </w:style>
  <w:style w:type="paragraph" w:customStyle="1" w:styleId="35">
    <w:name w:val="Definition"/>
    <w:basedOn w:val="1"/>
    <w:qFormat/>
    <w:uiPriority w:val="0"/>
  </w:style>
  <w:style w:type="character" w:customStyle="1" w:styleId="36">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7">
    <w:name w:val="Image Caption"/>
    <w:basedOn w:val="12"/>
    <w:qFormat/>
    <w:uiPriority w:val="0"/>
  </w:style>
  <w:style w:type="paragraph" w:customStyle="1" w:styleId="38">
    <w:name w:val="Footnote Block Text"/>
    <w:basedOn w:val="18"/>
    <w:next w:val="18"/>
    <w:unhideWhenUsed/>
    <w:qFormat/>
    <w:uiPriority w:val="9"/>
    <w:pPr>
      <w:spacing w:before="100" w:after="100"/>
      <w:ind w:left="480" w:right="480"/>
    </w:pPr>
  </w:style>
  <w:style w:type="character" w:customStyle="1" w:styleId="39">
    <w:name w:val="DecValTok"/>
    <w:basedOn w:val="27"/>
    <w:qFormat/>
    <w:uiPriority w:val="0"/>
    <w:rPr>
      <w:rFonts w:ascii="Consolas" w:hAnsi="Consolas"/>
      <w:color w:val="40A070"/>
      <w:sz w:val="22"/>
    </w:rPr>
  </w:style>
  <w:style w:type="character" w:customStyle="1" w:styleId="40">
    <w:name w:val="批注主题 字符"/>
    <w:basedOn w:val="41"/>
    <w:link w:val="19"/>
    <w:qFormat/>
    <w:uiPriority w:val="0"/>
    <w:rPr>
      <w:rFonts w:ascii="Times New Roman" w:hAnsi="Times New Roman" w:eastAsia="宋体"/>
      <w:b/>
      <w:bCs/>
      <w:color w:val="000000"/>
      <w:sz w:val="24"/>
      <w:szCs w:val="24"/>
    </w:rPr>
  </w:style>
  <w:style w:type="character" w:customStyle="1" w:styleId="41">
    <w:name w:val="批注文字 字符"/>
    <w:basedOn w:val="21"/>
    <w:link w:val="13"/>
    <w:qFormat/>
    <w:uiPriority w:val="0"/>
    <w:rPr>
      <w:rFonts w:ascii="Times New Roman" w:hAnsi="Times New Roman" w:eastAsia="宋体"/>
      <w:color w:val="000000"/>
      <w:sz w:val="24"/>
      <w:szCs w:val="24"/>
    </w:rPr>
  </w:style>
  <w:style w:type="character" w:customStyle="1" w:styleId="42">
    <w:name w:val="SpecialCharTok"/>
    <w:basedOn w:val="27"/>
    <w:qFormat/>
    <w:uiPriority w:val="0"/>
    <w:rPr>
      <w:rFonts w:ascii="Consolas" w:hAnsi="Consolas"/>
      <w:color w:val="4070A0"/>
      <w:sz w:val="22"/>
    </w:rPr>
  </w:style>
  <w:style w:type="character" w:customStyle="1" w:styleId="43">
    <w:name w:val="NormalTok"/>
    <w:basedOn w:val="27"/>
    <w:qFormat/>
    <w:uiPriority w:val="0"/>
    <w:rPr>
      <w:rFonts w:ascii="Consolas" w:hAnsi="Consolas"/>
      <w:sz w:val="22"/>
    </w:rPr>
  </w:style>
  <w:style w:type="character" w:customStyle="1" w:styleId="44">
    <w:name w:val="StringTok"/>
    <w:basedOn w:val="27"/>
    <w:qFormat/>
    <w:uiPriority w:val="0"/>
    <w:rPr>
      <w:rFonts w:ascii="Consolas" w:hAnsi="Consolas"/>
      <w:color w:val="4070A0"/>
      <w:sz w:val="22"/>
    </w:rPr>
  </w:style>
  <w:style w:type="character" w:customStyle="1" w:styleId="45">
    <w:name w:val="SpecialStringTok"/>
    <w:basedOn w:val="27"/>
    <w:qFormat/>
    <w:uiPriority w:val="0"/>
    <w:rPr>
      <w:rFonts w:ascii="Consolas" w:hAnsi="Consolas"/>
      <w:color w:val="BB6688"/>
      <w:sz w:val="22"/>
    </w:rPr>
  </w:style>
  <w:style w:type="character" w:customStyle="1" w:styleId="46">
    <w:name w:val="FunctionTok"/>
    <w:basedOn w:val="27"/>
    <w:qFormat/>
    <w:uiPriority w:val="0"/>
    <w:rPr>
      <w:rFonts w:ascii="Consolas" w:hAnsi="Consolas"/>
      <w:color w:val="06287E"/>
      <w:sz w:val="22"/>
    </w:rPr>
  </w:style>
  <w:style w:type="paragraph" w:customStyle="1" w:styleId="47">
    <w:name w:val="Abstract Title"/>
    <w:basedOn w:val="1"/>
    <w:next w:val="48"/>
    <w:qFormat/>
    <w:uiPriority w:val="0"/>
    <w:pPr>
      <w:keepNext/>
      <w:keepLines/>
      <w:spacing w:before="300" w:after="0"/>
      <w:jc w:val="center"/>
    </w:pPr>
    <w:rPr>
      <w:b/>
      <w:sz w:val="20"/>
      <w:szCs w:val="20"/>
    </w:rPr>
  </w:style>
  <w:style w:type="paragraph" w:customStyle="1" w:styleId="48">
    <w:name w:val="Abstract"/>
    <w:basedOn w:val="1"/>
    <w:next w:val="3"/>
    <w:qFormat/>
    <w:uiPriority w:val="0"/>
    <w:pPr>
      <w:keepNext/>
      <w:keepLines/>
      <w:spacing w:before="100" w:after="300"/>
    </w:pPr>
    <w:rPr>
      <w:sz w:val="20"/>
      <w:szCs w:val="20"/>
    </w:rPr>
  </w:style>
  <w:style w:type="character" w:customStyle="1" w:styleId="49">
    <w:name w:val="标题 4 字符"/>
    <w:basedOn w:val="21"/>
    <w:link w:val="6"/>
    <w:semiHidden/>
    <w:qFormat/>
    <w:uiPriority w:val="9"/>
    <w:rPr>
      <w:rFonts w:eastAsiaTheme="majorEastAsia" w:cstheme="majorBidi"/>
      <w:i/>
      <w:iCs/>
      <w:color w:val="104862" w:themeColor="accent1" w:themeShade="BF"/>
    </w:rPr>
  </w:style>
  <w:style w:type="character" w:customStyle="1" w:styleId="50">
    <w:name w:val="CommentTok"/>
    <w:basedOn w:val="27"/>
    <w:qFormat/>
    <w:uiPriority w:val="0"/>
    <w:rPr>
      <w:rFonts w:ascii="Consolas" w:hAnsi="Consolas"/>
      <w:i/>
      <w:color w:val="60A0B0"/>
      <w:sz w:val="22"/>
    </w:rPr>
  </w:style>
  <w:style w:type="character" w:customStyle="1" w:styleId="51">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paragraph" w:customStyle="1" w:styleId="52">
    <w:name w:val="Compact"/>
    <w:basedOn w:val="3"/>
    <w:qFormat/>
    <w:uiPriority w:val="0"/>
    <w:pPr>
      <w:spacing w:before="36" w:after="36"/>
    </w:pPr>
  </w:style>
  <w:style w:type="paragraph" w:customStyle="1" w:styleId="53">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4">
    <w:name w:val="标题 字符"/>
    <w:basedOn w:val="21"/>
    <w:link w:val="16"/>
    <w:qFormat/>
    <w:uiPriority w:val="10"/>
    <w:rPr>
      <w:rFonts w:asciiTheme="majorHAnsi" w:hAnsiTheme="majorHAnsi" w:eastAsiaTheme="majorEastAsia" w:cstheme="majorBidi"/>
      <w:sz w:val="56"/>
      <w:szCs w:val="56"/>
    </w:rPr>
  </w:style>
  <w:style w:type="character" w:customStyle="1" w:styleId="55">
    <w:name w:val="FloatTok"/>
    <w:basedOn w:val="27"/>
    <w:qFormat/>
    <w:uiPriority w:val="0"/>
    <w:rPr>
      <w:rFonts w:ascii="Consolas" w:hAnsi="Consolas"/>
      <w:color w:val="40A070"/>
      <w:sz w:val="22"/>
    </w:rPr>
  </w:style>
  <w:style w:type="character" w:customStyle="1" w:styleId="56">
    <w:name w:val="DataTypeTok"/>
    <w:basedOn w:val="27"/>
    <w:qFormat/>
    <w:uiPriority w:val="0"/>
    <w:rPr>
      <w:rFonts w:ascii="Consolas" w:hAnsi="Consolas"/>
      <w:color w:val="902000"/>
      <w:sz w:val="22"/>
    </w:rPr>
  </w:style>
  <w:style w:type="paragraph" w:customStyle="1" w:styleId="57">
    <w:name w:val="Figure"/>
    <w:basedOn w:val="1"/>
    <w:qFormat/>
    <w:uiPriority w:val="0"/>
  </w:style>
  <w:style w:type="character" w:customStyle="1" w:styleId="58">
    <w:name w:val="CharTok"/>
    <w:basedOn w:val="27"/>
    <w:qFormat/>
    <w:uiPriority w:val="0"/>
    <w:rPr>
      <w:rFonts w:ascii="Consolas" w:hAnsi="Consolas"/>
      <w:color w:val="4070A0"/>
      <w:sz w:val="22"/>
    </w:rPr>
  </w:style>
  <w:style w:type="character" w:customStyle="1" w:styleId="59">
    <w:name w:val="RegionMarkerTok"/>
    <w:basedOn w:val="27"/>
    <w:qFormat/>
    <w:uiPriority w:val="0"/>
    <w:rPr>
      <w:rFonts w:ascii="Consolas" w:hAnsi="Consolas"/>
      <w:sz w:val="22"/>
    </w:rPr>
  </w:style>
  <w:style w:type="character" w:customStyle="1" w:styleId="60">
    <w:name w:val="ImportTok"/>
    <w:basedOn w:val="27"/>
    <w:qFormat/>
    <w:uiPriority w:val="0"/>
    <w:rPr>
      <w:rFonts w:ascii="Consolas" w:hAnsi="Consolas"/>
      <w:b/>
      <w:color w:val="008000"/>
      <w:sz w:val="22"/>
    </w:rPr>
  </w:style>
  <w:style w:type="character" w:customStyle="1" w:styleId="61">
    <w:name w:val="AttributeTok"/>
    <w:basedOn w:val="27"/>
    <w:qFormat/>
    <w:uiPriority w:val="0"/>
    <w:rPr>
      <w:rFonts w:ascii="Consolas" w:hAnsi="Consolas"/>
      <w:color w:val="7D9029"/>
      <w:sz w:val="22"/>
    </w:rPr>
  </w:style>
  <w:style w:type="paragraph" w:customStyle="1" w:styleId="62">
    <w:name w:val="Author"/>
    <w:basedOn w:val="16"/>
    <w:next w:val="3"/>
    <w:qFormat/>
    <w:uiPriority w:val="0"/>
    <w:pPr>
      <w:keepNext/>
      <w:keepLines/>
    </w:pPr>
    <w:rPr>
      <w:sz w:val="24"/>
      <w:szCs w:val="24"/>
    </w:rPr>
  </w:style>
  <w:style w:type="character" w:customStyle="1" w:styleId="63">
    <w:name w:val="AnnotationTok"/>
    <w:basedOn w:val="27"/>
    <w:qFormat/>
    <w:uiPriority w:val="0"/>
    <w:rPr>
      <w:rFonts w:ascii="Consolas" w:hAnsi="Consolas"/>
      <w:b/>
      <w:i/>
      <w:color w:val="60A0B0"/>
      <w:sz w:val="22"/>
    </w:rPr>
  </w:style>
  <w:style w:type="character" w:customStyle="1" w:styleId="64">
    <w:name w:val="WarningTok"/>
    <w:basedOn w:val="27"/>
    <w:qFormat/>
    <w:uiPriority w:val="0"/>
    <w:rPr>
      <w:rFonts w:ascii="Consolas" w:hAnsi="Consolas"/>
      <w:b/>
      <w:i/>
      <w:color w:val="60A0B0"/>
      <w:sz w:val="22"/>
    </w:rPr>
  </w:style>
  <w:style w:type="paragraph" w:customStyle="1" w:styleId="65">
    <w:name w:val="书目1"/>
    <w:basedOn w:val="1"/>
    <w:qFormat/>
    <w:uiPriority w:val="0"/>
  </w:style>
  <w:style w:type="character" w:customStyle="1" w:styleId="66">
    <w:name w:val="Section Number"/>
    <w:basedOn w:val="23"/>
    <w:qFormat/>
    <w:uiPriority w:val="0"/>
  </w:style>
  <w:style w:type="paragraph" w:customStyle="1" w:styleId="67">
    <w:name w:val="Definition Term"/>
    <w:basedOn w:val="1"/>
    <w:next w:val="35"/>
    <w:qFormat/>
    <w:uiPriority w:val="0"/>
    <w:pPr>
      <w:keepNext/>
      <w:keepLines/>
      <w:spacing w:after="0"/>
    </w:pPr>
    <w:rPr>
      <w:b/>
    </w:rPr>
  </w:style>
  <w:style w:type="character" w:customStyle="1" w:styleId="68">
    <w:name w:val="ConstantTok"/>
    <w:basedOn w:val="27"/>
    <w:qFormat/>
    <w:uiPriority w:val="0"/>
    <w:rPr>
      <w:rFonts w:ascii="Consolas" w:hAnsi="Consolas"/>
      <w:color w:val="880000"/>
      <w:sz w:val="22"/>
    </w:rPr>
  </w:style>
  <w:style w:type="character" w:customStyle="1" w:styleId="69">
    <w:name w:val="OperatorTok"/>
    <w:basedOn w:val="27"/>
    <w:qFormat/>
    <w:uiPriority w:val="0"/>
    <w:rPr>
      <w:rFonts w:ascii="Consolas" w:hAnsi="Consolas"/>
      <w:color w:val="666666"/>
      <w:sz w:val="22"/>
    </w:rPr>
  </w:style>
  <w:style w:type="character" w:customStyle="1" w:styleId="70">
    <w:name w:val="KeywordTok"/>
    <w:basedOn w:val="27"/>
    <w:qFormat/>
    <w:uiPriority w:val="0"/>
    <w:rPr>
      <w:rFonts w:ascii="Consolas" w:hAnsi="Consolas"/>
      <w:b/>
      <w:color w:val="007020"/>
      <w:sz w:val="22"/>
    </w:rPr>
  </w:style>
  <w:style w:type="character" w:customStyle="1" w:styleId="71">
    <w:name w:val="DocumentationTok"/>
    <w:basedOn w:val="27"/>
    <w:qFormat/>
    <w:uiPriority w:val="0"/>
    <w:rPr>
      <w:rFonts w:ascii="Consolas" w:hAnsi="Consolas"/>
      <w:i/>
      <w:color w:val="BA2121"/>
      <w:sz w:val="22"/>
    </w:rPr>
  </w:style>
  <w:style w:type="character" w:customStyle="1" w:styleId="72">
    <w:name w:val="ExtensionTok"/>
    <w:basedOn w:val="27"/>
    <w:qFormat/>
    <w:uiPriority w:val="0"/>
    <w:rPr>
      <w:rFonts w:ascii="Consolas" w:hAnsi="Consolas"/>
      <w:sz w:val="22"/>
    </w:rPr>
  </w:style>
  <w:style w:type="character" w:customStyle="1" w:styleId="73">
    <w:name w:val="OtherTok"/>
    <w:basedOn w:val="27"/>
    <w:qFormat/>
    <w:uiPriority w:val="0"/>
    <w:rPr>
      <w:rFonts w:ascii="Consolas" w:hAnsi="Consolas"/>
      <w:color w:val="007020"/>
      <w:sz w:val="22"/>
    </w:rPr>
  </w:style>
  <w:style w:type="character" w:customStyle="1" w:styleId="74">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75">
    <w:name w:val="CommentVarTok"/>
    <w:basedOn w:val="27"/>
    <w:qFormat/>
    <w:uiPriority w:val="0"/>
    <w:rPr>
      <w:rFonts w:ascii="Consolas" w:hAnsi="Consolas"/>
      <w:b/>
      <w:i/>
      <w:color w:val="60A0B0"/>
      <w:sz w:val="22"/>
    </w:rPr>
  </w:style>
  <w:style w:type="character" w:customStyle="1" w:styleId="76">
    <w:name w:val="AlertTok"/>
    <w:basedOn w:val="27"/>
    <w:qFormat/>
    <w:uiPriority w:val="0"/>
    <w:rPr>
      <w:rFonts w:ascii="Consolas" w:hAnsi="Consolas"/>
      <w:b/>
      <w:color w:val="FF0000"/>
      <w:sz w:val="22"/>
    </w:rPr>
  </w:style>
  <w:style w:type="character" w:customStyle="1" w:styleId="77">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78">
    <w:name w:val="ControlFlowTok"/>
    <w:basedOn w:val="27"/>
    <w:qFormat/>
    <w:uiPriority w:val="0"/>
    <w:rPr>
      <w:rFonts w:ascii="Consolas" w:hAnsi="Consolas"/>
      <w:b/>
      <w:color w:val="007020"/>
      <w:sz w:val="22"/>
    </w:rPr>
  </w:style>
  <w:style w:type="character" w:customStyle="1" w:styleId="79">
    <w:name w:val="标题 5 字符"/>
    <w:basedOn w:val="21"/>
    <w:link w:val="7"/>
    <w:semiHidden/>
    <w:qFormat/>
    <w:uiPriority w:val="9"/>
    <w:rPr>
      <w:rFonts w:eastAsiaTheme="majorEastAsia" w:cstheme="majorBidi"/>
      <w:color w:val="104862" w:themeColor="accent1" w:themeShade="BF"/>
    </w:rPr>
  </w:style>
  <w:style w:type="character" w:customStyle="1" w:styleId="80">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81">
    <w:name w:val="BuiltInTok"/>
    <w:basedOn w:val="27"/>
    <w:qFormat/>
    <w:uiPriority w:val="0"/>
    <w:rPr>
      <w:rFonts w:ascii="Consolas" w:hAnsi="Consolas"/>
      <w:color w:val="008000"/>
      <w:sz w:val="22"/>
    </w:rPr>
  </w:style>
  <w:style w:type="table" w:customStyle="1" w:styleId="8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3">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84">
    <w:name w:val="PreprocessorTok"/>
    <w:basedOn w:val="27"/>
    <w:qFormat/>
    <w:uiPriority w:val="0"/>
    <w:rPr>
      <w:rFonts w:ascii="Consolas" w:hAnsi="Consolas"/>
      <w:color w:val="BC7A00"/>
      <w:sz w:val="22"/>
    </w:rPr>
  </w:style>
  <w:style w:type="character" w:customStyle="1" w:styleId="85">
    <w:name w:val="BaseNTok"/>
    <w:basedOn w:val="27"/>
    <w:qFormat/>
    <w:uiPriority w:val="0"/>
    <w:rPr>
      <w:rFonts w:ascii="Consolas" w:hAnsi="Consolas"/>
      <w:color w:val="40A070"/>
      <w:sz w:val="22"/>
    </w:rPr>
  </w:style>
  <w:style w:type="paragraph" w:customStyle="1" w:styleId="86">
    <w:name w:val="Table Caption"/>
    <w:basedOn w:val="12"/>
    <w:qFormat/>
    <w:uiPriority w:val="0"/>
    <w:pPr>
      <w:keepNext/>
    </w:pPr>
  </w:style>
  <w:style w:type="paragraph" w:customStyle="1" w:styleId="87">
    <w:name w:val="Captioned Figure"/>
    <w:basedOn w:val="57"/>
    <w:qFormat/>
    <w:uiPriority w:val="0"/>
    <w:pPr>
      <w:keepNext/>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7703</Words>
  <Characters>9494</Characters>
  <TotalTime>9</TotalTime>
  <ScaleCrop>false</ScaleCrop>
  <LinksUpToDate>false</LinksUpToDate>
  <CharactersWithSpaces>9956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2026-08-20T10:06:00Z</dcterms:created>
  <dc:creator>Lenovo</dc:creator>
  <cp:lastModifiedBy>席致远</cp:lastModifiedBy>
  <dcterms:modified xsi:type="dcterms:W3CDTF">2026-08-20T02:31:46Z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B70E1E3922754DCEA2ABC0817BADD486_12</vt:lpwstr>
  </property>
</Properties>
</file>