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BDACE">
      <w:pPr>
        <w:pStyle w:val="2"/>
        <w:spacing w:line="360" w:lineRule="auto"/>
        <w:jc w:val="center"/>
      </w:pPr>
      <w:r>
        <w:rPr>
          <w:rFonts w:hint="eastAsia" w:ascii="Times New Roman" w:hAnsi="Times New Roman" w:eastAsia="宋体"/>
        </w:rPr>
        <w:t>多模态大语言模型组合推理中的强化学习方法：奖励信号的演</w:t>
      </w:r>
      <w:commentRangeStart w:id="0"/>
      <w:r>
        <w:rPr>
          <w:rFonts w:hint="eastAsia" w:ascii="Times New Roman" w:hAnsi="Times New Roman" w:eastAsia="宋体"/>
        </w:rPr>
        <w:t>进</w:t>
      </w:r>
      <w:commentRangeEnd w:id="0"/>
      <w:r>
        <w:rPr>
          <w:rStyle w:val="24"/>
          <w:sz w:val="40"/>
          <w:szCs w:val="40"/>
        </w:rPr>
        <w:commentReference w:id="0"/>
      </w:r>
    </w:p>
    <w:p w14:paraId="0395B781">
      <w:pPr>
        <w:pStyle w:val="3"/>
        <w:jc w:val="center"/>
        <w:rPr>
          <w:rFonts w:hint="eastAsia" w:ascii="宋体" w:hAnsi="宋体" w:cs="宋体"/>
        </w:rPr>
      </w:pPr>
      <w:bookmarkStart w:id="0" w:name="摘要"/>
      <w:r>
        <w:rPr>
          <w:rFonts w:hint="eastAsia" w:ascii="宋体" w:hAnsi="宋体" w:cs="宋体"/>
        </w:rPr>
        <w:t>席致远</w:t>
      </w:r>
    </w:p>
    <w:p w14:paraId="21AD78DA">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7020463">
      <w:pPr>
        <w:pStyle w:val="26"/>
        <w:spacing w:line="360" w:lineRule="auto"/>
        <w:ind w:firstLine="482" w:firstLineChars="200"/>
        <w:jc w:val="both"/>
        <w:rPr>
          <w:b/>
          <w:bCs/>
        </w:rPr>
      </w:pPr>
    </w:p>
    <w:p w14:paraId="436EFE7D">
      <w:pPr>
        <w:pStyle w:val="26"/>
        <w:spacing w:line="360" w:lineRule="auto"/>
        <w:ind w:firstLine="480" w:firstLineChars="200"/>
        <w:jc w:val="both"/>
      </w:pPr>
      <w:r>
        <w:rPr>
          <w:rFonts w:hint="eastAsia"/>
          <w:color w:val="000000"/>
        </w:rPr>
        <w:commentReference w:id="1"/>
      </w:r>
      <w:r>
        <w:rPr>
          <w:rFonts w:hint="eastAsia"/>
          <w:color w:val="000000"/>
        </w:rPr>
        <w:commentReference w:id="2"/>
      </w: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1425E7EA">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D3EC212">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w:t>
      </w:r>
      <w:commentRangeStart w:id="3"/>
      <w:r>
        <w:rPr>
          <w:rFonts w:hint="eastAsia" w:ascii="Times New Roman" w:hAnsi="Times New Roman" w:eastAsia="宋体"/>
        </w:rPr>
        <w:t>言</w:t>
      </w:r>
      <w:commentRangeEnd w:id="3"/>
      <w:r>
        <w:rPr>
          <w:rStyle w:val="24"/>
          <w:rFonts w:eastAsia="宋体"/>
          <w:sz w:val="32"/>
          <w:szCs w:val="32"/>
        </w:rPr>
        <w:commentReference w:id="3"/>
      </w:r>
    </w:p>
    <w:p w14:paraId="3BA7D9A6">
      <w:pPr>
        <w:pStyle w:val="26"/>
        <w:spacing w:line="360" w:lineRule="auto"/>
        <w:ind w:firstLine="480" w:firstLineChars="200"/>
        <w:jc w:val="both"/>
      </w:pPr>
      <w:commentRangeStart w:id="4"/>
      <w:commentRangeStart w:id="5"/>
      <w:r>
        <w:rPr>
          <w:rFonts w:hint="eastAsia"/>
          <w:color w:val="000000"/>
        </w:rPr>
        <w:commentReference w:id="4"/>
      </w:r>
      <w:commentRangeEnd w:id="4"/>
      <w:commentRangeEnd w:id="5"/>
      <w:r>
        <w:rPr>
          <w:rFonts w:hint="eastAsia"/>
          <w:color w:val="000000"/>
        </w:rPr>
        <w:commentReference w:id="5"/>
      </w:r>
      <w:commentRangeStart w:id="6"/>
      <w:commentRangeStart w:id="7"/>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显示，纯绑定测试（Swap）是所有模型的薄弱环节 [3]。这些结果表明，组合推理缺陷是当前 MLLM 的系统性短板。</w:t>
      </w:r>
    </w:p>
    <w:commentRangeEnd w:id="6"/>
    <w:p w14:paraId="3155761E">
      <w:pPr>
        <w:pStyle w:val="3"/>
        <w:spacing w:line="360" w:lineRule="auto"/>
        <w:ind w:firstLine="480" w:firstLineChars="200"/>
        <w:jc w:val="both"/>
      </w:pPr>
      <w:r>
        <w:rPr>
          <w:rFonts w:hint="eastAsia"/>
          <w:color w:val="000000"/>
        </w:rPr>
        <w:commentReference w:id="6"/>
      </w:r>
      <w:commentRangeEnd w:id="7"/>
      <w:r>
        <w:rPr>
          <w:rFonts w:hint="eastAsia"/>
          <w:color w:val="000000"/>
        </w:rPr>
        <w:commentReference w:id="7"/>
      </w: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将组合推理重新设计为答案可自动判分的任务，以规则判定的二元奖励驱动 RL，平均提升超过 9 个绝对点 [4]。由此浮现关键问题：什么样的奖励信号才能真正驱动组合推理能力？</w:t>
      </w:r>
    </w:p>
    <w:p w14:paraId="36A13B4F">
      <w:pPr>
        <w:pStyle w:val="3"/>
        <w:spacing w:line="360" w:lineRule="auto"/>
        <w:ind w:firstLine="480" w:firstLineChars="200"/>
        <w:jc w:val="both"/>
      </w:pPr>
      <w:r>
        <w:rPr>
          <w:rFonts w:hint="eastAsia"/>
          <w:color w:val="000000"/>
        </w:rPr>
        <w:commentReference w:id="8"/>
      </w: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粒度的细化（答案级→结构级→过程级），三个方向至今并行发展：早期奖励来自对最终回答的结构化结果验证（CR³、SpatialThinker、SVQA-R1），随后转向回答与视觉语义结构的对齐程度（Ground-R1、GRIT、POLIA），最新方法则将优化信号作用于推理过程本身（Self-Questioning VLM、H-GRPO）。推动演进的深层驱动力，是组合推理“正确性必须可定义”的约束。</w:t>
      </w:r>
    </w:p>
    <w:p w14:paraId="626D1A71">
      <w:pPr>
        <w:pStyle w:val="3"/>
        <w:spacing w:line="360" w:lineRule="auto"/>
        <w:ind w:firstLine="480" w:firstLineChars="200"/>
        <w:jc w:val="both"/>
      </w:pPr>
      <w:commentRangeStart w:id="9"/>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commentRangeEnd w:id="9"/>
    <w:p w14:paraId="0E9C4B9A">
      <w:pPr>
        <w:pStyle w:val="3"/>
        <w:spacing w:line="360" w:lineRule="auto"/>
        <w:ind w:firstLine="480" w:firstLineChars="200"/>
        <w:jc w:val="both"/>
      </w:pPr>
      <w:r>
        <w:rPr>
          <w:rStyle w:val="24"/>
          <w:color w:val="000000"/>
          <w:sz w:val="24"/>
          <w:szCs w:val="24"/>
        </w:rPr>
        <w:commentReference w:id="9"/>
      </w:r>
      <w:r>
        <w:rPr>
          <w:rStyle w:val="24"/>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1D0D11AA">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196B5B83">
      <w:pPr>
        <w:pStyle w:val="5"/>
        <w:spacing w:line="360" w:lineRule="auto"/>
        <w:jc w:val="both"/>
      </w:pPr>
      <w:bookmarkStart w:id="3" w:name="组合推理的定义与评测基准"/>
      <w:r>
        <w:rPr>
          <w:rFonts w:eastAsia="宋体"/>
        </w:rPr>
        <w:t xml:space="preserve">2.1 </w:t>
      </w:r>
      <w:r>
        <w:rPr>
          <w:rFonts w:hint="eastAsia" w:eastAsia="宋体"/>
        </w:rPr>
        <w:t>组合推理的定义与</w:t>
      </w:r>
      <w:commentRangeStart w:id="10"/>
      <w:r>
        <w:rPr>
          <w:rFonts w:hint="eastAsia" w:eastAsia="宋体"/>
        </w:rPr>
        <w:t>评测基准</w:t>
      </w:r>
    </w:p>
    <w:commentRangeEnd w:id="10"/>
    <w:p w14:paraId="46A25F45">
      <w:pPr>
        <w:pStyle w:val="26"/>
        <w:spacing w:line="360" w:lineRule="auto"/>
        <w:ind w:firstLine="480" w:firstLineChars="200"/>
        <w:jc w:val="both"/>
      </w:pPr>
      <w:r>
        <w:rPr>
          <w:rFonts w:hint="eastAsia"/>
          <w:color w:val="000000"/>
        </w:rPr>
        <w:commentReference w:id="10"/>
      </w: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5E2DBA1F">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1B4A3239">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尽管各基准的评测协议不同，失败模式却高度一致：物体识别强于属性绑定，属性强于关系理解，纯粹的绑定（Swap）最难。这为后续 RL 方法提供了明确的优化靶点。但各方法在评测集选择上各行其是，协议互不兼容，导致结果难以横向比较，这一“基准碎片化”问题将在第 4 节讨论。表 1 汇总了上述基准的核心信息。</w:t>
      </w:r>
    </w:p>
    <w:p w14:paraId="08756AF5">
      <w:pPr>
        <w:pStyle w:val="3"/>
        <w:spacing w:line="360" w:lineRule="auto"/>
        <w:jc w:val="both"/>
      </w:pPr>
      <w:r>
        <w:rPr>
          <w:rFonts w:hint="eastAsia"/>
          <w:b/>
          <w:bCs/>
        </w:rPr>
        <w:t>表</w:t>
      </w:r>
      <w:r>
        <w:rPr>
          <w:b/>
          <w:bCs/>
        </w:rPr>
        <w:t xml:space="preserve"> </w:t>
      </w:r>
      <w:r>
        <w:rPr>
          <w:rFonts w:hint="eastAsia"/>
          <w:b/>
          <w:bCs/>
        </w:rPr>
        <w:t>1：组合推理评测基准对比</w:t>
      </w:r>
    </w:p>
    <w:tbl>
      <w:tblPr>
        <w:tblStyle w:val="44"/>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425B2A8D">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1B94FFF7">
            <w:pPr>
              <w:pStyle w:val="27"/>
              <w:spacing w:line="360" w:lineRule="auto"/>
              <w:jc w:val="center"/>
            </w:pPr>
            <w:r>
              <w:rPr>
                <w:rFonts w:hint="eastAsia"/>
              </w:rPr>
              <w:t>基准</w:t>
            </w:r>
          </w:p>
        </w:tc>
        <w:tc>
          <w:tcPr>
            <w:tcW w:w="1275" w:type="pct"/>
            <w:tcBorders>
              <w:bottom w:val="single" w:color="auto" w:sz="0" w:space="0"/>
              <w:insideH w:val="single" w:sz="0" w:space="0"/>
            </w:tcBorders>
            <w:vAlign w:val="bottom"/>
          </w:tcPr>
          <w:p w14:paraId="3E2C5ABB">
            <w:pPr>
              <w:pStyle w:val="27"/>
              <w:spacing w:line="360" w:lineRule="auto"/>
              <w:jc w:val="center"/>
            </w:pPr>
            <w:r>
              <w:rPr>
                <w:rFonts w:hint="eastAsia"/>
              </w:rPr>
              <w:t>子任务维度</w:t>
            </w:r>
          </w:p>
        </w:tc>
        <w:tc>
          <w:tcPr>
            <w:tcW w:w="1220" w:type="pct"/>
            <w:tcBorders>
              <w:bottom w:val="single" w:color="auto" w:sz="0" w:space="0"/>
              <w:insideH w:val="single" w:sz="0" w:space="0"/>
            </w:tcBorders>
            <w:vAlign w:val="bottom"/>
          </w:tcPr>
          <w:p w14:paraId="46A19405">
            <w:pPr>
              <w:pStyle w:val="27"/>
              <w:spacing w:line="360" w:lineRule="auto"/>
              <w:jc w:val="center"/>
            </w:pPr>
            <w:r>
              <w:rPr>
                <w:rFonts w:hint="eastAsia"/>
              </w:rPr>
              <w:t>评测方式</w:t>
            </w:r>
          </w:p>
        </w:tc>
        <w:tc>
          <w:tcPr>
            <w:tcW w:w="609" w:type="pct"/>
            <w:tcBorders>
              <w:bottom w:val="single" w:color="auto" w:sz="0" w:space="0"/>
              <w:insideH w:val="single" w:sz="0" w:space="0"/>
            </w:tcBorders>
            <w:vAlign w:val="bottom"/>
          </w:tcPr>
          <w:p w14:paraId="3FB866B9">
            <w:pPr>
              <w:pStyle w:val="27"/>
              <w:spacing w:line="360" w:lineRule="auto"/>
              <w:jc w:val="center"/>
            </w:pPr>
            <w:r>
              <w:rPr>
                <w:rFonts w:hint="eastAsia"/>
              </w:rPr>
              <w:t>规模</w:t>
            </w:r>
          </w:p>
        </w:tc>
        <w:tc>
          <w:tcPr>
            <w:tcW w:w="1944" w:type="dxa"/>
            <w:tcBorders>
              <w:bottom w:val="single" w:color="auto" w:sz="0" w:space="0"/>
              <w:insideH w:val="single" w:sz="0" w:space="0"/>
            </w:tcBorders>
            <w:vAlign w:val="bottom"/>
          </w:tcPr>
          <w:p w14:paraId="2049980F">
            <w:pPr>
              <w:pStyle w:val="27"/>
              <w:spacing w:line="360" w:lineRule="auto"/>
              <w:jc w:val="center"/>
            </w:pPr>
            <w:r>
              <w:rPr>
                <w:rFonts w:hint="eastAsia"/>
              </w:rPr>
              <w:t>关键发现</w:t>
            </w:r>
          </w:p>
        </w:tc>
      </w:tr>
      <w:tr w14:paraId="7B54089D">
        <w:tblPrEx>
          <w:tblCellMar>
            <w:top w:w="0" w:type="dxa"/>
            <w:left w:w="108" w:type="dxa"/>
            <w:bottom w:w="0" w:type="dxa"/>
            <w:right w:w="108" w:type="dxa"/>
          </w:tblCellMar>
        </w:tblPrEx>
        <w:tc>
          <w:tcPr>
            <w:tcW w:w="797" w:type="pct"/>
          </w:tcPr>
          <w:p w14:paraId="3E7C386B">
            <w:pPr>
              <w:pStyle w:val="27"/>
              <w:spacing w:line="360" w:lineRule="auto"/>
              <w:jc w:val="center"/>
            </w:pPr>
            <w:r>
              <w:t>VALSE</w:t>
            </w:r>
          </w:p>
        </w:tc>
        <w:tc>
          <w:tcPr>
            <w:tcW w:w="1275" w:type="pct"/>
          </w:tcPr>
          <w:p w14:paraId="3E8D2881">
            <w:pPr>
              <w:pStyle w:val="27"/>
              <w:spacing w:line="360" w:lineRule="auto"/>
              <w:jc w:val="center"/>
            </w:pPr>
            <w:r>
              <w:rPr>
                <w:rFonts w:hint="eastAsia"/>
              </w:rPr>
              <w:t>存在/复数/计数/空间关系/动作/共指</w:t>
            </w:r>
          </w:p>
        </w:tc>
        <w:tc>
          <w:tcPr>
            <w:tcW w:w="1220" w:type="pct"/>
          </w:tcPr>
          <w:p w14:paraId="4857A937">
            <w:pPr>
              <w:pStyle w:val="27"/>
              <w:spacing w:line="360" w:lineRule="auto"/>
              <w:jc w:val="center"/>
            </w:pPr>
            <w:r>
              <w:rPr>
                <w:rFonts w:hint="eastAsia"/>
              </w:rPr>
              <w:t>真假判断（foiled</w:t>
            </w:r>
            <w:r>
              <w:t xml:space="preserve"> </w:t>
            </w:r>
            <w:r>
              <w:rPr>
                <w:rFonts w:hint="eastAsia"/>
              </w:rPr>
              <w:t>instances）</w:t>
            </w:r>
          </w:p>
        </w:tc>
        <w:tc>
          <w:tcPr>
            <w:tcW w:w="609" w:type="pct"/>
          </w:tcPr>
          <w:p w14:paraId="66038057">
            <w:pPr>
              <w:pStyle w:val="27"/>
              <w:spacing w:line="360" w:lineRule="auto"/>
              <w:jc w:val="center"/>
            </w:pPr>
            <w:r>
              <w:t xml:space="preserve">851 </w:t>
            </w:r>
            <w:r>
              <w:rPr>
                <w:rFonts w:hint="eastAsia"/>
              </w:rPr>
              <w:t>例</w:t>
            </w:r>
          </w:p>
        </w:tc>
        <w:tc>
          <w:tcPr>
            <w:tcW w:w="1944" w:type="dxa"/>
          </w:tcPr>
          <w:p w14:paraId="2F5F6FE2">
            <w:pPr>
              <w:pStyle w:val="27"/>
              <w:spacing w:line="360" w:lineRule="auto"/>
              <w:jc w:val="center"/>
            </w:pPr>
            <w:r>
              <w:rPr>
                <w:rFonts w:hint="eastAsia"/>
              </w:rPr>
              <w:t>空间关系、共指最弱</w:t>
            </w:r>
          </w:p>
        </w:tc>
      </w:tr>
      <w:tr w14:paraId="5A3E7C5C">
        <w:tblPrEx>
          <w:tblCellMar>
            <w:top w:w="0" w:type="dxa"/>
            <w:left w:w="108" w:type="dxa"/>
            <w:bottom w:w="0" w:type="dxa"/>
            <w:right w:w="108" w:type="dxa"/>
          </w:tblCellMar>
        </w:tblPrEx>
        <w:tc>
          <w:tcPr>
            <w:tcW w:w="797" w:type="pct"/>
          </w:tcPr>
          <w:p w14:paraId="61DB753B">
            <w:pPr>
              <w:pStyle w:val="27"/>
              <w:spacing w:line="360" w:lineRule="auto"/>
              <w:jc w:val="center"/>
            </w:pPr>
            <w:r>
              <w:t>CREPE</w:t>
            </w:r>
          </w:p>
        </w:tc>
        <w:tc>
          <w:tcPr>
            <w:tcW w:w="1275" w:type="pct"/>
          </w:tcPr>
          <w:p w14:paraId="3B2D3E90">
            <w:pPr>
              <w:pStyle w:val="27"/>
              <w:spacing w:line="360" w:lineRule="auto"/>
              <w:jc w:val="center"/>
            </w:pPr>
            <w:r>
              <w:rPr>
                <w:rFonts w:hint="eastAsia"/>
              </w:rPr>
              <w:t>系统性/生产力</w:t>
            </w:r>
          </w:p>
        </w:tc>
        <w:tc>
          <w:tcPr>
            <w:tcW w:w="1220" w:type="pct"/>
          </w:tcPr>
          <w:p w14:paraId="51C5E3E4">
            <w:pPr>
              <w:pStyle w:val="27"/>
              <w:spacing w:line="360" w:lineRule="auto"/>
              <w:jc w:val="center"/>
            </w:pPr>
            <w:r>
              <w:rPr>
                <w:rFonts w:hint="eastAsia"/>
              </w:rPr>
              <w:t>检索（seen-unseen</w:t>
            </w:r>
            <w:r>
              <w:t xml:space="preserve"> splits + </w:t>
            </w:r>
            <w:r>
              <w:rPr>
                <w:rFonts w:hint="eastAsia"/>
              </w:rPr>
              <w:t>复杂度梯度）</w:t>
            </w:r>
          </w:p>
        </w:tc>
        <w:tc>
          <w:tcPr>
            <w:tcW w:w="609" w:type="pct"/>
          </w:tcPr>
          <w:p w14:paraId="2FC489E8">
            <w:pPr>
              <w:pStyle w:val="27"/>
              <w:spacing w:line="360" w:lineRule="auto"/>
              <w:jc w:val="center"/>
            </w:pPr>
            <w:r>
              <w:t xml:space="preserve">37 </w:t>
            </w:r>
            <w:r>
              <w:rPr>
                <w:rFonts w:hint="eastAsia"/>
              </w:rPr>
              <w:t>万级</w:t>
            </w:r>
          </w:p>
        </w:tc>
        <w:tc>
          <w:tcPr>
            <w:tcW w:w="1944" w:type="dxa"/>
          </w:tcPr>
          <w:p w14:paraId="21EB4839">
            <w:pPr>
              <w:pStyle w:val="27"/>
              <w:spacing w:line="360" w:lineRule="auto"/>
              <w:jc w:val="center"/>
            </w:pPr>
            <w:r>
              <w:rPr>
                <w:rFonts w:hint="eastAsia"/>
              </w:rPr>
              <w:t>缺陷与规模无关</w:t>
            </w:r>
          </w:p>
        </w:tc>
      </w:tr>
      <w:tr w14:paraId="095A608F">
        <w:tblPrEx>
          <w:tblCellMar>
            <w:top w:w="0" w:type="dxa"/>
            <w:left w:w="108" w:type="dxa"/>
            <w:bottom w:w="0" w:type="dxa"/>
            <w:right w:w="108" w:type="dxa"/>
          </w:tblCellMar>
        </w:tblPrEx>
        <w:tc>
          <w:tcPr>
            <w:tcW w:w="797" w:type="pct"/>
          </w:tcPr>
          <w:p w14:paraId="2A35C478">
            <w:pPr>
              <w:pStyle w:val="27"/>
              <w:spacing w:line="360" w:lineRule="auto"/>
              <w:jc w:val="center"/>
            </w:pPr>
            <w:r>
              <w:t>ARO</w:t>
            </w:r>
          </w:p>
        </w:tc>
        <w:tc>
          <w:tcPr>
            <w:tcW w:w="1275" w:type="pct"/>
          </w:tcPr>
          <w:p w14:paraId="6BBEEA69">
            <w:pPr>
              <w:pStyle w:val="27"/>
              <w:spacing w:line="360" w:lineRule="auto"/>
              <w:jc w:val="center"/>
            </w:pPr>
            <w:r>
              <w:rPr>
                <w:rFonts w:hint="eastAsia"/>
              </w:rPr>
              <w:t>属性/关系/词序</w:t>
            </w:r>
          </w:p>
        </w:tc>
        <w:tc>
          <w:tcPr>
            <w:tcW w:w="1220" w:type="pct"/>
          </w:tcPr>
          <w:p w14:paraId="1633AE8A">
            <w:pPr>
              <w:pStyle w:val="27"/>
              <w:spacing w:line="360" w:lineRule="auto"/>
              <w:jc w:val="center"/>
            </w:pPr>
            <w:r>
              <w:rPr>
                <w:rFonts w:hint="eastAsia"/>
              </w:rPr>
              <w:t>检索</w:t>
            </w:r>
          </w:p>
        </w:tc>
        <w:tc>
          <w:tcPr>
            <w:tcW w:w="609" w:type="pct"/>
          </w:tcPr>
          <w:p w14:paraId="57BBA94A">
            <w:pPr>
              <w:pStyle w:val="27"/>
              <w:spacing w:line="360" w:lineRule="auto"/>
              <w:jc w:val="center"/>
            </w:pPr>
            <w:r>
              <w:t xml:space="preserve">5 </w:t>
            </w:r>
            <w:r>
              <w:rPr>
                <w:rFonts w:hint="eastAsia"/>
              </w:rPr>
              <w:t>万级</w:t>
            </w:r>
          </w:p>
        </w:tc>
        <w:tc>
          <w:tcPr>
            <w:tcW w:w="1944" w:type="dxa"/>
          </w:tcPr>
          <w:p w14:paraId="555A6ED2">
            <w:pPr>
              <w:pStyle w:val="27"/>
              <w:spacing w:line="360" w:lineRule="auto"/>
              <w:jc w:val="center"/>
            </w:pPr>
            <w:r>
              <w:rPr>
                <w:rFonts w:hint="eastAsia"/>
              </w:rPr>
              <w:t>词袋模型；存在</w:t>
            </w:r>
            <w:r>
              <w:t xml:space="preserve"> shortcut</w:t>
            </w:r>
          </w:p>
        </w:tc>
      </w:tr>
      <w:tr w14:paraId="751CE605">
        <w:tblPrEx>
          <w:tblCellMar>
            <w:top w:w="0" w:type="dxa"/>
            <w:left w:w="108" w:type="dxa"/>
            <w:bottom w:w="0" w:type="dxa"/>
            <w:right w:w="108" w:type="dxa"/>
          </w:tblCellMar>
        </w:tblPrEx>
        <w:tc>
          <w:tcPr>
            <w:tcW w:w="797" w:type="pct"/>
          </w:tcPr>
          <w:p w14:paraId="6B37017F">
            <w:pPr>
              <w:pStyle w:val="27"/>
              <w:spacing w:line="360" w:lineRule="auto"/>
              <w:jc w:val="center"/>
            </w:pPr>
            <w:r>
              <w:t>SugarCrepe</w:t>
            </w:r>
          </w:p>
        </w:tc>
        <w:tc>
          <w:tcPr>
            <w:tcW w:w="1275" w:type="pct"/>
          </w:tcPr>
          <w:p w14:paraId="38416424">
            <w:pPr>
              <w:pStyle w:val="27"/>
              <w:spacing w:line="360" w:lineRule="auto"/>
              <w:jc w:val="center"/>
            </w:pPr>
            <w:r>
              <w:rPr>
                <w:rFonts w:hint="eastAsia"/>
              </w:rPr>
              <w:t>物体/属性/关系</w:t>
            </w:r>
            <w:r>
              <w:t xml:space="preserve"> × Replace/Swap/Add</w:t>
            </w:r>
          </w:p>
        </w:tc>
        <w:tc>
          <w:tcPr>
            <w:tcW w:w="1220" w:type="pct"/>
          </w:tcPr>
          <w:p w14:paraId="3FAB8E6C">
            <w:pPr>
              <w:pStyle w:val="27"/>
              <w:spacing w:line="360" w:lineRule="auto"/>
              <w:jc w:val="center"/>
            </w:pPr>
            <w:r>
              <w:rPr>
                <w:rFonts w:hint="eastAsia"/>
              </w:rPr>
              <w:t>二选一检索</w:t>
            </w:r>
          </w:p>
        </w:tc>
        <w:tc>
          <w:tcPr>
            <w:tcW w:w="609" w:type="pct"/>
          </w:tcPr>
          <w:p w14:paraId="33839ACE">
            <w:pPr>
              <w:pStyle w:val="27"/>
              <w:spacing w:line="360" w:lineRule="auto"/>
              <w:jc w:val="center"/>
            </w:pPr>
            <w:r>
              <w:t xml:space="preserve">7.5 </w:t>
            </w:r>
            <w:r>
              <w:rPr>
                <w:rFonts w:hint="eastAsia"/>
              </w:rPr>
              <w:t>千级</w:t>
            </w:r>
          </w:p>
        </w:tc>
        <w:tc>
          <w:tcPr>
            <w:tcW w:w="1944" w:type="dxa"/>
          </w:tcPr>
          <w:p w14:paraId="5AD694F2">
            <w:pPr>
              <w:pStyle w:val="27"/>
              <w:spacing w:line="360" w:lineRule="auto"/>
              <w:jc w:val="center"/>
            </w:pPr>
            <w:r>
              <w:t xml:space="preserve">Swap </w:t>
            </w:r>
            <w:r>
              <w:rPr>
                <w:rFonts w:hint="eastAsia"/>
              </w:rPr>
              <w:t>最难；物体</w:t>
            </w:r>
            <w:r>
              <w:t xml:space="preserve"> &gt; </w:t>
            </w:r>
            <w:r>
              <w:rPr>
                <w:rFonts w:hint="eastAsia"/>
              </w:rPr>
              <w:t>属性</w:t>
            </w:r>
            <w:r>
              <w:t xml:space="preserve"> &gt; </w:t>
            </w:r>
            <w:r>
              <w:rPr>
                <w:rFonts w:hint="eastAsia"/>
              </w:rPr>
              <w:t>关系</w:t>
            </w:r>
          </w:p>
        </w:tc>
      </w:tr>
      <w:bookmarkEnd w:id="3"/>
    </w:tbl>
    <w:p w14:paraId="70B15369">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commentRangeStart w:id="11"/>
      <w:commentRangeStart w:id="12"/>
      <w:r>
        <w:rPr>
          <w:rStyle w:val="24"/>
          <w:sz w:val="28"/>
          <w:szCs w:val="28"/>
        </w:rPr>
        <w:commentReference w:id="11"/>
      </w:r>
      <w:commentRangeEnd w:id="11"/>
      <w:commentRangeEnd w:id="12"/>
      <w:r>
        <w:rPr>
          <w:rStyle w:val="24"/>
          <w:sz w:val="28"/>
          <w:szCs w:val="28"/>
        </w:rPr>
        <w:commentReference w:id="12"/>
      </w:r>
    </w:p>
    <w:p w14:paraId="5DD9DE40">
      <w:pPr>
        <w:pStyle w:val="26"/>
        <w:spacing w:line="360" w:lineRule="auto"/>
        <w:ind w:firstLine="480" w:firstLineChars="200"/>
        <w:jc w:val="both"/>
      </w:pPr>
      <w:r>
        <w:rPr>
          <w:rFonts w:hint="eastAsia"/>
          <w:color w:val="000000"/>
        </w:rPr>
        <w:commentReference w:id="13"/>
      </w: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0A3027E0">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7476820E">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#(1)</m:t>
              </m:r>
              <m:ctrlPr>
                <w:rPr>
                  <w:rFonts w:ascii="Cambria Math" w:hAnsi="Cambria Math"/>
                </w:rPr>
              </m:ctrlPr>
            </m:e>
          </m:eqArr>
        </m:oMath>
      </m:oMathPara>
    </w:p>
    <w:p w14:paraId="01685072">
      <w:pPr>
        <w:pStyle w:val="26"/>
        <w:spacing w:line="360" w:lineRule="auto"/>
        <w:jc w:val="both"/>
      </w:pPr>
      <w:r>
        <w:rPr>
          <w:rFonts w:hint="eastAsia"/>
          <w:color w:val="000000"/>
        </w:rPr>
        <w:t>替代 critic 打分，配合确定性规则验证器提供奖励，开辟了“可验证奖励强化学习”（RL with Verifiable Rewards, RLVR）路线。一个自然的对照是直接偏好优化（DPO）[10]：它以离线偏好对为原料、无需显式奖励模型，在可验证奖励设定下也可自动构造偏好对；但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19E2D48C">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2E00BC01">
      <w:pPr>
        <w:pStyle w:val="3"/>
        <w:spacing w:line="360" w:lineRule="auto"/>
        <w:ind w:firstLine="480" w:firstLineChars="200"/>
        <w:jc w:val="both"/>
      </w:pPr>
      <w:commentRangeStart w:id="14"/>
      <w:commentRangeStart w:id="15"/>
      <w:r>
        <w:rPr>
          <w:rFonts w:hint="eastAsia"/>
          <w:color w:val="000000"/>
        </w:rPr>
        <w:commentReference w:id="14"/>
      </w:r>
      <w:commentRangeEnd w:id="14"/>
      <w:commentRangeEnd w:id="15"/>
      <w:r>
        <w:rPr>
          <w:rFonts w:hint="eastAsia"/>
          <w:color w:val="000000"/>
        </w:rPr>
        <w:commentReference w:id="15"/>
      </w: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6D3939BB">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768A871">
      <w:pPr>
        <w:pStyle w:val="26"/>
        <w:spacing w:line="360" w:lineRule="auto"/>
        <w:ind w:firstLine="480" w:firstLineChars="200"/>
        <w:jc w:val="both"/>
      </w:pPr>
      <w:r>
        <w:rPr>
          <w:rFonts w:hint="eastAsia"/>
          <w:color w:val="000000"/>
        </w:rPr>
        <w:t>根据奖励信息来源，现有方法可归纳为三类：结果验证奖励、视觉对齐奖励和推理过程奖励，分别对应组合推理中“是否正确”“是否看对”与“是否合理推理”三个层面的优化目标。类别之间体现的是奖励粒度的扩展而非严格的继承关系；本节按三类展开梳理，每篇方法按统一维度（奖励来源、监督需求、组合触及度、评测与局限）呈现，类别间的关系集中于 3.4 节讨论。</w:t>
      </w:r>
    </w:p>
    <w:p w14:paraId="1512CFB2">
      <w:pPr>
        <w:pStyle w:val="5"/>
        <w:spacing w:line="360" w:lineRule="auto"/>
        <w:jc w:val="both"/>
      </w:pPr>
      <w:bookmarkStart w:id="6" w:name="验证器奖励verifier-based"/>
      <w:r>
        <w:rPr>
          <w:rFonts w:eastAsia="宋体"/>
        </w:rPr>
        <w:t xml:space="preserve">3.1 </w:t>
      </w:r>
      <w:r>
        <w:rPr>
          <w:rFonts w:hint="eastAsia" w:eastAsia="宋体"/>
        </w:rPr>
        <w:t>验证器</w:t>
      </w:r>
      <w:commentRangeStart w:id="16"/>
      <w:r>
        <w:rPr>
          <w:rFonts w:hint="eastAsia" w:eastAsia="宋体"/>
        </w:rPr>
        <w:t>奖励（Verifier-based）</w:t>
      </w:r>
      <w:commentRangeEnd w:id="16"/>
      <w:r>
        <w:rPr>
          <w:rStyle w:val="24"/>
          <w:sz w:val="28"/>
          <w:szCs w:val="28"/>
        </w:rPr>
        <w:commentReference w:id="16"/>
      </w:r>
    </w:p>
    <w:p w14:paraId="0DB68E93">
      <w:pPr>
        <w:pStyle w:val="26"/>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组合推理的错误集中在精细绑定上，而绑定正误在一定任务设计下可以自动判定。围绕“验证什么”，不同工作分别验证最终答案、推理的中间结构与回答的跨视角一致性。</w:t>
      </w:r>
    </w:p>
    <w:p w14:paraId="2F8845A4">
      <w:pPr>
        <w:pStyle w:val="3"/>
        <w:spacing w:line="360" w:lineRule="auto"/>
        <w:ind w:firstLine="480" w:firstLineChars="200"/>
        <w:jc w:val="both"/>
      </w:pPr>
      <w:r>
        <w:rPr>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19E46CD0">
      <w:pPr>
        <w:pStyle w:val="3"/>
        <w:spacing w:line="360" w:lineRule="auto"/>
        <w:jc w:val="center"/>
      </w:pPr>
      <m:oMathPara>
        <m:oMath>
          <m:eqArr>
            <m:eqArrPr>
              <m:maxDist m:val="1"/>
              <m:ctrlPr>
                <m:r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m:sty m:val="p"/>
                </m:rPr>
                <w:rPr>
                  <w:rFonts w:ascii="Cambria Math" w:hAnsi="Cambria Math"/>
                  <w:sz w:val="24"/>
                </w:rPr>
                <m:t>#</m:t>
              </m:r>
              <m:r>
                <m:rPr>
                  <m:sty m:val="p"/>
                </m:rPr>
                <w:rPr>
                  <w:rFonts w:hint="default" w:ascii="Cambria Math" w:hAnsi="Cambria Math"/>
                  <w:sz w:val="24"/>
                  <w:lang w:val="en-US" w:eastAsia="zh-CN"/>
                </w:rPr>
                <m:t>(2)</m:t>
              </m:r>
              <m:ctrlPr>
                <m:rPr/>
                <w:rPr>
                  <w:rFonts w:hint="default" w:ascii="Cambria Math" w:hAnsi="Cambria Math"/>
                  <w:i/>
                  <w:sz w:val="24"/>
                </w:rPr>
              </m:ctrlPr>
            </m:e>
          </m:eqArr>
        </m:oMath>
      </m:oMathPara>
    </w:p>
    <w:p w14:paraId="6B2F1EEF">
      <w:pPr>
        <w:pStyle w:val="26"/>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w:t>
      </w:r>
      <w:bookmarkStart w:id="17" w:name="_GoBack"/>
      <w:bookmarkEnd w:id="17"/>
      <w:r>
        <w:rPr>
          <w:rFonts w:hint="eastAsia"/>
          <w:color w:val="000000"/>
        </w:rPr>
        <w:t>案</w:t>
      </w:r>
      <w:r>
        <w:rPr>
          <w:rFonts w:hint="eastAsia"/>
          <w:color w:val="000000"/>
          <w:lang w:eastAsia="zh-CN"/>
        </w:rPr>
        <w:t>”</w:t>
      </w:r>
      <w:r>
        <w:rPr>
          <w:rFonts w:hint="eastAsia"/>
          <w:color w:val="000000"/>
        </w:rPr>
        <w:t>的格式时取 1（</w:t>
      </w:r>
      <m:oMath>
        <m:r>
          <m:rPr>
            <m:sty m:val="p"/>
          </m:rPr>
          <w:rPr>
            <w:rFonts w:ascii="Cambria Math" w:hAnsi="Cambria Math"/>
          </w:rPr>
          <m:t>λ</m:t>
        </m:r>
        <m:r>
          <m:rPr>
            <m:sty m:val="p"/>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万），使二元奖励在“整体相似、细节绑定出错”的样本上保持梯度。Qwen2.5-VL-7B 与 InternVL3-8B 在三个组合基准上平均提升超 9 个绝对点，且无 SFT 常见的领域外退化（见表 4）。</w:t>
      </w:r>
    </w:p>
    <w:p w14:paraId="09C29995">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98AAC32">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total</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e>
              </m:d>
              <m:r>
                <m:rPr>
                  <m:sty m:val="p"/>
                </m:rPr>
                <w:rPr>
                  <w:rFonts w:ascii="Cambria Math" w:hAnsi="Cambria Math"/>
                </w:rPr>
                <m:t>,#(3)</m:t>
              </m:r>
              <m:ctrlPr>
                <w:rPr>
                  <w:rFonts w:ascii="Cambria Math" w:hAnsi="Cambria Math"/>
                </w:rPr>
              </m:ctrlPr>
            </m:e>
          </m:eqArr>
        </m:oMath>
      </m:oMathPara>
    </w:p>
    <w:p w14:paraId="27FC9D15">
      <w:pPr>
        <w:pStyle w:val="26"/>
        <w:spacing w:line="360" w:lineRule="auto"/>
        <w:jc w:val="both"/>
      </w:pPr>
      <w:r>
        <w:rPr>
          <w:rFonts w:hint="eastAsia"/>
          <w:color w:val="000000"/>
        </w:rPr>
        <w:t>其中格式分量是硬门槛，空间奖励仅在答案正确时生效，防止模型为刷结构分而牺牲最终答案。</w:t>
      </w:r>
      <w:r>
        <w:rPr>
          <w:rFonts w:hint="eastAsia"/>
          <w:color w:val="000000"/>
        </w:rPr>
        <w:t>7B 模型在 14 个基准上平均超越 GPT-4o（+4.7%），但 STVQA-7K 基于 Visual Genome 人工标注构建，框标注质量直接决定空间分量的可靠性。</w:t>
      </w:r>
    </w:p>
    <w:p w14:paraId="2122FAD5">
      <w:pPr>
        <w:pStyle w:val="3"/>
        <w:spacing w:line="360" w:lineRule="auto"/>
        <w:ind w:firstLine="480" w:firstLineChars="200"/>
        <w:jc w:val="both"/>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SVQA-R1 [14] 代表了对“跨视角一致性”的验证，将图像镜像翻转并用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cs="Times New Roman"/>
          <w:color w:val="000000" w:themeColor="text1"/>
          <w14:textFill>
            <w14:solidFill>
              <w14:schemeClr w14:val="tx1"/>
            </w14:solidFill>
          </w14:textFill>
        </w:rPr>
        <w:t xml:space="preserve">）。</w:t>
      </w:r>
      <w:r>
        <w:rPr>
          <w:rFonts w:cs="Times New Roman"/>
          <w:color w:val="000000" w:themeColor="text1"/>
          <w14:textFill>
            <w14:solidFill>
              <w14:schemeClr w14:val="tx1"/>
            </w14:solidFill>
          </w14:textFill>
        </w:rPr>
        <w:t xml:space="preserve">3B 模型在 Q-Spatial++ 上较 SFT 基线提升超 30 个百分点，验证范围限于水平镜像翻转下的空间问答。</w:t>
      </w:r>
    </w:p>
    <w:p w14:paraId="55FD8CCD">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7B0F82FD">
      <w:pPr>
        <w:pStyle w:val="5"/>
        <w:spacing w:line="360" w:lineRule="auto"/>
        <w:jc w:val="both"/>
      </w:pPr>
      <w:bookmarkStart w:id="7" w:name="视觉对齐奖励grounded"/>
      <w:r>
        <w:rPr>
          <w:rFonts w:eastAsia="宋体"/>
        </w:rPr>
        <w:t xml:space="preserve">3.2 </w:t>
      </w:r>
      <w:r>
        <w:rPr>
          <w:rFonts w:hint="eastAsia" w:eastAsia="宋体"/>
        </w:rPr>
        <w:t>视觉对齐奖励（Grounded）</w:t>
      </w:r>
    </w:p>
    <w:p w14:paraId="1D21210B">
      <w:pPr>
        <w:pStyle w:val="26"/>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AFD63A9">
      <w:pPr>
        <w:pStyle w:val="3"/>
        <w:spacing w:line="360" w:lineRule="auto"/>
        <w:ind w:firstLine="480" w:firstLineChars="200"/>
        <w:jc w:val="both"/>
      </w:pPr>
      <w:r>
        <w:rPr>
          <w:color w:val="000000"/>
        </w:rPr>
        <w:t>Ground-R1 [15] 是这一方向的起点，证明 RL 下无需框标注即可驱动模型学会定位证据。两阶段 rollout 中，模型先输出证据框坐标、再基于裁剪出的局部图像作答；但论文诊断出标准 GRPO 的全局归一化偏袒大而显著的证据区域，小但关键的证据获得持续负优势、陷入探索崩溃，故提出尺度相对策略优化（SRPO）：按证据区域相对面积分箱（K=3），以桶内归一化与桶间判别奖励让不同尺度的证据公平竞争。消融显示 SRPO 较 GRPO 稳定提升（V* +2.1%、HR-4K +1.2%），说明对齐奖励不仅要约束“看哪儿”，还要公平对待每个尺度的证据。</w:t>
      </w:r>
    </w:p>
    <w:p w14:paraId="05E51ADF">
      <w:pPr>
        <w:pStyle w:val="3"/>
        <w:spacing w:line="360" w:lineRule="auto"/>
        <w:ind w:firstLine="480" w:firstLineChars="200"/>
        <w:jc w:val="both"/>
      </w:pPr>
      <w:r>
        <w:rPr>
          <w:color w:val="000000"/>
        </w:rPr>
        <w:t>GRIT [16] 在监督强度上进一步压缩：包围框坐标直接内嵌进思维链</w:t>
      </w:r>
      <w:r>
        <w:rPr>
          <w:rFonts w:hint="eastAsia"/>
        </w:rPr>
        <w:t>（</w:t>
      </w:r>
      <w:r>
        <w:rPr>
          <w:rStyle w:val="51"/>
        </w:rPr>
        <w:t>&lt;think&gt;</w:t>
      </w:r>
      <w:r>
        <w:t>→</w:t>
      </w:r>
      <w:r>
        <w:rPr>
          <w:rStyle w:val="51"/>
        </w:rPr>
        <w:t>&lt;rethink&gt;</w:t>
      </w:r>
      <w:r>
        <w:t>→</w:t>
      </w:r>
      <w:r>
        <w:rPr>
          <w:rStyle w:val="51"/>
        </w:rPr>
        <w:t>&lt;answer&gt;</w:t>
      </w:r>
      <w:r>
        <w:rPr>
          <w:rFonts w:hint="eastAsia"/>
        </w:rPr>
        <w:t>）</w:t>
      </w:r>
      <w:r>
        <w:rPr>
          <w:color w:val="000000"/>
        </w:rPr>
        <w:t>，训练仅用 20 个图文问答三元组即触发基座模型的 grounded 推理能力。消融还揭示对齐信号须与推理需求挂钩：加入计数奖励后 grounding 质量显著提升（GIoU 0.349→0.387）。但 bbox 终究只是“看哪儿”的粗略代理，奖励不约束框本身的质量。</w:t>
      </w:r>
    </w:p>
    <w:p w14:paraId="414493A2">
      <w:pPr>
        <w:pStyle w:val="3"/>
        <w:spacing w:line="360" w:lineRule="auto"/>
        <w:ind w:firstLine="480" w:firstLineChars="200"/>
        <w:jc w:val="both"/>
      </w:pPr>
      <w:r>
        <w:rPr>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ext</m:t>
            </m:r>
            <m:ctrlPr>
              <w:rPr>
                <w:rFonts w:ascii="Cambria Math" w:hAnsi="Cambria Math"/>
              </w:rPr>
            </m:ctrlPr>
          </m:sup>
        </m:sSup>
      </m:oMath>
      <w:r>
        <w:rPr>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int</m:t>
            </m:r>
            <m:ctrlPr>
              <w:rPr>
                <w:rFonts w:ascii="Cambria Math" w:hAnsi="Cambria Math"/>
              </w:rPr>
            </m:ctrlPr>
          </m:sup>
        </m:sSup>
      </m:oMath>
      <w:r>
        <w:rPr>
          <w:color w:val="000000"/>
        </w:rPr>
        <w:t xml:space="preserve"> 先在答案引用的物体集合上按置信度修正奖励，再在组内归一化：</w:t>
      </w:r>
    </w:p>
    <w:p w14:paraId="7EE097A6">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nor/>
                          <m:sty m:val="p"/>
                        </m:rPr>
                        <w:rPr>
                          <w:b w:val="0"/>
                          <w:i w:val="0"/>
                        </w:rPr>
                        <m:t>mean</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ctrlPr>
                    <w:rPr>
                      <w:rFonts w:ascii="Cambria Math" w:hAnsi="Cambria Math"/>
                    </w:rPr>
                  </m:ctrlPr>
                </m:num>
                <m:den>
                  <m:sSub>
                    <m:sSubPr>
                      <m:ctrlPr>
                        <w:rPr>
                          <w:rFonts w:ascii="Cambria Math" w:hAnsi="Cambria Math"/>
                        </w:rPr>
                      </m:ctrlPr>
                    </m:sSubPr>
                    <m:e>
                      <m:r>
                        <m:rPr>
                          <m:nor/>
                          <m:sty m:val="p"/>
                        </m:rPr>
                        <w:rPr>
                          <w:b w:val="0"/>
                          <w:i w:val="0"/>
                        </w:rPr>
                        <m:t>std</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δ</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ext</m:t>
                  </m:r>
                  <m:ctrlPr>
                    <w:rPr>
                      <w:rFonts w:ascii="Cambria Math" w:hAnsi="Cambria Math"/>
                    </w:rPr>
                  </m:ctrlPr>
                </m:sup>
              </m:sSubSup>
              <m:r>
                <m:rPr>
                  <m:sty m:val="p"/>
                </m:rPr>
                <w:rPr>
                  <w:rFonts w:ascii="Cambria Math" w:hAnsi="Cambria Math"/>
                </w:rPr>
                <m:t>+</m:t>
              </m:r>
              <m:r>
                <m:rPr/>
                <w:rPr>
                  <w:rFonts w:ascii="Cambria Math" w:hAnsi="Cambria Math"/>
                </w:rPr>
                <m:t>ω</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,#(4)~(6)</m:t>
              </m:r>
              <m:ctrlPr>
                <w:rPr>
                  <w:rFonts w:ascii="Cambria Math" w:hAnsi="Cambria Math"/>
                  <w:i/>
                </w:rPr>
              </m:ctrlPr>
            </m:e>
          </m:eqArr>
        </m:oMath>
      </m:oMathPara>
    </w:p>
    <w:p w14:paraId="0926A76E">
      <w:pPr>
        <w:pStyle w:val="26"/>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81.3%，物体级打分仅占总训练时间的 0.0004%。同方向的 SAYO [18] 以区域级视觉注意力作为奖励信号，把对齐对象从显式框推广到注意力分布。</w:t>
      </w:r>
    </w:p>
    <w:p w14:paraId="2AF1DEA2">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该方向的对齐对象覆盖证据区域、思维链内嵌、物体级与显著性分布，监督需求从数千级问答对降到零标注。但上述工作多在通用 VQA 与空间问答上验证，显式组合基准上的覆盖仍然不足；对齐奖励衡量“是否看对”，而组合推理还要求“是否合理推理”，后者由推理过程优化方向（3.3）处理。</w:t>
      </w:r>
    </w:p>
    <w:bookmarkEnd w:id="7"/>
    <w:p w14:paraId="1BF6C51F">
      <w:pPr>
        <w:pStyle w:val="5"/>
        <w:spacing w:line="360" w:lineRule="auto"/>
        <w:jc w:val="both"/>
      </w:pPr>
      <w:bookmarkStart w:id="8" w:name="推理过程优化process"/>
      <w:r>
        <w:rPr>
          <w:rFonts w:eastAsia="宋体"/>
        </w:rPr>
        <w:t xml:space="preserve">3.3 </w:t>
      </w:r>
      <w:r>
        <w:rPr>
          <w:rFonts w:hint="eastAsia" w:eastAsia="宋体"/>
        </w:rPr>
        <w:t>推理过程优化（Process）</w:t>
      </w:r>
    </w:p>
    <w:p w14:paraId="64F4E8B0">
      <w:pPr>
        <w:pStyle w:val="26"/>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过程奖励模型，在 7 个多模态推理基准上带来 3.7</w:t>
      </w:r>
      <w:r>
        <w:rPr>
          <w:rFonts w:hint="eastAsia"/>
          <w:color w:val="000000"/>
          <w:lang w:val="en-US" w:eastAsia="zh-CN"/>
        </w:rPr>
        <w:t xml:space="preserve"> ~ </w:t>
      </w:r>
      <w:r>
        <w:rPr>
          <w:rFonts w:hint="eastAsia"/>
          <w:color w:val="000000"/>
        </w:rPr>
        <w:t>8.9 个点提升，但其步骤定义纯文本、无视觉锚定，不覆盖组合绑定。第二步是把证据框等视觉结构锚定进步骤，这正是 H-GRPO 的探索。</w:t>
      </w:r>
    </w:p>
    <w:p w14:paraId="228F8B25">
      <w:pPr>
        <w:pStyle w:val="3"/>
        <w:spacing w:line="360" w:lineRule="auto"/>
        <w:ind w:firstLine="480" w:firstLineChars="200"/>
        <w:jc w:val="both"/>
      </w:pPr>
      <w:r>
        <w:rPr>
          <w:color w:val="000000"/>
        </w:rPr>
        <w:t>Self-Questioning VLM [19] 是显式化的最小实现，设计精简到只剩一个格式约束：模型必须按</w:t>
      </w:r>
      <w:r>
        <w:rPr>
          <w:rFonts w:hint="eastAsia"/>
          <w:color w:val="000000"/>
          <w:lang w:eastAsia="zh-CN"/>
        </w:rPr>
        <w:t>“</w:t>
      </w:r>
      <w:r>
        <w:rPr>
          <w:color w:val="000000"/>
        </w:rPr>
        <w:t>子问题/子答案序列 + 最终答案</w:t>
      </w:r>
      <w:r>
        <w:rPr>
          <w:rFonts w:hint="eastAsia"/>
          <w:color w:val="000000"/>
          <w:lang w:eastAsia="zh-CN"/>
        </w:rPr>
        <w:t>”</w:t>
      </w:r>
      <w:r>
        <w:rPr>
          <w:color w:val="000000"/>
        </w:rPr>
        <w:t>输出，奖励为二元形式：</w:t>
      </w:r>
    </w:p>
    <w:p w14:paraId="77D9D0CC">
      <w:pPr>
        <w:pStyle w:val="3"/>
        <w:spacing w:line="360" w:lineRule="auto"/>
        <w:jc w:val="both"/>
      </w:pPr>
      <m:oMathPara>
        <m:oMathParaPr>
          <m:jc m:val="center"/>
        </m:oMathParaPr>
        <m:oMath>
          <m:eqArr>
            <m:eqArrPr>
              <m:maxDist m:val="1"/>
              <m:ctrlPr>
                <w:rPr>
                  <w:rFonts w:ascii="Cambria Math" w:hAnsi="Cambria Math"/>
                  <w:i/>
                </w:rPr>
              </m:ctrlPr>
            </m:eqArrPr>
            <m:e>
              <m:r>
                <m:rPr/>
                <w:rPr>
                  <w:rFonts w:ascii="Cambria Math" w:hAnsi="Cambria Math"/>
                </w:rPr>
                <m:t>R</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ifFormat</m:t>
                        </m:r>
                        <m:r>
                          <m:rPr>
                            <m:sty m:val="p"/>
                          </m:rPr>
                          <w:rPr>
                            <w:rFonts w:ascii="Cambria Math" w:hAnsi="Cambria Math"/>
                          </w:rPr>
                          <m:t>(</m:t>
                        </m:r>
                        <m:r>
                          <m:rPr/>
                          <w:rPr>
                            <w:rFonts w:ascii="Cambria Math" w:hAnsi="Cambria Math"/>
                          </w:rPr>
                          <m:t>y</m:t>
                        </m:r>
                        <m:r>
                          <m:rPr>
                            <m:sty m:val="p"/>
                          </m:rPr>
                          <w:rPr>
                            <w:rFonts w:ascii="Cambria Math" w:hAnsi="Cambria Math"/>
                          </w:rPr>
                          <m:t>)∧</m:t>
                        </m:r>
                        <m:r>
                          <m:rPr>
                            <m:nor/>
                            <m:sty m:val="p"/>
                          </m:rPr>
                          <w:rPr>
                            <w:b w:val="0"/>
                            <w:i w:val="0"/>
                          </w:rPr>
                          <m:t>Correct</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ctrlPr>
                          <w:rPr>
                            <w:rFonts w:ascii="Cambria Math" w:hAnsi="Cambria Math"/>
                          </w:rPr>
                        </m:ctrlPr>
                      </m:e>
                    </m:m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otherwise</m:t>
                        </m:r>
                        <m:r>
                          <m:rPr>
                            <m:sty m:val="p"/>
                          </m:rPr>
                          <w:rPr>
                            <w:rFonts w:ascii="Cambria Math" w:hAnsi="Cambria Math"/>
                          </w:rPr>
                          <m:t>,</m:t>
                        </m:r>
                        <m:ctrlPr>
                          <w:rPr>
                            <w:rFonts w:ascii="Cambria Math" w:hAnsi="Cambria Math"/>
                          </w:rPr>
                        </m:ctrlPr>
                      </m:e>
                    </m:mr>
                  </m:m>
                  <m:ctrlPr>
                    <w:rPr>
                      <w:rFonts w:ascii="Cambria Math" w:hAnsi="Cambria Math"/>
                    </w:rPr>
                  </m:ctrlPr>
                </m:e>
              </m:d>
              <m:r>
                <m:rPr>
                  <m:sty m:val="p"/>
                </m:rPr>
                <w:rPr>
                  <w:rFonts w:ascii="Cambria Math" w:hAnsi="Cambria Math"/>
                </w:rPr>
                <m:t>#(7)</m:t>
              </m:r>
              <m:ctrlPr>
                <w:rPr>
                  <w:rFonts w:ascii="Cambria Math" w:hAnsi="Cambria Math"/>
                  <w:i/>
                </w:rPr>
              </m:ctrlPr>
            </m:e>
          </m:eqArr>
        </m:oMath>
      </m:oMathPara>
    </w:p>
    <w:p w14:paraId="7A2C1173">
      <w:pPr>
        <w:pStyle w:val="26"/>
        <w:spacing w:line="360" w:lineRule="auto"/>
        <w:ind w:firstLine="480" w:firstLineChars="200"/>
        <w:jc w:val="both"/>
      </w:pPr>
      <w:r>
        <w:rPr>
          <w:rFonts w:hint="eastAsia"/>
          <w:color w:val="000000"/>
        </w:rPr>
        <w:t>子问题质量故意不检查。正是这种“不检查”逼出了分解行为：模型必须自己探索该问什么，A-OKVQA 从 46.8% 提升至 52.2%，且与标准 RLVR 对照模型的唯一差别就是格式要求，直接证明“过程结构约束”而非“答案奖励”是提升来源。该"格式+答案"二元奖励与 3.1 节 CR³ 同源，仅将格式约束细化为显式子问题分解；其过程信号限于结构存在性，模型可能用无意义的问题应付格式。</w:t>
      </w:r>
    </w:p>
    <w:p w14:paraId="07A665FC">
      <w:pPr>
        <w:pStyle w:val="3"/>
        <w:spacing w:line="360" w:lineRule="auto"/>
        <w:ind w:firstLine="480" w:firstLineChars="200"/>
        <w:jc w:val="both"/>
      </w:pPr>
      <w:r>
        <w:rPr>
          <w:color w:val="000000"/>
        </w:rPr>
        <w:t>H-GRPO [20] 则将过程奖励细化到步骤质量，并显式耦合视觉证据：把推理结构化为</w:t>
      </w:r>
      <w:r>
        <w:rPr>
          <w:rFonts w:hint="eastAsia"/>
          <w:color w:val="000000"/>
          <w:lang w:eastAsia="zh-CN"/>
        </w:rPr>
        <w:t>“</w:t>
      </w:r>
      <w:r>
        <w:rPr>
          <w:color w:val="000000"/>
        </w:rPr>
        <w:t>（子问题，子答案，证据框）</w:t>
      </w:r>
      <w:r>
        <w:rPr>
          <w:rFonts w:hint="eastAsia"/>
          <w:color w:val="000000"/>
          <w:lang w:eastAsia="zh-CN"/>
        </w:rPr>
        <w:t>”</w:t>
      </w:r>
      <w:r>
        <w:rPr>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oMath>
      <w:r>
        <w:rPr>
          <w:color w:val="000000"/>
        </w:rPr>
        <w:t>，预测与参考三元组经匈牙利二分图匹配，相似度矩阵综合证据框兼容性、子问题/子答案语义相似度与框 IoU 四个分量：</w:t>
      </w:r>
    </w:p>
    <w:p w14:paraId="15A33C1B">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nor/>
                      <m:sty m:val="p"/>
                    </m:rPr>
                    <w:rPr>
                      <w:b w:val="0"/>
                      <w:i w:val="0"/>
                    </w:rPr>
                    <m:t>IoU</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ctrlPr>
                    <w:rPr>
                      <w:rFonts w:ascii="Cambria Math" w:hAnsi="Cambria Math"/>
                    </w:rPr>
                  </m:ctrlPr>
                </m:e>
              </m:d>
              <m:r>
                <m:rPr>
                  <m:sty m:val="p"/>
                </m:rPr>
                <w:rPr>
                  <w:rFonts w:ascii="Cambria Math" w:hAnsi="Cambria Math"/>
                </w:rPr>
                <m:t>,#(8)</m:t>
              </m:r>
              <m:ctrlPr>
                <w:rPr>
                  <w:rFonts w:ascii="Cambria Math" w:hAnsi="Cambria Math"/>
                  <w:i/>
                </w:rPr>
              </m:ctrlPr>
            </m:e>
          </m:eqArr>
        </m:oMath>
      </m:oMathPara>
    </w:p>
    <w:p w14:paraId="32459D31">
      <w:pPr>
        <w:pStyle w:val="26"/>
        <w:spacing w:line="360" w:lineRule="auto"/>
        <w:jc w:val="both"/>
      </w:pPr>
      <w:r>
        <w:rPr>
          <w:rFonts w:hint="eastAsia"/>
          <w:color w:val="000000"/>
        </w:rPr>
        <w:t xml:space="preserve">其中 </w:t>
      </w:r>
      <m:oMath>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oMath>
      <w:r>
        <w:rPr>
          <w:rFonts w:hint="eastAsia"/>
          <w:color w:val="000000"/>
        </w:rPr>
        <w:t xml:space="preserve">、</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oMath>
      <w:r>
        <w:t xml:space="preserve"/>
      </w:r>
      <w:r>
        <w:rPr>
          <w:rFonts w:hint="eastAsia"/>
          <w:lang w:val="en-US" w:eastAsia="zh-CN"/>
        </w:rPr>
        <w:t>、</w:t>
      </w:r>
      <w:r>
        <w:t xml:space="preserve"/>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33AC4249">
      <w:pPr>
        <w:pStyle w:val="3"/>
        <w:spacing w:line="360" w:lineRule="auto"/>
        <w:jc w:val="both"/>
      </w:pPr>
      <m:oMathPara>
        <m:oMathParaPr>
          <m:jc m:val="center"/>
        </m:oMathParaPr>
        <m:oMath>
          <m:eqArr>
            <m:eqArrPr>
              <m:maxDist m:val="1"/>
              <m:ctrlPr>
                <w:rPr>
                  <w:rFonts w:ascii="Cambria Math" w:hAnsi="Cambria Math"/>
                </w:rPr>
              </m:ctrlPr>
            </m:eqArrPr>
            <m:e>
              <m:r>
                <m:rPr>
                  <m:sty m:val="p"/>
                  <m:scr m:val="script"/>
                </m:rPr>
                <w:rPr>
                  <w:rFonts w:ascii="Cambria Math" w:hAnsi="Cambria Math"/>
                </w:rPr>
                <m:t>ℛ=</m:t>
              </m:r>
              <m:r>
                <m:rPr/>
                <w:rPr>
                  <w:rFonts w:ascii="Cambria Math" w:hAnsi="Cambria Math"/>
                </w:rPr>
                <m:t>α</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β</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ans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HS</m:t>
                  </m:r>
                  <m:ctrlPr>
                    <w:rPr>
                      <w:rFonts w:ascii="Cambria Math" w:hAnsi="Cambria Math"/>
                    </w:rPr>
                  </m:ctrlPr>
                </m:sub>
              </m:sSub>
              <m:r>
                <m:rPr>
                  <m:sty m:val="p"/>
                </m:rPr>
                <w:rPr>
                  <w:rFonts w:ascii="Cambria Math" w:hAnsi="Cambria Math"/>
                </w:rPr>
                <m:t>,#(9)</m:t>
              </m:r>
              <m:ctrlPr>
                <w:rPr>
                  <w:rFonts w:ascii="Cambria Math" w:hAnsi="Cambria Math"/>
                </w:rPr>
              </m:ctrlPr>
            </m:e>
          </m:eqArr>
        </m:oMath>
      </m:oMathPara>
    </w:p>
    <w:p w14:paraId="7277AA0E">
      <w:pPr>
        <w:pStyle w:val="26"/>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w:t>
      </w:r>
    </w:p>
    <w:p w14:paraId="73C3DC7C">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3BEE7590">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4620DA2C">
      <w:pPr>
        <w:pStyle w:val="26"/>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表 2 汇总类别层面的对比；表 3 与表 4 分别给出逐方法的奖励粒度刻度与实验设置。即便在方法层面，三个方向也存在互相借鉴：H-GRPO 的“答案奖励×匈牙利门控”融合了结果验证与过程匹配，POLIA 的物体级优势同样依赖答案级判据的引导，类别不是封闭的抽屉。</w:t>
      </w:r>
    </w:p>
    <w:p w14:paraId="755EA10C">
      <w:pPr>
        <w:pStyle w:val="3"/>
        <w:spacing w:line="360" w:lineRule="auto"/>
        <w:jc w:val="both"/>
      </w:pPr>
      <w:r>
        <w:rPr>
          <w:rFonts w:hint="eastAsia"/>
          <w:b/>
          <w:bCs/>
        </w:rPr>
        <w:t>表</w:t>
      </w:r>
      <w:r>
        <w:rPr>
          <w:b/>
          <w:bCs/>
        </w:rPr>
        <w:t xml:space="preserve"> </w:t>
      </w:r>
      <w:r>
        <w:rPr>
          <w:rFonts w:hint="eastAsia"/>
          <w:b/>
          <w:bCs/>
        </w:rPr>
        <w:t>2：方法分类对比表</w:t>
      </w:r>
    </w:p>
    <w:tbl>
      <w:tblPr>
        <w:tblStyle w:val="44"/>
        <w:tblW w:w="5000" w:type="pct"/>
        <w:tblInd w:w="0" w:type="dxa"/>
        <w:tblLayout w:type="fixed"/>
        <w:tblCellMar>
          <w:top w:w="0" w:type="dxa"/>
          <w:left w:w="108" w:type="dxa"/>
          <w:bottom w:w="0" w:type="dxa"/>
          <w:right w:w="108" w:type="dxa"/>
        </w:tblCellMar>
      </w:tblPr>
      <w:tblGrid>
        <w:gridCol w:w="946"/>
        <w:gridCol w:w="2356"/>
        <w:gridCol w:w="2669"/>
        <w:gridCol w:w="2669"/>
      </w:tblGrid>
      <w:tr w14:paraId="7F373802">
        <w:tblPrEx>
          <w:tblCellMar>
            <w:top w:w="0" w:type="dxa"/>
            <w:left w:w="108" w:type="dxa"/>
            <w:bottom w:w="0" w:type="dxa"/>
            <w:right w:w="108" w:type="dxa"/>
          </w:tblCellMar>
        </w:tblPrEx>
        <w:trPr>
          <w:tblHeader/>
        </w:trPr>
        <w:tc>
          <w:tcPr>
            <w:tcW w:w="966" w:type="dxa"/>
            <w:tcBorders>
              <w:bottom w:val="single" w:color="auto" w:sz="0" w:space="0"/>
              <w:insideH w:val="single" w:sz="0" w:space="0"/>
            </w:tcBorders>
            <w:vAlign w:val="bottom"/>
          </w:tcPr>
          <w:p w14:paraId="4A554C1C">
            <w:pPr>
              <w:pStyle w:val="27"/>
              <w:spacing w:line="360" w:lineRule="auto"/>
              <w:jc w:val="both"/>
            </w:pPr>
            <w:r>
              <w:rPr>
                <w:rFonts w:hint="eastAsia"/>
              </w:rPr>
              <w:t>维度</w:t>
            </w:r>
          </w:p>
        </w:tc>
        <w:tc>
          <w:tcPr>
            <w:tcW w:w="2415" w:type="dxa"/>
            <w:tcBorders>
              <w:bottom w:val="single" w:color="auto" w:sz="0" w:space="0"/>
              <w:insideH w:val="single" w:sz="0" w:space="0"/>
            </w:tcBorders>
            <w:vAlign w:val="bottom"/>
          </w:tcPr>
          <w:p w14:paraId="4555A6AA">
            <w:pPr>
              <w:pStyle w:val="27"/>
              <w:spacing w:line="360" w:lineRule="auto"/>
              <w:jc w:val="both"/>
            </w:pPr>
            <w:r>
              <w:t xml:space="preserve">3.1 </w:t>
            </w:r>
            <w:r>
              <w:rPr>
                <w:rFonts w:hint="eastAsia"/>
              </w:rPr>
              <w:t>验证器奖励</w:t>
            </w:r>
          </w:p>
        </w:tc>
        <w:tc>
          <w:tcPr>
            <w:tcW w:w="2737" w:type="dxa"/>
            <w:tcBorders>
              <w:bottom w:val="single" w:color="auto" w:sz="0" w:space="0"/>
              <w:insideH w:val="single" w:sz="0" w:space="0"/>
            </w:tcBorders>
            <w:vAlign w:val="bottom"/>
          </w:tcPr>
          <w:p w14:paraId="01E78F18">
            <w:pPr>
              <w:pStyle w:val="27"/>
              <w:spacing w:line="360" w:lineRule="auto"/>
              <w:jc w:val="both"/>
            </w:pPr>
            <w:r>
              <w:t xml:space="preserve">3.2 </w:t>
            </w:r>
            <w:r>
              <w:rPr>
                <w:rFonts w:hint="eastAsia"/>
              </w:rPr>
              <w:t>视觉对齐奖励</w:t>
            </w:r>
          </w:p>
        </w:tc>
        <w:tc>
          <w:tcPr>
            <w:tcW w:w="2737" w:type="dxa"/>
            <w:tcBorders>
              <w:bottom w:val="single" w:color="auto" w:sz="0" w:space="0"/>
              <w:insideH w:val="single" w:sz="0" w:space="0"/>
            </w:tcBorders>
            <w:vAlign w:val="bottom"/>
          </w:tcPr>
          <w:p w14:paraId="2B693C33">
            <w:pPr>
              <w:pStyle w:val="27"/>
              <w:spacing w:line="360" w:lineRule="auto"/>
              <w:jc w:val="both"/>
            </w:pPr>
            <w:r>
              <w:t xml:space="preserve">3.3 </w:t>
            </w:r>
            <w:r>
              <w:rPr>
                <w:rFonts w:hint="eastAsia"/>
              </w:rPr>
              <w:t>推理过程优化</w:t>
            </w:r>
          </w:p>
        </w:tc>
      </w:tr>
      <w:tr w14:paraId="5111143B">
        <w:tblPrEx>
          <w:tblCellMar>
            <w:top w:w="0" w:type="dxa"/>
            <w:left w:w="108" w:type="dxa"/>
            <w:bottom w:w="0" w:type="dxa"/>
            <w:right w:w="108" w:type="dxa"/>
          </w:tblCellMar>
        </w:tblPrEx>
        <w:tc>
          <w:tcPr>
            <w:tcW w:w="966" w:type="dxa"/>
          </w:tcPr>
          <w:p w14:paraId="046CA083">
            <w:pPr>
              <w:pStyle w:val="27"/>
              <w:spacing w:line="360" w:lineRule="auto"/>
              <w:jc w:val="both"/>
            </w:pPr>
            <w:r>
              <w:rPr>
                <w:rFonts w:hint="eastAsia"/>
              </w:rPr>
              <w:t>奖励信号来源</w:t>
            </w:r>
          </w:p>
        </w:tc>
        <w:tc>
          <w:tcPr>
            <w:tcW w:w="2415" w:type="dxa"/>
          </w:tcPr>
          <w:p w14:paraId="565677C3">
            <w:pPr>
              <w:pStyle w:val="27"/>
              <w:spacing w:line="360" w:lineRule="auto"/>
              <w:jc w:val="both"/>
            </w:pPr>
            <w:r>
              <w:rPr>
                <w:rFonts w:hint="eastAsia"/>
              </w:rPr>
              <w:t>结果验证（规则/图结构/视图一致性）</w:t>
            </w:r>
          </w:p>
        </w:tc>
        <w:tc>
          <w:tcPr>
            <w:tcW w:w="2737" w:type="dxa"/>
          </w:tcPr>
          <w:p w14:paraId="4E3D5A31">
            <w:pPr>
              <w:pStyle w:val="27"/>
              <w:spacing w:line="360" w:lineRule="auto"/>
              <w:jc w:val="both"/>
            </w:pPr>
            <w:r>
              <w:rPr>
                <w:rFonts w:hint="eastAsia"/>
              </w:rPr>
              <w:t>回答-视觉语义结构对齐度</w:t>
            </w:r>
          </w:p>
        </w:tc>
        <w:tc>
          <w:tcPr>
            <w:tcW w:w="2737" w:type="dxa"/>
          </w:tcPr>
          <w:p w14:paraId="22B9E84A">
            <w:pPr>
              <w:pStyle w:val="27"/>
              <w:spacing w:line="360" w:lineRule="auto"/>
              <w:jc w:val="both"/>
            </w:pPr>
            <w:r>
              <w:rPr>
                <w:rFonts w:hint="eastAsia"/>
              </w:rPr>
              <w:t>过程结构/步骤信用分配</w:t>
            </w:r>
          </w:p>
        </w:tc>
      </w:tr>
      <w:tr w14:paraId="5C2A0CD6">
        <w:tblPrEx>
          <w:tblCellMar>
            <w:top w:w="0" w:type="dxa"/>
            <w:left w:w="108" w:type="dxa"/>
            <w:bottom w:w="0" w:type="dxa"/>
            <w:right w:w="108" w:type="dxa"/>
          </w:tblCellMar>
        </w:tblPrEx>
        <w:tc>
          <w:tcPr>
            <w:tcW w:w="966" w:type="dxa"/>
          </w:tcPr>
          <w:p w14:paraId="174201DD">
            <w:pPr>
              <w:pStyle w:val="27"/>
              <w:spacing w:line="360" w:lineRule="auto"/>
              <w:jc w:val="both"/>
            </w:pPr>
            <w:r>
              <w:rPr>
                <w:rFonts w:hint="eastAsia"/>
              </w:rPr>
              <w:t>奖励粒度（典型刻度）</w:t>
            </w:r>
          </w:p>
        </w:tc>
        <w:tc>
          <w:tcPr>
            <w:tcW w:w="2415" w:type="dxa"/>
          </w:tcPr>
          <w:p w14:paraId="5A4E3A60">
            <w:pPr>
              <w:pStyle w:val="27"/>
              <w:spacing w:line="360" w:lineRule="auto"/>
              <w:jc w:val="both"/>
            </w:pPr>
            <w:r>
              <w:rPr>
                <w:rFonts w:hint="eastAsia"/>
              </w:rPr>
              <w:t>答案级</w:t>
            </w:r>
            <w:r>
              <w:t xml:space="preserve"> → </w:t>
            </w:r>
            <w:r>
              <w:rPr>
                <w:rFonts w:hint="eastAsia"/>
              </w:rPr>
              <w:t>结构/一致性级</w:t>
            </w:r>
          </w:p>
        </w:tc>
        <w:tc>
          <w:tcPr>
            <w:tcW w:w="2737" w:type="dxa"/>
          </w:tcPr>
          <w:p w14:paraId="06224C78">
            <w:pPr>
              <w:pStyle w:val="27"/>
              <w:spacing w:line="360" w:lineRule="auto"/>
              <w:jc w:val="both"/>
            </w:pPr>
            <w:r>
              <w:rPr>
                <w:rFonts w:hint="eastAsia"/>
              </w:rPr>
              <w:t>区域级</w:t>
            </w:r>
            <w:r>
              <w:t xml:space="preserve"> → </w:t>
            </w:r>
            <w:r>
              <w:rPr>
                <w:rFonts w:hint="eastAsia"/>
              </w:rPr>
              <w:t>物体级</w:t>
            </w:r>
            <w:r>
              <w:t xml:space="preserve"> → </w:t>
            </w:r>
            <w:r>
              <w:rPr>
                <w:rFonts w:hint="eastAsia"/>
              </w:rPr>
              <w:t>显著性级</w:t>
            </w:r>
          </w:p>
        </w:tc>
        <w:tc>
          <w:tcPr>
            <w:tcW w:w="2737" w:type="dxa"/>
          </w:tcPr>
          <w:p w14:paraId="6CDC5808">
            <w:pPr>
              <w:pStyle w:val="27"/>
              <w:spacing w:line="360" w:lineRule="auto"/>
              <w:jc w:val="both"/>
            </w:pPr>
            <w:r>
              <w:rPr>
                <w:rFonts w:hint="eastAsia"/>
              </w:rPr>
              <w:t>子问题级</w:t>
            </w:r>
            <w:r>
              <w:t xml:space="preserve"> → </w:t>
            </w:r>
            <w:r>
              <w:rPr>
                <w:rFonts w:hint="eastAsia"/>
              </w:rPr>
              <w:t>步骤+证据级</w:t>
            </w:r>
          </w:p>
        </w:tc>
      </w:tr>
      <w:tr w14:paraId="5655AF18">
        <w:tblPrEx>
          <w:tblCellMar>
            <w:top w:w="0" w:type="dxa"/>
            <w:left w:w="108" w:type="dxa"/>
            <w:bottom w:w="0" w:type="dxa"/>
            <w:right w:w="108" w:type="dxa"/>
          </w:tblCellMar>
        </w:tblPrEx>
        <w:tc>
          <w:tcPr>
            <w:tcW w:w="966" w:type="dxa"/>
          </w:tcPr>
          <w:p w14:paraId="543B572A">
            <w:pPr>
              <w:pStyle w:val="27"/>
              <w:spacing w:line="360" w:lineRule="auto"/>
              <w:jc w:val="both"/>
            </w:pPr>
            <w:r>
              <w:rPr>
                <w:rFonts w:hint="eastAsia"/>
              </w:rPr>
              <w:t>是否触及组合绑定</w:t>
            </w:r>
          </w:p>
        </w:tc>
        <w:tc>
          <w:tcPr>
            <w:tcW w:w="2415" w:type="dxa"/>
          </w:tcPr>
          <w:p w14:paraId="038BD5E8">
            <w:pPr>
              <w:pStyle w:val="27"/>
              <w:spacing w:line="360" w:lineRule="auto"/>
              <w:jc w:val="both"/>
            </w:pPr>
            <w:r>
              <w:rPr>
                <w:rFonts w:hint="eastAsia"/>
              </w:rPr>
              <w:t>间接（验证绑定结果）</w:t>
            </w:r>
          </w:p>
        </w:tc>
        <w:tc>
          <w:tcPr>
            <w:tcW w:w="2737" w:type="dxa"/>
          </w:tcPr>
          <w:p w14:paraId="2699CB1F">
            <w:pPr>
              <w:pStyle w:val="27"/>
              <w:spacing w:line="360" w:lineRule="auto"/>
              <w:jc w:val="both"/>
            </w:pPr>
            <w:r>
              <w:rPr>
                <w:rFonts w:hint="eastAsia"/>
              </w:rPr>
              <w:t>直接（绑定到视觉证据）</w:t>
            </w:r>
          </w:p>
        </w:tc>
        <w:tc>
          <w:tcPr>
            <w:tcW w:w="2737" w:type="dxa"/>
          </w:tcPr>
          <w:p w14:paraId="751233AF">
            <w:pPr>
              <w:pStyle w:val="27"/>
              <w:spacing w:line="360" w:lineRule="auto"/>
              <w:jc w:val="both"/>
            </w:pPr>
            <w:r>
              <w:rPr>
                <w:rFonts w:hint="eastAsia"/>
              </w:rPr>
              <w:t>间接（过程正确性）</w:t>
            </w:r>
          </w:p>
        </w:tc>
      </w:tr>
      <w:tr w14:paraId="1AF19A8F">
        <w:tblPrEx>
          <w:tblCellMar>
            <w:top w:w="0" w:type="dxa"/>
            <w:left w:w="108" w:type="dxa"/>
            <w:bottom w:w="0" w:type="dxa"/>
            <w:right w:w="108" w:type="dxa"/>
          </w:tblCellMar>
        </w:tblPrEx>
        <w:tc>
          <w:tcPr>
            <w:tcW w:w="966" w:type="dxa"/>
          </w:tcPr>
          <w:p w14:paraId="302B0290">
            <w:pPr>
              <w:pStyle w:val="27"/>
              <w:spacing w:line="360" w:lineRule="auto"/>
              <w:jc w:val="both"/>
            </w:pPr>
            <w:r>
              <w:rPr>
                <w:rFonts w:hint="eastAsia"/>
              </w:rPr>
              <w:t>代表工作</w:t>
            </w:r>
          </w:p>
        </w:tc>
        <w:tc>
          <w:tcPr>
            <w:tcW w:w="2415" w:type="dxa"/>
          </w:tcPr>
          <w:p w14:paraId="7D0E15CA">
            <w:pPr>
              <w:pStyle w:val="27"/>
              <w:spacing w:line="360" w:lineRule="auto"/>
              <w:jc w:val="both"/>
            </w:pPr>
            <w:r>
              <w:t>CR³ / SpatialThinker / SVQA-R1</w:t>
            </w:r>
          </w:p>
        </w:tc>
        <w:tc>
          <w:tcPr>
            <w:tcW w:w="2737" w:type="dxa"/>
          </w:tcPr>
          <w:p w14:paraId="2066F187">
            <w:pPr>
              <w:pStyle w:val="27"/>
              <w:spacing w:line="360" w:lineRule="auto"/>
              <w:jc w:val="both"/>
            </w:pPr>
            <w:r>
              <w:rPr>
                <w:rFonts w:ascii="Times New Roman" w:eastAsia="宋体"/>
              </w:rPr>
              <w:t>Ground-R1 / GRIT / POLIA / SAYO</w:t>
            </w:r>
          </w:p>
        </w:tc>
        <w:tc>
          <w:tcPr>
            <w:tcW w:w="2737" w:type="dxa"/>
          </w:tcPr>
          <w:p w14:paraId="284C875C">
            <w:pPr>
              <w:pStyle w:val="27"/>
              <w:spacing w:line="360" w:lineRule="auto"/>
              <w:jc w:val="both"/>
            </w:pPr>
            <w:r>
              <w:rPr>
                <w:rFonts w:ascii="Times New Roman" w:eastAsia="宋体"/>
              </w:rPr>
              <w:t>Self-Questioning / H-GRPO</w:t>
            </w:r>
          </w:p>
        </w:tc>
      </w:tr>
      <w:tr w14:paraId="5E91A082">
        <w:tblPrEx>
          <w:tblCellMar>
            <w:top w:w="0" w:type="dxa"/>
            <w:left w:w="108" w:type="dxa"/>
            <w:bottom w:w="0" w:type="dxa"/>
            <w:right w:w="108" w:type="dxa"/>
          </w:tblCellMar>
        </w:tblPrEx>
        <w:tc>
          <w:tcPr>
            <w:tcW w:w="966" w:type="dxa"/>
          </w:tcPr>
          <w:p w14:paraId="41C31406">
            <w:pPr>
              <w:pStyle w:val="27"/>
              <w:spacing w:line="360" w:lineRule="auto"/>
              <w:jc w:val="both"/>
            </w:pPr>
            <w:r>
              <w:rPr>
                <w:rFonts w:hint="eastAsia"/>
              </w:rPr>
              <w:t>主要短板</w:t>
            </w:r>
          </w:p>
        </w:tc>
        <w:tc>
          <w:tcPr>
            <w:tcW w:w="2415" w:type="dxa"/>
          </w:tcPr>
          <w:p w14:paraId="73E40D3B">
            <w:pPr>
              <w:pStyle w:val="27"/>
              <w:spacing w:line="360" w:lineRule="auto"/>
              <w:jc w:val="both"/>
            </w:pPr>
            <w:r>
              <w:rPr>
                <w:rFonts w:hint="eastAsia"/>
              </w:rPr>
              <w:t>正确性难定义</w:t>
            </w:r>
          </w:p>
        </w:tc>
        <w:tc>
          <w:tcPr>
            <w:tcW w:w="2737" w:type="dxa"/>
          </w:tcPr>
          <w:p w14:paraId="0EDC9596">
            <w:pPr>
              <w:pStyle w:val="27"/>
              <w:spacing w:line="360" w:lineRule="auto"/>
              <w:jc w:val="both"/>
            </w:pPr>
            <w:r>
              <w:rPr>
                <w:rFonts w:hint="eastAsia"/>
              </w:rPr>
              <w:t>评测未显式覆盖组合</w:t>
            </w:r>
          </w:p>
        </w:tc>
        <w:tc>
          <w:tcPr>
            <w:tcW w:w="2737" w:type="dxa"/>
          </w:tcPr>
          <w:p w14:paraId="3F63466D">
            <w:pPr>
              <w:pStyle w:val="27"/>
              <w:spacing w:line="360" w:lineRule="auto"/>
              <w:jc w:val="both"/>
            </w:pPr>
            <w:r>
              <w:rPr>
                <w:rFonts w:hint="eastAsia"/>
              </w:rPr>
              <w:t>过程信号多为纯文本</w:t>
            </w:r>
          </w:p>
        </w:tc>
      </w:tr>
    </w:tbl>
    <w:p w14:paraId="13C77E0F">
      <w:pPr>
        <w:pStyle w:val="3"/>
        <w:spacing w:line="360" w:lineRule="auto"/>
        <w:jc w:val="both"/>
      </w:pPr>
      <w:commentRangeStart w:id="17"/>
      <w:commentRangeStart w:id="18"/>
      <w:r>
        <w:rPr>
          <w:rFonts w:hint="eastAsia"/>
          <w:color w:val="000000"/>
        </w:rPr>
        <w:commentReference w:id="17"/>
      </w:r>
      <w:commentRangeEnd w:id="17"/>
      <w:commentRangeEnd w:id="18"/>
      <w:r>
        <w:rPr>
          <w:rFonts w:hint="eastAsia"/>
          <w:color w:val="000000"/>
        </w:rPr>
        <w:commentReference w:id="18"/>
      </w:r>
      <w:r>
        <w:rPr>
          <w:rFonts w:hint="eastAsia"/>
          <w:color w:val="000000"/>
        </w:rPr>
        <w:t>表 3：代表方法的设计对比（奖励粒度、信号机制与监督需求）</w:t>
      </w:r>
    </w:p>
    <w:tbl>
      <w:tblPr>
        <w:tblStyle w:val="44"/>
        <w:tblW w:w="5000" w:type="pct"/>
        <w:tblInd w:w="0" w:type="dxa"/>
        <w:tblLayout w:type="fixed"/>
        <w:tblCellMar>
          <w:top w:w="0" w:type="dxa"/>
          <w:left w:w="108" w:type="dxa"/>
          <w:bottom w:w="0" w:type="dxa"/>
          <w:right w:w="108" w:type="dxa"/>
        </w:tblCellMar>
      </w:tblPr>
      <w:tblGrid>
        <w:gridCol w:w="1572"/>
        <w:gridCol w:w="2356"/>
        <w:gridCol w:w="2356"/>
        <w:gridCol w:w="2356"/>
      </w:tblGrid>
      <w:tr w14:paraId="79792E83">
        <w:tblPrEx>
          <w:tblCellMar>
            <w:top w:w="0" w:type="dxa"/>
            <w:left w:w="108" w:type="dxa"/>
            <w:bottom w:w="0" w:type="dxa"/>
            <w:right w:w="108" w:type="dxa"/>
          </w:tblCellMar>
        </w:tblPrEx>
        <w:trPr>
          <w:tblHeader/>
        </w:trPr>
        <w:tc>
          <w:tcPr>
            <w:tcW w:w="1610" w:type="dxa"/>
            <w:tcBorders>
              <w:bottom w:val="single" w:color="auto" w:sz="0" w:space="0"/>
              <w:insideH w:val="single" w:sz="0" w:space="0"/>
            </w:tcBorders>
            <w:vAlign w:val="bottom"/>
          </w:tcPr>
          <w:p w14:paraId="673BCF54">
            <w:pPr>
              <w:pStyle w:val="27"/>
              <w:spacing w:line="360" w:lineRule="auto"/>
              <w:jc w:val="both"/>
            </w:pPr>
            <w:r>
              <w:rPr>
                <w:rFonts w:hint="eastAsia"/>
              </w:rPr>
              <w:t>方法</w:t>
            </w:r>
          </w:p>
        </w:tc>
        <w:tc>
          <w:tcPr>
            <w:tcW w:w="2415" w:type="dxa"/>
            <w:tcBorders>
              <w:bottom w:val="single" w:color="auto" w:sz="0" w:space="0"/>
              <w:insideH w:val="single" w:sz="0" w:space="0"/>
            </w:tcBorders>
            <w:vAlign w:val="bottom"/>
          </w:tcPr>
          <w:p w14:paraId="7C8DA719">
            <w:pPr>
              <w:pStyle w:val="27"/>
              <w:spacing w:line="360" w:lineRule="auto"/>
              <w:jc w:val="both"/>
            </w:pPr>
            <w:r>
              <w:rPr>
                <w:rFonts w:hint="eastAsia"/>
              </w:rPr>
              <w:t>奖励粒度</w:t>
            </w:r>
          </w:p>
        </w:tc>
        <w:tc>
          <w:tcPr>
            <w:tcW w:w="2415" w:type="dxa"/>
            <w:tcBorders>
              <w:bottom w:val="single" w:color="auto" w:sz="0" w:space="0"/>
              <w:insideH w:val="single" w:sz="0" w:space="0"/>
            </w:tcBorders>
            <w:vAlign w:val="bottom"/>
          </w:tcPr>
          <w:p w14:paraId="61506543">
            <w:pPr>
              <w:pStyle w:val="27"/>
              <w:spacing w:line="360" w:lineRule="auto"/>
              <w:jc w:val="both"/>
            </w:pPr>
            <w:r>
              <w:rPr>
                <w:rFonts w:hint="eastAsia"/>
              </w:rPr>
              <w:t>信号机制</w:t>
            </w:r>
          </w:p>
        </w:tc>
        <w:tc>
          <w:tcPr>
            <w:tcW w:w="2415" w:type="dxa"/>
            <w:tcBorders>
              <w:bottom w:val="single" w:color="auto" w:sz="0" w:space="0"/>
              <w:insideH w:val="single" w:sz="0" w:space="0"/>
            </w:tcBorders>
            <w:vAlign w:val="bottom"/>
          </w:tcPr>
          <w:p w14:paraId="6449ACDB">
            <w:pPr>
              <w:pStyle w:val="27"/>
              <w:spacing w:line="360" w:lineRule="auto"/>
              <w:jc w:val="both"/>
            </w:pPr>
            <w:r>
              <w:rPr>
                <w:rFonts w:hint="eastAsia"/>
              </w:rPr>
              <w:t>监督需求</w:t>
            </w:r>
          </w:p>
        </w:tc>
      </w:tr>
      <w:tr w14:paraId="5A077ABF">
        <w:tblPrEx>
          <w:tblCellMar>
            <w:top w:w="0" w:type="dxa"/>
            <w:left w:w="108" w:type="dxa"/>
            <w:bottom w:w="0" w:type="dxa"/>
            <w:right w:w="108" w:type="dxa"/>
          </w:tblCellMar>
        </w:tblPrEx>
        <w:tc>
          <w:tcPr>
            <w:tcW w:w="1610" w:type="dxa"/>
          </w:tcPr>
          <w:p w14:paraId="38FA5971">
            <w:pPr>
              <w:pStyle w:val="27"/>
              <w:spacing w:line="360" w:lineRule="auto"/>
              <w:jc w:val="both"/>
            </w:pPr>
            <w:r>
              <w:t>CR</w:t>
            </w:r>
            <w:commentRangeStart w:id="19"/>
            <w:commentRangeStart w:id="20"/>
            <w:r>
              <w:t>³</w:t>
            </w:r>
            <w:commentRangeEnd w:id="19"/>
            <w:r>
              <w:rPr>
                <w:rStyle w:val="24"/>
                <w:sz w:val="24"/>
                <w:szCs w:val="24"/>
              </w:rPr>
              <w:commentReference w:id="19"/>
            </w:r>
            <w:commentRangeEnd w:id="20"/>
            <w:r>
              <w:rPr>
                <w:rStyle w:val="24"/>
                <w:sz w:val="24"/>
                <w:szCs w:val="24"/>
              </w:rPr>
              <w:commentReference w:id="20"/>
            </w:r>
          </w:p>
        </w:tc>
        <w:tc>
          <w:tcPr>
            <w:tcW w:w="2415" w:type="dxa"/>
          </w:tcPr>
          <w:p w14:paraId="774615A5">
            <w:pPr>
              <w:pStyle w:val="27"/>
              <w:spacing w:line="360" w:lineRule="auto"/>
              <w:jc w:val="both"/>
            </w:pPr>
            <w:r>
              <w:rPr>
                <w:rFonts w:hint="eastAsia"/>
              </w:rPr>
              <w:t>答案级</w:t>
            </w:r>
          </w:p>
        </w:tc>
        <w:tc>
          <w:tcPr>
            <w:tcW w:w="2415" w:type="dxa"/>
          </w:tcPr>
          <w:p w14:paraId="56B953BA">
            <w:pPr>
              <w:pStyle w:val="27"/>
              <w:spacing w:line="360" w:lineRule="auto"/>
              <w:jc w:val="both"/>
            </w:pPr>
            <w:r>
              <w:rPr>
                <w:rFonts w:hint="eastAsia"/>
              </w:rPr>
              <w:t>二元规则验证器</w:t>
            </w:r>
          </w:p>
        </w:tc>
        <w:tc>
          <w:tcPr>
            <w:tcW w:w="2415" w:type="dxa"/>
          </w:tcPr>
          <w:p w14:paraId="1ECDD8EB">
            <w:pPr>
              <w:pStyle w:val="27"/>
              <w:spacing w:line="360" w:lineRule="auto"/>
              <w:jc w:val="both"/>
            </w:pPr>
            <w:r>
              <w:rPr>
                <w:rFonts w:hint="eastAsia"/>
              </w:rPr>
              <w:t>无</w:t>
            </w:r>
          </w:p>
        </w:tc>
      </w:tr>
      <w:tr w14:paraId="22B5330E">
        <w:tblPrEx>
          <w:tblCellMar>
            <w:top w:w="0" w:type="dxa"/>
            <w:left w:w="108" w:type="dxa"/>
            <w:bottom w:w="0" w:type="dxa"/>
            <w:right w:w="108" w:type="dxa"/>
          </w:tblCellMar>
        </w:tblPrEx>
        <w:tc>
          <w:tcPr>
            <w:tcW w:w="1610" w:type="dxa"/>
          </w:tcPr>
          <w:p w14:paraId="6BFCE73F">
            <w:pPr>
              <w:pStyle w:val="27"/>
              <w:spacing w:line="360" w:lineRule="auto"/>
              <w:jc w:val="both"/>
            </w:pPr>
            <w:r>
              <w:t>SpatialThinker</w:t>
            </w:r>
          </w:p>
        </w:tc>
        <w:tc>
          <w:tcPr>
            <w:tcW w:w="2415" w:type="dxa"/>
          </w:tcPr>
          <w:p w14:paraId="6040515F">
            <w:pPr>
              <w:pStyle w:val="27"/>
              <w:spacing w:line="360" w:lineRule="auto"/>
              <w:jc w:val="both"/>
            </w:pPr>
            <w:r>
              <w:rPr>
                <w:rFonts w:hint="eastAsia"/>
              </w:rPr>
              <w:t>场景图结构级</w:t>
            </w:r>
          </w:p>
        </w:tc>
        <w:tc>
          <w:tcPr>
            <w:tcW w:w="2415" w:type="dxa"/>
          </w:tcPr>
          <w:p w14:paraId="1E7EA286">
            <w:pPr>
              <w:pStyle w:val="27"/>
              <w:spacing w:line="360" w:lineRule="auto"/>
              <w:jc w:val="both"/>
            </w:pPr>
            <w:r>
              <w:rPr>
                <w:rFonts w:hint="eastAsia"/>
              </w:rPr>
              <w:t>字典序门控多分量奖励</w:t>
            </w:r>
          </w:p>
        </w:tc>
        <w:tc>
          <w:tcPr>
            <w:tcW w:w="2415" w:type="dxa"/>
          </w:tcPr>
          <w:p w14:paraId="7B2DAF90">
            <w:pPr>
              <w:pStyle w:val="27"/>
              <w:spacing w:line="360" w:lineRule="auto"/>
              <w:jc w:val="both"/>
            </w:pPr>
            <w:r>
              <w:rPr>
                <w:rFonts w:hint="eastAsia"/>
              </w:rPr>
              <w:t>高（STVQA-7K</w:t>
            </w:r>
            <w:r>
              <w:t xml:space="preserve"> </w:t>
            </w:r>
            <w:r>
              <w:rPr>
                <w:rFonts w:hint="eastAsia"/>
              </w:rPr>
              <w:t>人工标注）</w:t>
            </w:r>
          </w:p>
        </w:tc>
      </w:tr>
      <w:tr w14:paraId="7BF3912A">
        <w:tblPrEx>
          <w:tblCellMar>
            <w:top w:w="0" w:type="dxa"/>
            <w:left w:w="108" w:type="dxa"/>
            <w:bottom w:w="0" w:type="dxa"/>
            <w:right w:w="108" w:type="dxa"/>
          </w:tblCellMar>
        </w:tblPrEx>
        <w:tc>
          <w:tcPr>
            <w:tcW w:w="1610" w:type="dxa"/>
          </w:tcPr>
          <w:p w14:paraId="1C7470C9">
            <w:pPr>
              <w:pStyle w:val="27"/>
              <w:spacing w:line="360" w:lineRule="auto"/>
              <w:jc w:val="both"/>
            </w:pPr>
            <w:r>
              <w:t>SVQA-R1</w:t>
            </w:r>
          </w:p>
        </w:tc>
        <w:tc>
          <w:tcPr>
            <w:tcW w:w="2415" w:type="dxa"/>
          </w:tcPr>
          <w:p w14:paraId="3A179A8C">
            <w:pPr>
              <w:pStyle w:val="27"/>
              <w:spacing w:line="360" w:lineRule="auto"/>
              <w:jc w:val="both"/>
            </w:pPr>
            <w:r>
              <w:rPr>
                <w:rFonts w:hint="eastAsia"/>
              </w:rPr>
              <w:t>答案一致性级</w:t>
            </w:r>
          </w:p>
        </w:tc>
        <w:tc>
          <w:tcPr>
            <w:tcW w:w="2415" w:type="dxa"/>
          </w:tcPr>
          <w:p w14:paraId="3690CA4C">
            <w:pPr>
              <w:pStyle w:val="27"/>
              <w:spacing w:line="360" w:lineRule="auto"/>
              <w:jc w:val="both"/>
            </w:pPr>
            <w:r>
              <w:rPr>
                <w:rFonts w:hint="eastAsia"/>
              </w:rPr>
              <w:t>跨视角一致性惩罚</w:t>
            </w:r>
          </w:p>
        </w:tc>
        <w:tc>
          <w:tcPr>
            <w:tcW w:w="2415" w:type="dxa"/>
          </w:tcPr>
          <w:p w14:paraId="6BAD8C7D">
            <w:pPr>
              <w:pStyle w:val="27"/>
              <w:spacing w:line="360" w:lineRule="auto"/>
              <w:jc w:val="both"/>
            </w:pPr>
            <w:r>
              <w:rPr>
                <w:rFonts w:hint="eastAsia"/>
              </w:rPr>
              <w:t>无（自监督）</w:t>
            </w:r>
          </w:p>
        </w:tc>
      </w:tr>
      <w:tr w14:paraId="227F4AF9">
        <w:tblPrEx>
          <w:tblCellMar>
            <w:top w:w="0" w:type="dxa"/>
            <w:left w:w="108" w:type="dxa"/>
            <w:bottom w:w="0" w:type="dxa"/>
            <w:right w:w="108" w:type="dxa"/>
          </w:tblCellMar>
        </w:tblPrEx>
        <w:tc>
          <w:tcPr>
            <w:tcW w:w="1610" w:type="dxa"/>
          </w:tcPr>
          <w:p w14:paraId="4A14FEE7">
            <w:pPr>
              <w:pStyle w:val="27"/>
              <w:spacing w:line="360" w:lineRule="auto"/>
              <w:jc w:val="both"/>
            </w:pPr>
            <w:r>
              <w:t>Ground-R1</w:t>
            </w:r>
          </w:p>
        </w:tc>
        <w:tc>
          <w:tcPr>
            <w:tcW w:w="2415" w:type="dxa"/>
          </w:tcPr>
          <w:p w14:paraId="2283CD7E">
            <w:pPr>
              <w:pStyle w:val="27"/>
              <w:spacing w:line="360" w:lineRule="auto"/>
              <w:jc w:val="both"/>
            </w:pPr>
            <w:r>
              <w:rPr>
                <w:rFonts w:hint="eastAsia"/>
              </w:rPr>
              <w:t>证据区域级</w:t>
            </w:r>
          </w:p>
        </w:tc>
        <w:tc>
          <w:tcPr>
            <w:tcW w:w="2415" w:type="dxa"/>
          </w:tcPr>
          <w:p w14:paraId="356F31FE">
            <w:pPr>
              <w:pStyle w:val="27"/>
              <w:spacing w:line="360" w:lineRule="auto"/>
              <w:jc w:val="both"/>
            </w:pPr>
            <w:r>
              <w:rPr>
                <w:rFonts w:hint="eastAsia"/>
              </w:rPr>
              <w:t>两阶段格式+答案奖励</w:t>
            </w:r>
          </w:p>
        </w:tc>
        <w:tc>
          <w:tcPr>
            <w:tcW w:w="2415" w:type="dxa"/>
          </w:tcPr>
          <w:p w14:paraId="05DDA13D">
            <w:pPr>
              <w:pStyle w:val="27"/>
              <w:spacing w:line="360" w:lineRule="auto"/>
              <w:jc w:val="both"/>
            </w:pPr>
            <w:r>
              <w:rPr>
                <w:rFonts w:hint="eastAsia"/>
              </w:rPr>
              <w:t>低（仅格式，无框标注）</w:t>
            </w:r>
          </w:p>
        </w:tc>
      </w:tr>
      <w:tr w14:paraId="3DA74CFA">
        <w:tblPrEx>
          <w:tblCellMar>
            <w:top w:w="0" w:type="dxa"/>
            <w:left w:w="108" w:type="dxa"/>
            <w:bottom w:w="0" w:type="dxa"/>
            <w:right w:w="108" w:type="dxa"/>
          </w:tblCellMar>
        </w:tblPrEx>
        <w:tc>
          <w:tcPr>
            <w:tcW w:w="1610" w:type="dxa"/>
          </w:tcPr>
          <w:p w14:paraId="086BF393">
            <w:pPr>
              <w:pStyle w:val="27"/>
              <w:spacing w:line="360" w:lineRule="auto"/>
              <w:jc w:val="both"/>
            </w:pPr>
            <w:r>
              <w:t>GRIT</w:t>
            </w:r>
          </w:p>
        </w:tc>
        <w:tc>
          <w:tcPr>
            <w:tcW w:w="2415" w:type="dxa"/>
          </w:tcPr>
          <w:p w14:paraId="306BFBF6">
            <w:pPr>
              <w:pStyle w:val="27"/>
              <w:spacing w:line="360" w:lineRule="auto"/>
              <w:jc w:val="both"/>
            </w:pPr>
            <w:r>
              <w:rPr>
                <w:rFonts w:hint="eastAsia"/>
              </w:rPr>
              <w:t>区域级（思维链内嵌）</w:t>
            </w:r>
          </w:p>
        </w:tc>
        <w:tc>
          <w:tcPr>
            <w:tcW w:w="2415" w:type="dxa"/>
          </w:tcPr>
          <w:p w14:paraId="39ADD0A1">
            <w:pPr>
              <w:pStyle w:val="27"/>
              <w:spacing w:line="360" w:lineRule="auto"/>
              <w:jc w:val="both"/>
            </w:pPr>
            <w:r>
              <w:rPr>
                <w:rFonts w:hint="eastAsia"/>
              </w:rPr>
              <w:t>格式+计数奖励</w:t>
            </w:r>
          </w:p>
        </w:tc>
        <w:tc>
          <w:tcPr>
            <w:tcW w:w="2415" w:type="dxa"/>
          </w:tcPr>
          <w:p w14:paraId="5C29762C">
            <w:pPr>
              <w:pStyle w:val="27"/>
              <w:spacing w:line="360" w:lineRule="auto"/>
              <w:jc w:val="both"/>
            </w:pPr>
            <w:r>
              <w:rPr>
                <w:rFonts w:hint="eastAsia"/>
              </w:rPr>
              <w:t>极低（20</w:t>
            </w:r>
            <w:r>
              <w:t xml:space="preserve"> </w:t>
            </w:r>
            <w:r>
              <w:rPr>
                <w:rFonts w:hint="eastAsia"/>
              </w:rPr>
              <w:t>个问答三元组）</w:t>
            </w:r>
          </w:p>
        </w:tc>
      </w:tr>
      <w:tr w14:paraId="651BE0F9">
        <w:tblPrEx>
          <w:tblCellMar>
            <w:top w:w="0" w:type="dxa"/>
            <w:left w:w="108" w:type="dxa"/>
            <w:bottom w:w="0" w:type="dxa"/>
            <w:right w:w="108" w:type="dxa"/>
          </w:tblCellMar>
        </w:tblPrEx>
        <w:tc>
          <w:tcPr>
            <w:tcW w:w="1610" w:type="dxa"/>
          </w:tcPr>
          <w:p w14:paraId="5640E83D">
            <w:pPr>
              <w:pStyle w:val="27"/>
              <w:spacing w:line="360" w:lineRule="auto"/>
              <w:jc w:val="both"/>
            </w:pPr>
            <w:r>
              <w:t>POLIA</w:t>
            </w:r>
          </w:p>
        </w:tc>
        <w:tc>
          <w:tcPr>
            <w:tcW w:w="2415" w:type="dxa"/>
          </w:tcPr>
          <w:p w14:paraId="131A48B3">
            <w:pPr>
              <w:pStyle w:val="27"/>
              <w:spacing w:line="360" w:lineRule="auto"/>
              <w:jc w:val="both"/>
            </w:pPr>
            <w:r>
              <w:rPr>
                <w:rFonts w:hint="eastAsia"/>
              </w:rPr>
              <w:t>物体级</w:t>
            </w:r>
          </w:p>
        </w:tc>
        <w:tc>
          <w:tcPr>
            <w:tcW w:w="2415" w:type="dxa"/>
          </w:tcPr>
          <w:p w14:paraId="7263BB03">
            <w:pPr>
              <w:pStyle w:val="27"/>
              <w:spacing w:line="360" w:lineRule="auto"/>
              <w:jc w:val="both"/>
            </w:pPr>
            <w:r>
              <w:rPr>
                <w:rFonts w:hint="eastAsia"/>
              </w:rPr>
              <w:t>置信度修正的物体级内在优势</w:t>
            </w:r>
          </w:p>
        </w:tc>
        <w:tc>
          <w:tcPr>
            <w:tcW w:w="2415" w:type="dxa"/>
          </w:tcPr>
          <w:p w14:paraId="770A66EF">
            <w:pPr>
              <w:pStyle w:val="27"/>
              <w:spacing w:line="360" w:lineRule="auto"/>
              <w:jc w:val="both"/>
            </w:pPr>
            <w:r>
              <w:rPr>
                <w:rFonts w:hint="eastAsia"/>
              </w:rPr>
              <w:t>低（利用数据集物体标注）</w:t>
            </w:r>
          </w:p>
        </w:tc>
      </w:tr>
      <w:tr w14:paraId="2EB8356D">
        <w:tblPrEx>
          <w:tblCellMar>
            <w:top w:w="0" w:type="dxa"/>
            <w:left w:w="108" w:type="dxa"/>
            <w:bottom w:w="0" w:type="dxa"/>
            <w:right w:w="108" w:type="dxa"/>
          </w:tblCellMar>
        </w:tblPrEx>
        <w:tc>
          <w:tcPr>
            <w:tcW w:w="1610" w:type="dxa"/>
          </w:tcPr>
          <w:p w14:paraId="79929DED">
            <w:pPr>
              <w:pStyle w:val="27"/>
              <w:spacing w:line="360" w:lineRule="auto"/>
              <w:jc w:val="both"/>
            </w:pPr>
            <w:r>
              <w:t>Self-Questioning</w:t>
            </w:r>
          </w:p>
        </w:tc>
        <w:tc>
          <w:tcPr>
            <w:tcW w:w="2415" w:type="dxa"/>
          </w:tcPr>
          <w:p w14:paraId="08C17567">
            <w:pPr>
              <w:pStyle w:val="27"/>
              <w:spacing w:line="360" w:lineRule="auto"/>
              <w:jc w:val="both"/>
            </w:pPr>
            <w:r>
              <w:rPr>
                <w:rFonts w:hint="eastAsia"/>
              </w:rPr>
              <w:t>子问题结构级</w:t>
            </w:r>
          </w:p>
        </w:tc>
        <w:tc>
          <w:tcPr>
            <w:tcW w:w="2415" w:type="dxa"/>
          </w:tcPr>
          <w:p w14:paraId="00C19DE7">
            <w:pPr>
              <w:pStyle w:val="27"/>
              <w:spacing w:line="360" w:lineRule="auto"/>
              <w:jc w:val="both"/>
            </w:pPr>
            <w:r>
              <w:rPr>
                <w:rFonts w:hint="eastAsia"/>
              </w:rPr>
              <w:t>二元格式+正确性奖励</w:t>
            </w:r>
          </w:p>
        </w:tc>
        <w:tc>
          <w:tcPr>
            <w:tcW w:w="2415" w:type="dxa"/>
          </w:tcPr>
          <w:p w14:paraId="1ED36436">
            <w:pPr>
              <w:pStyle w:val="27"/>
              <w:spacing w:line="360" w:lineRule="auto"/>
              <w:jc w:val="both"/>
            </w:pPr>
            <w:r>
              <w:rPr>
                <w:rFonts w:hint="eastAsia"/>
              </w:rPr>
              <w:t>无</w:t>
            </w:r>
          </w:p>
        </w:tc>
      </w:tr>
      <w:tr w14:paraId="74DDE230">
        <w:tblPrEx>
          <w:tblCellMar>
            <w:top w:w="0" w:type="dxa"/>
            <w:left w:w="108" w:type="dxa"/>
            <w:bottom w:w="0" w:type="dxa"/>
            <w:right w:w="108" w:type="dxa"/>
          </w:tblCellMar>
        </w:tblPrEx>
        <w:tc>
          <w:tcPr>
            <w:tcW w:w="1610" w:type="dxa"/>
          </w:tcPr>
          <w:p w14:paraId="6BE6525A">
            <w:pPr>
              <w:pStyle w:val="27"/>
              <w:spacing w:line="360" w:lineRule="auto"/>
              <w:jc w:val="both"/>
            </w:pPr>
            <w:r>
              <w:t>H-GRPO</w:t>
            </w:r>
          </w:p>
        </w:tc>
        <w:tc>
          <w:tcPr>
            <w:tcW w:w="2415" w:type="dxa"/>
          </w:tcPr>
          <w:p w14:paraId="7DF22E48">
            <w:pPr>
              <w:pStyle w:val="27"/>
              <w:spacing w:line="360" w:lineRule="auto"/>
              <w:jc w:val="both"/>
            </w:pPr>
            <w:r>
              <w:rPr>
                <w:rFonts w:hint="eastAsia"/>
              </w:rPr>
              <w:t>推理步骤+证据级</w:t>
            </w:r>
          </w:p>
        </w:tc>
        <w:tc>
          <w:tcPr>
            <w:tcW w:w="2415" w:type="dxa"/>
          </w:tcPr>
          <w:p w14:paraId="4EE671D2">
            <w:pPr>
              <w:pStyle w:val="27"/>
              <w:spacing w:line="360" w:lineRule="auto"/>
              <w:jc w:val="both"/>
            </w:pPr>
            <w:r>
              <w:rPr>
                <w:rFonts w:hint="eastAsia"/>
              </w:rPr>
              <w:t>匈牙利门控过程奖励</w:t>
            </w:r>
          </w:p>
        </w:tc>
        <w:tc>
          <w:tcPr>
            <w:tcW w:w="2415" w:type="dxa"/>
          </w:tcPr>
          <w:p w14:paraId="79A97441">
            <w:pPr>
              <w:pStyle w:val="27"/>
              <w:spacing w:line="360" w:lineRule="auto"/>
              <w:jc w:val="both"/>
            </w:pPr>
            <w:r>
              <w:rPr>
                <w:rFonts w:hint="eastAsia"/>
              </w:rPr>
              <w:t>无</w:t>
            </w:r>
          </w:p>
        </w:tc>
      </w:tr>
    </w:tbl>
    <w:p w14:paraId="7F3B3FF3">
      <w:pPr>
        <w:pStyle w:val="3"/>
        <w:spacing w:line="360" w:lineRule="auto"/>
        <w:jc w:val="both"/>
      </w:pPr>
      <w:r>
        <w:rPr>
          <w:rFonts w:hint="eastAsia"/>
          <w:color w:val="000000"/>
        </w:rPr>
        <w:t>表 4：代表方法的实验设置与结果对比（评测基准、关键数据/设计与代表性结果）</w:t>
      </w:r>
    </w:p>
    <w:tbl>
      <w:tblPr>
        <w:tblStyle w:val="44"/>
        <w:tblW w:w="5000" w:type="pct"/>
        <w:tblInd w:w="0" w:type="dxa"/>
        <w:tblLayout w:type="fixed"/>
        <w:tblCellMar>
          <w:top w:w="0" w:type="dxa"/>
          <w:left w:w="108" w:type="dxa"/>
          <w:bottom w:w="0" w:type="dxa"/>
          <w:right w:w="108" w:type="dxa"/>
        </w:tblCellMar>
      </w:tblPr>
      <w:tblGrid>
        <w:gridCol w:w="1526"/>
        <w:gridCol w:w="1712"/>
        <w:gridCol w:w="3025"/>
        <w:gridCol w:w="2377"/>
      </w:tblGrid>
      <w:tr w14:paraId="2BE78DBE">
        <w:tblPrEx>
          <w:tblCellMar>
            <w:top w:w="0" w:type="dxa"/>
            <w:left w:w="108" w:type="dxa"/>
            <w:bottom w:w="0" w:type="dxa"/>
            <w:right w:w="108" w:type="dxa"/>
          </w:tblCellMar>
        </w:tblPrEx>
        <w:trPr>
          <w:tblHeader/>
        </w:trPr>
        <w:tc>
          <w:tcPr>
            <w:tcW w:w="883" w:type="pct"/>
            <w:tcBorders>
              <w:bottom w:val="single" w:color="auto" w:sz="0" w:space="0"/>
              <w:insideH w:val="single" w:sz="0" w:space="0"/>
            </w:tcBorders>
            <w:vAlign w:val="bottom"/>
          </w:tcPr>
          <w:p w14:paraId="1F113881">
            <w:pPr>
              <w:pStyle w:val="27"/>
              <w:spacing w:line="360" w:lineRule="auto"/>
              <w:jc w:val="both"/>
            </w:pPr>
            <w:r>
              <w:rPr>
                <w:rFonts w:hint="eastAsia"/>
              </w:rPr>
              <w:t>方法</w:t>
            </w:r>
          </w:p>
        </w:tc>
        <w:tc>
          <w:tcPr>
            <w:tcW w:w="990" w:type="pct"/>
            <w:tcBorders>
              <w:bottom w:val="single" w:color="auto" w:sz="0" w:space="0"/>
              <w:insideH w:val="single" w:sz="0" w:space="0"/>
            </w:tcBorders>
            <w:vAlign w:val="bottom"/>
          </w:tcPr>
          <w:p w14:paraId="72B15DA4">
            <w:pPr>
              <w:pStyle w:val="27"/>
              <w:spacing w:line="360" w:lineRule="auto"/>
              <w:jc w:val="both"/>
            </w:pPr>
            <w:r>
              <w:rPr>
                <w:rFonts w:hint="eastAsia"/>
              </w:rPr>
              <w:t>评测基准</w:t>
            </w:r>
          </w:p>
        </w:tc>
        <w:tc>
          <w:tcPr>
            <w:tcW w:w="1750" w:type="pct"/>
            <w:tcBorders>
              <w:bottom w:val="single" w:color="auto" w:sz="0" w:space="0"/>
              <w:insideH w:val="single" w:sz="0" w:space="0"/>
            </w:tcBorders>
            <w:vAlign w:val="bottom"/>
          </w:tcPr>
          <w:p w14:paraId="19623FF0">
            <w:pPr>
              <w:pStyle w:val="27"/>
              <w:spacing w:line="360" w:lineRule="auto"/>
              <w:jc w:val="both"/>
            </w:pPr>
            <w:r>
              <w:rPr>
                <w:rFonts w:hint="eastAsia"/>
              </w:rPr>
              <w:t>关键数据/设计</w:t>
            </w:r>
          </w:p>
        </w:tc>
        <w:tc>
          <w:tcPr>
            <w:tcW w:w="1375" w:type="pct"/>
            <w:tcBorders>
              <w:bottom w:val="single" w:color="auto" w:sz="0" w:space="0"/>
              <w:insideH w:val="single" w:sz="0" w:space="0"/>
            </w:tcBorders>
            <w:vAlign w:val="bottom"/>
          </w:tcPr>
          <w:p w14:paraId="693B8844">
            <w:pPr>
              <w:pStyle w:val="27"/>
              <w:spacing w:line="360" w:lineRule="auto"/>
              <w:jc w:val="both"/>
            </w:pPr>
            <w:r>
              <w:rPr>
                <w:rFonts w:hint="eastAsia"/>
              </w:rPr>
              <w:t>代表性结果</w:t>
            </w:r>
          </w:p>
        </w:tc>
      </w:tr>
      <w:tr w14:paraId="4939F2BA">
        <w:tblPrEx>
          <w:tblCellMar>
            <w:top w:w="0" w:type="dxa"/>
            <w:left w:w="108" w:type="dxa"/>
            <w:bottom w:w="0" w:type="dxa"/>
            <w:right w:w="108" w:type="dxa"/>
          </w:tblCellMar>
        </w:tblPrEx>
        <w:tc>
          <w:tcPr>
            <w:tcW w:w="883" w:type="pct"/>
          </w:tcPr>
          <w:p w14:paraId="6D358138">
            <w:pPr>
              <w:pStyle w:val="27"/>
              <w:spacing w:line="360" w:lineRule="auto"/>
              <w:jc w:val="both"/>
            </w:pPr>
            <w:r>
              <w:t>CR³</w:t>
            </w:r>
          </w:p>
        </w:tc>
        <w:tc>
          <w:tcPr>
            <w:tcW w:w="990" w:type="pct"/>
          </w:tcPr>
          <w:p w14:paraId="38AB4152">
            <w:pPr>
              <w:pStyle w:val="27"/>
              <w:spacing w:line="360" w:lineRule="auto"/>
              <w:jc w:val="both"/>
            </w:pPr>
            <w:r>
              <w:t>MMVP/Winoground/Cola</w:t>
            </w:r>
          </w:p>
        </w:tc>
        <w:tc>
          <w:tcPr>
            <w:tcW w:w="1750" w:type="pct"/>
          </w:tcPr>
          <w:p w14:paraId="1CF5C9EC">
            <w:pPr>
              <w:pStyle w:val="27"/>
              <w:spacing w:line="360" w:lineRule="auto"/>
              <w:jc w:val="both"/>
            </w:pPr>
            <w:r>
              <w:rPr>
                <w:rFonts w:hint="eastAsia"/>
              </w:rPr>
              <w:t>语义+视觉双重筛选：18.5</w:t>
            </w:r>
            <w:r>
              <w:t xml:space="preserve"> </w:t>
            </w:r>
            <w:r>
              <w:rPr>
                <w:rFonts w:hint="eastAsia"/>
              </w:rPr>
              <w:t>万→1.89</w:t>
            </w:r>
            <w:r>
              <w:t xml:space="preserve"> </w:t>
            </w:r>
            <w:r>
              <w:rPr>
                <w:rFonts w:hint="eastAsia"/>
              </w:rPr>
              <w:t>万难负样本</w:t>
            </w:r>
          </w:p>
        </w:tc>
        <w:tc>
          <w:tcPr>
            <w:tcW w:w="1375" w:type="pct"/>
          </w:tcPr>
          <w:p w14:paraId="1C502220">
            <w:pPr>
              <w:pStyle w:val="27"/>
              <w:spacing w:line="360" w:lineRule="auto"/>
              <w:jc w:val="both"/>
            </w:pPr>
            <w:r>
              <w:rPr>
                <w:rFonts w:hint="eastAsia"/>
                <w:lang w:val="en-US" w:eastAsia="zh-CN"/>
              </w:rPr>
              <w:t>较SFT</w:t>
            </w:r>
            <w:r>
              <w:rPr>
                <w:rFonts w:hint="eastAsia"/>
              </w:rPr>
              <w:t>平均</w:t>
            </w:r>
            <w:r>
              <w:t xml:space="preserve"> +9 </w:t>
            </w:r>
            <w:r>
              <w:rPr>
                <w:rFonts w:hint="eastAsia"/>
              </w:rPr>
              <w:t>点</w:t>
            </w:r>
          </w:p>
        </w:tc>
      </w:tr>
      <w:tr w14:paraId="05A26C15">
        <w:tblPrEx>
          <w:tblCellMar>
            <w:top w:w="0" w:type="dxa"/>
            <w:left w:w="108" w:type="dxa"/>
            <w:bottom w:w="0" w:type="dxa"/>
            <w:right w:w="108" w:type="dxa"/>
          </w:tblCellMar>
        </w:tblPrEx>
        <w:tc>
          <w:tcPr>
            <w:tcW w:w="883" w:type="pct"/>
          </w:tcPr>
          <w:p w14:paraId="4F219FE3">
            <w:pPr>
              <w:pStyle w:val="27"/>
              <w:spacing w:line="360" w:lineRule="auto"/>
              <w:jc w:val="both"/>
            </w:pPr>
            <w:r>
              <w:t>SpatialThinker</w:t>
            </w:r>
          </w:p>
        </w:tc>
        <w:tc>
          <w:tcPr>
            <w:tcW w:w="990" w:type="pct"/>
          </w:tcPr>
          <w:p w14:paraId="57FFAAE5">
            <w:pPr>
              <w:pStyle w:val="27"/>
              <w:spacing w:line="360" w:lineRule="auto"/>
              <w:jc w:val="both"/>
            </w:pPr>
            <w:r>
              <w:t xml:space="preserve">14 </w:t>
            </w:r>
            <w:r>
              <w:rPr>
                <w:rFonts w:hint="eastAsia"/>
              </w:rPr>
              <w:t>基准</w:t>
            </w:r>
          </w:p>
        </w:tc>
        <w:tc>
          <w:tcPr>
            <w:tcW w:w="1750" w:type="pct"/>
          </w:tcPr>
          <w:p w14:paraId="064BEE75">
            <w:pPr>
              <w:pStyle w:val="27"/>
              <w:spacing w:line="360" w:lineRule="auto"/>
              <w:jc w:val="both"/>
            </w:pPr>
            <w:r>
              <w:rPr>
                <w:rFonts w:hint="eastAsia"/>
              </w:rPr>
              <w:t>匈牙利匹配</w:t>
            </w:r>
            <w:r>
              <w:t xml:space="preserve"> + CIoU </w:t>
            </w:r>
            <w:r>
              <w:rPr>
                <w:rFonts w:hint="eastAsia"/>
              </w:rPr>
              <w:t>稠密梯度</w:t>
            </w:r>
          </w:p>
        </w:tc>
        <w:tc>
          <w:tcPr>
            <w:tcW w:w="1375" w:type="pct"/>
          </w:tcPr>
          <w:p w14:paraId="2A07BB1F">
            <w:pPr>
              <w:pStyle w:val="27"/>
              <w:spacing w:line="360" w:lineRule="auto"/>
              <w:jc w:val="both"/>
            </w:pPr>
            <w:r>
              <w:rPr>
                <w:rFonts w:hint="eastAsia"/>
              </w:rPr>
              <w:t>平均</w:t>
            </w:r>
            <w:r>
              <w:t xml:space="preserve"> </w:t>
            </w:r>
            <w:r>
              <w:rPr>
                <w:rFonts w:hint="eastAsia"/>
              </w:rPr>
              <w:t>+4.7%（超</w:t>
            </w:r>
            <w:r>
              <w:t xml:space="preserve"> </w:t>
            </w:r>
            <w:r>
              <w:rPr>
                <w:rFonts w:hint="eastAsia"/>
              </w:rPr>
              <w:t>GPT-4o）</w:t>
            </w:r>
          </w:p>
        </w:tc>
      </w:tr>
      <w:tr w14:paraId="2A79EC9A">
        <w:tblPrEx>
          <w:tblCellMar>
            <w:top w:w="0" w:type="dxa"/>
            <w:left w:w="108" w:type="dxa"/>
            <w:bottom w:w="0" w:type="dxa"/>
            <w:right w:w="108" w:type="dxa"/>
          </w:tblCellMar>
        </w:tblPrEx>
        <w:tc>
          <w:tcPr>
            <w:tcW w:w="883" w:type="pct"/>
          </w:tcPr>
          <w:p w14:paraId="4319109C">
            <w:pPr>
              <w:pStyle w:val="27"/>
              <w:spacing w:line="360" w:lineRule="auto"/>
              <w:jc w:val="both"/>
            </w:pPr>
            <w:r>
              <w:t>SVQA-R1</w:t>
            </w:r>
          </w:p>
        </w:tc>
        <w:tc>
          <w:tcPr>
            <w:tcW w:w="990" w:type="pct"/>
          </w:tcPr>
          <w:p w14:paraId="339F063E">
            <w:pPr>
              <w:pStyle w:val="27"/>
              <w:spacing w:line="360" w:lineRule="auto"/>
              <w:jc w:val="both"/>
            </w:pPr>
            <w:r>
              <w:t>Q-Spatial++</w:t>
            </w:r>
          </w:p>
        </w:tc>
        <w:tc>
          <w:tcPr>
            <w:tcW w:w="1750" w:type="pct"/>
          </w:tcPr>
          <w:p w14:paraId="76BF3CA1">
            <w:pPr>
              <w:pStyle w:val="27"/>
              <w:spacing w:line="360" w:lineRule="auto"/>
              <w:jc w:val="both"/>
            </w:pPr>
            <w:r>
              <w:rPr>
                <w:rFonts w:hint="eastAsia"/>
              </w:rPr>
              <w:t>镜像翻转问答对</w:t>
            </w:r>
          </w:p>
        </w:tc>
        <w:tc>
          <w:tcPr>
            <w:tcW w:w="1375" w:type="pct"/>
          </w:tcPr>
          <w:p w14:paraId="2185F0F7">
            <w:pPr>
              <w:pStyle w:val="27"/>
              <w:spacing w:line="360" w:lineRule="auto"/>
              <w:jc w:val="both"/>
            </w:pPr>
            <w:r>
              <w:rPr>
                <w:rFonts w:hint="eastAsia"/>
              </w:rPr>
              <w:t>较</w:t>
            </w:r>
            <w:r>
              <w:t xml:space="preserve">SFT +30 </w:t>
            </w:r>
            <w:r>
              <w:rPr>
                <w:rFonts w:hint="eastAsia"/>
              </w:rPr>
              <w:t>点（3B）</w:t>
            </w:r>
          </w:p>
        </w:tc>
      </w:tr>
      <w:tr w14:paraId="2DCABE56">
        <w:tblPrEx>
          <w:tblCellMar>
            <w:top w:w="0" w:type="dxa"/>
            <w:left w:w="108" w:type="dxa"/>
            <w:bottom w:w="0" w:type="dxa"/>
            <w:right w:w="108" w:type="dxa"/>
          </w:tblCellMar>
        </w:tblPrEx>
        <w:tc>
          <w:tcPr>
            <w:tcW w:w="883" w:type="pct"/>
          </w:tcPr>
          <w:p w14:paraId="2276A49E">
            <w:pPr>
              <w:pStyle w:val="27"/>
              <w:spacing w:line="360" w:lineRule="auto"/>
              <w:jc w:val="both"/>
            </w:pPr>
            <w:r>
              <w:t>Ground-R1</w:t>
            </w:r>
          </w:p>
        </w:tc>
        <w:tc>
          <w:tcPr>
            <w:tcW w:w="990" w:type="pct"/>
          </w:tcPr>
          <w:p w14:paraId="3C95FE9E">
            <w:pPr>
              <w:pStyle w:val="27"/>
              <w:spacing w:line="360" w:lineRule="auto"/>
              <w:jc w:val="both"/>
            </w:pPr>
            <w:r>
              <w:rPr>
                <w:rFonts w:hint="eastAsia"/>
              </w:rPr>
              <w:t>通用</w:t>
            </w:r>
            <w:r>
              <w:t xml:space="preserve"> VQA </w:t>
            </w:r>
            <w:r>
              <w:rPr>
                <w:rFonts w:hint="eastAsia"/>
              </w:rPr>
              <w:t>与空间问答</w:t>
            </w:r>
          </w:p>
        </w:tc>
        <w:tc>
          <w:tcPr>
            <w:tcW w:w="1750" w:type="pct"/>
          </w:tcPr>
          <w:p w14:paraId="6155B63C">
            <w:pPr>
              <w:pStyle w:val="27"/>
              <w:spacing w:line="360" w:lineRule="auto"/>
              <w:jc w:val="both"/>
            </w:pPr>
            <w:r>
              <w:t xml:space="preserve">GT-IoU </w:t>
            </w:r>
            <w:r>
              <w:rPr>
                <w:rFonts w:hint="eastAsia"/>
              </w:rPr>
              <w:t>消融无增益（82.0</w:t>
            </w:r>
            <w:r>
              <w:t xml:space="preserve"> vs </w:t>
            </w:r>
            <w:r>
              <w:rPr>
                <w:rFonts w:hint="eastAsia"/>
              </w:rPr>
              <w:t>81.7）</w:t>
            </w:r>
          </w:p>
        </w:tc>
        <w:tc>
          <w:tcPr>
            <w:tcW w:w="1375" w:type="pct"/>
          </w:tcPr>
          <w:p w14:paraId="303CF689">
            <w:pPr>
              <w:pStyle w:val="27"/>
              <w:spacing w:line="360" w:lineRule="auto"/>
              <w:jc w:val="both"/>
            </w:pPr>
            <w:r>
              <w:rPr>
                <w:rFonts w:hint="eastAsia"/>
              </w:rPr>
              <w:t>定位行为自发涌现</w:t>
            </w:r>
          </w:p>
        </w:tc>
      </w:tr>
      <w:tr w14:paraId="30037705">
        <w:tblPrEx>
          <w:tblCellMar>
            <w:top w:w="0" w:type="dxa"/>
            <w:left w:w="108" w:type="dxa"/>
            <w:bottom w:w="0" w:type="dxa"/>
            <w:right w:w="108" w:type="dxa"/>
          </w:tblCellMar>
        </w:tblPrEx>
        <w:tc>
          <w:tcPr>
            <w:tcW w:w="883" w:type="pct"/>
          </w:tcPr>
          <w:p w14:paraId="55F4B78B">
            <w:pPr>
              <w:pStyle w:val="27"/>
              <w:spacing w:line="360" w:lineRule="auto"/>
              <w:jc w:val="both"/>
            </w:pPr>
            <w:r>
              <w:t>GRIT</w:t>
            </w:r>
          </w:p>
        </w:tc>
        <w:tc>
          <w:tcPr>
            <w:tcW w:w="990" w:type="pct"/>
          </w:tcPr>
          <w:p w14:paraId="28322238">
            <w:pPr>
              <w:pStyle w:val="27"/>
              <w:spacing w:line="360" w:lineRule="auto"/>
              <w:jc w:val="both"/>
            </w:pPr>
            <w:r>
              <w:rPr>
                <w:rFonts w:hint="eastAsia"/>
              </w:rPr>
              <w:t>通用</w:t>
            </w:r>
            <w:r>
              <w:t xml:space="preserve"> VQA </w:t>
            </w:r>
            <w:r>
              <w:rPr>
                <w:rFonts w:hint="eastAsia"/>
              </w:rPr>
              <w:t>与空间问答</w:t>
            </w:r>
          </w:p>
        </w:tc>
        <w:tc>
          <w:tcPr>
            <w:tcW w:w="1750" w:type="pct"/>
          </w:tcPr>
          <w:p w14:paraId="26578634">
            <w:pPr>
              <w:pStyle w:val="27"/>
              <w:spacing w:line="360" w:lineRule="auto"/>
              <w:jc w:val="both"/>
            </w:pPr>
            <w:r>
              <w:t xml:space="preserve">bbox </w:t>
            </w:r>
            <w:r>
              <w:rPr>
                <w:rFonts w:hint="eastAsia"/>
              </w:rPr>
              <w:t>坐标内嵌思维链</w:t>
            </w:r>
          </w:p>
        </w:tc>
        <w:tc>
          <w:tcPr>
            <w:tcW w:w="1375" w:type="pct"/>
          </w:tcPr>
          <w:p w14:paraId="06C433CA">
            <w:pPr>
              <w:pStyle w:val="27"/>
              <w:spacing w:line="360" w:lineRule="auto"/>
              <w:jc w:val="both"/>
            </w:pPr>
            <w:r>
              <w:rPr>
                <w:rFonts w:ascii="Times New Roman" w:eastAsia="宋体"/>
              </w:rPr>
              <w:t>GIoU 0.349→0.387</w:t>
            </w:r>
          </w:p>
        </w:tc>
      </w:tr>
      <w:tr w14:paraId="46E9CC75">
        <w:tblPrEx>
          <w:tblCellMar>
            <w:top w:w="0" w:type="dxa"/>
            <w:left w:w="108" w:type="dxa"/>
            <w:bottom w:w="0" w:type="dxa"/>
            <w:right w:w="108" w:type="dxa"/>
          </w:tblCellMar>
        </w:tblPrEx>
        <w:tc>
          <w:tcPr>
            <w:tcW w:w="883" w:type="pct"/>
          </w:tcPr>
          <w:p w14:paraId="0FF9BBDC">
            <w:pPr>
              <w:pStyle w:val="27"/>
              <w:spacing w:line="360" w:lineRule="auto"/>
              <w:jc w:val="both"/>
            </w:pPr>
            <w:r>
              <w:t>POLIA</w:t>
            </w:r>
          </w:p>
        </w:tc>
        <w:tc>
          <w:tcPr>
            <w:tcW w:w="990" w:type="pct"/>
          </w:tcPr>
          <w:p w14:paraId="7AA88D82">
            <w:pPr>
              <w:pStyle w:val="27"/>
              <w:spacing w:line="360" w:lineRule="auto"/>
              <w:jc w:val="both"/>
            </w:pPr>
            <w:r>
              <w:t>VSR</w:t>
            </w:r>
          </w:p>
        </w:tc>
        <w:tc>
          <w:tcPr>
            <w:tcW w:w="1750" w:type="pct"/>
          </w:tcPr>
          <w:p w14:paraId="2F49A2F9">
            <w:pPr>
              <w:pStyle w:val="27"/>
              <w:spacing w:line="360" w:lineRule="auto"/>
              <w:jc w:val="both"/>
            </w:pPr>
            <w:r>
              <w:rPr>
                <w:rFonts w:hint="eastAsia"/>
              </w:rPr>
              <w:t>双层优势</w:t>
            </w:r>
            <w:r>
              <w:t xml:space="preserve">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ext</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int</m:t>
                  </m:r>
                  <m:ctrlPr>
                    <w:rPr>
                      <w:rFonts w:ascii="Cambria Math" w:hAnsi="Cambria Math"/>
                      <w:sz w:val="24"/>
                    </w:rPr>
                  </m:ctrlPr>
                </m:sub>
              </m:sSub>
            </m:oMath>
          </w:p>
        </w:tc>
        <w:tc>
          <w:tcPr>
            <w:tcW w:w="1375" w:type="pct"/>
          </w:tcPr>
          <w:p w14:paraId="36FDEFEB">
            <w:pPr>
              <w:pStyle w:val="27"/>
              <w:spacing w:line="360" w:lineRule="auto"/>
              <w:jc w:val="both"/>
            </w:pPr>
            <w:r>
              <w:t>59.0→81.3</w:t>
            </w:r>
          </w:p>
        </w:tc>
      </w:tr>
      <w:tr w14:paraId="7391E999">
        <w:tblPrEx>
          <w:tblCellMar>
            <w:top w:w="0" w:type="dxa"/>
            <w:left w:w="108" w:type="dxa"/>
            <w:bottom w:w="0" w:type="dxa"/>
            <w:right w:w="108" w:type="dxa"/>
          </w:tblCellMar>
        </w:tblPrEx>
        <w:tc>
          <w:tcPr>
            <w:tcW w:w="883" w:type="pct"/>
          </w:tcPr>
          <w:p w14:paraId="1255864A">
            <w:pPr>
              <w:pStyle w:val="27"/>
              <w:spacing w:line="360" w:lineRule="auto"/>
              <w:jc w:val="both"/>
            </w:pPr>
            <w:r>
              <w:t>Self-Questioning</w:t>
            </w:r>
          </w:p>
        </w:tc>
        <w:tc>
          <w:tcPr>
            <w:tcW w:w="990" w:type="pct"/>
          </w:tcPr>
          <w:p w14:paraId="760D79EE">
            <w:pPr>
              <w:pStyle w:val="27"/>
              <w:spacing w:line="360" w:lineRule="auto"/>
              <w:jc w:val="both"/>
            </w:pPr>
            <w:r>
              <w:t>A-OKVQA</w:t>
            </w:r>
          </w:p>
        </w:tc>
        <w:tc>
          <w:tcPr>
            <w:tcW w:w="1750" w:type="pct"/>
          </w:tcPr>
          <w:p w14:paraId="7E0B9060">
            <w:pPr>
              <w:pStyle w:val="27"/>
              <w:spacing w:line="360" w:lineRule="auto"/>
              <w:jc w:val="both"/>
            </w:pPr>
            <w:r>
              <w:rPr>
                <w:rFonts w:hint="eastAsia"/>
              </w:rPr>
              <w:t>子问题质量刻意不检查</w:t>
            </w:r>
          </w:p>
        </w:tc>
        <w:tc>
          <w:tcPr>
            <w:tcW w:w="1375" w:type="pct"/>
          </w:tcPr>
          <w:p w14:paraId="1CAEA8E4">
            <w:pPr>
              <w:pStyle w:val="27"/>
              <w:spacing w:line="360" w:lineRule="auto"/>
              <w:jc w:val="both"/>
            </w:pPr>
            <w:r>
              <w:t>46.8→52.2</w:t>
            </w:r>
          </w:p>
        </w:tc>
      </w:tr>
      <w:tr w14:paraId="4FBF9381">
        <w:tblPrEx>
          <w:tblCellMar>
            <w:top w:w="0" w:type="dxa"/>
            <w:left w:w="108" w:type="dxa"/>
            <w:bottom w:w="0" w:type="dxa"/>
            <w:right w:w="108" w:type="dxa"/>
          </w:tblCellMar>
        </w:tblPrEx>
        <w:tc>
          <w:tcPr>
            <w:tcW w:w="883" w:type="pct"/>
          </w:tcPr>
          <w:p w14:paraId="3FBB8A51">
            <w:pPr>
              <w:pStyle w:val="27"/>
              <w:spacing w:line="360" w:lineRule="auto"/>
              <w:jc w:val="both"/>
            </w:pPr>
            <w:r>
              <w:t>H-GRPO</w:t>
            </w:r>
          </w:p>
        </w:tc>
        <w:tc>
          <w:tcPr>
            <w:tcW w:w="990" w:type="pct"/>
          </w:tcPr>
          <w:p w14:paraId="18B62975">
            <w:pPr>
              <w:pStyle w:val="27"/>
              <w:spacing w:line="360" w:lineRule="auto"/>
              <w:jc w:val="both"/>
            </w:pPr>
            <w:r>
              <w:t xml:space="preserve">A-OKVQA </w:t>
            </w:r>
            <w:r>
              <w:rPr>
                <w:rFonts w:hint="eastAsia"/>
              </w:rPr>
              <w:t>与自建</w:t>
            </w:r>
            <w:r>
              <w:t xml:space="preserve"> OOD </w:t>
            </w:r>
            <w:r>
              <w:rPr>
                <w:rFonts w:hint="eastAsia"/>
              </w:rPr>
              <w:t>基准</w:t>
            </w:r>
          </w:p>
        </w:tc>
        <w:tc>
          <w:tcPr>
            <w:tcW w:w="1750" w:type="pct"/>
          </w:tcPr>
          <w:p w14:paraId="1F6133CA">
            <w:pPr>
              <w:pStyle w:val="27"/>
              <w:spacing w:line="360" w:lineRule="auto"/>
              <w:jc w:val="both"/>
            </w:pPr>
            <w:r>
              <w:rPr>
                <w:rFonts w:hint="eastAsia"/>
              </w:rPr>
              <w:t>三元组序列（子问题/子答案/证据框）匹配</w:t>
            </w:r>
          </w:p>
        </w:tc>
        <w:tc>
          <w:tcPr>
            <w:tcW w:w="1375" w:type="pct"/>
          </w:tcPr>
          <w:p w14:paraId="6F0C8E64">
            <w:pPr>
              <w:pStyle w:val="27"/>
              <w:spacing w:line="360" w:lineRule="auto"/>
              <w:jc w:val="both"/>
            </w:pPr>
            <w:r>
              <w:t>SmolVLM-2.2B A-OKVQA 73.4%</w:t>
            </w:r>
          </w:p>
        </w:tc>
      </w:tr>
    </w:tbl>
    <w:p w14:paraId="038A9B67">
      <w:pPr>
        <w:pStyle w:val="3"/>
        <w:spacing w:line="360" w:lineRule="auto"/>
        <w:ind w:firstLine="480" w:firstLineChars="200"/>
        <w:jc w:val="both"/>
      </w:pPr>
      <w:r>
        <w:rPr>
          <w:rFonts w:hint="eastAsia"/>
          <w:color w:val="000000"/>
        </w:rPr>
        <w:t>图 1：奖励信号设计空间演化示意图。以时间为横轴、奖励粒度（答案级→结构级→区域级→物体级→步骤级）为纵轴，三类方法作为并行分支出现并持续细化，展示“结果验证→视觉对齐→过程优化”的关注点扩展而非线性继承；时间与粒度位置为示意，正式版将按各论文发表时间精修。</w:t>
      </w:r>
    </w:p>
    <w:p w14:paraId="7778623B">
      <w:pPr>
        <w:pStyle w:val="50"/>
        <w:spacing w:line="360" w:lineRule="auto"/>
        <w:jc w:val="both"/>
      </w:pPr>
      <w:r>
        <w:drawing>
          <wp:inline distT="0" distB="0" distL="114300" distR="114300">
            <wp:extent cx="5334000" cy="2858135"/>
            <wp:effectExtent l="0" t="0" r="0" b="0"/>
            <wp:docPr id="18"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图 1：奖励信号设计空间演化示意图（草稿）"/>
                    <pic:cNvPicPr>
                      <a:picLocks noChangeAspect="1" noChangeArrowheads="1"/>
                    </pic:cNvPicPr>
                  </pic:nvPicPr>
                  <pic:blipFill>
                    <a:blip r:embed="rId7"/>
                    <a:stretch>
                      <a:fillRect/>
                    </a:stretch>
                  </pic:blipFill>
                  <pic:spPr>
                    <a:xfrm>
                      <a:off x="0" y="0"/>
                      <a:ext cx="5334000" cy="2858476"/>
                    </a:xfrm>
                    <a:prstGeom prst="rect">
                      <a:avLst/>
                    </a:prstGeom>
                    <a:noFill/>
                    <a:ln w="9525">
                      <a:noFill/>
                    </a:ln>
                  </pic:spPr>
                </pic:pic>
              </a:graphicData>
            </a:graphic>
          </wp:inline>
        </w:drawing>
      </w:r>
    </w:p>
    <w:p w14:paraId="605D6AE4">
      <w:pPr>
        <w:pStyle w:val="48"/>
        <w:spacing w:line="360" w:lineRule="auto"/>
        <w:jc w:val="both"/>
      </w:pPr>
      <w:r>
        <w:rPr>
          <w:rFonts w:hint="eastAsia"/>
        </w:rPr>
        <w:t>图</w:t>
      </w:r>
      <w:r>
        <w:t xml:space="preserve"> </w:t>
      </w:r>
      <w:r>
        <w:rPr>
          <w:rFonts w:hint="eastAsia"/>
        </w:rPr>
        <w:t>1：奖励信号设计空间演化示意图</w:t>
      </w:r>
    </w:p>
    <w:bookmarkEnd w:id="5"/>
    <w:bookmarkEnd w:id="9"/>
    <w:p w14:paraId="7ADA9799">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r>
        <w:rPr>
          <w:rStyle w:val="24"/>
          <w:rFonts w:eastAsia="宋体"/>
          <w:sz w:val="32"/>
          <w:szCs w:val="32"/>
        </w:rPr>
        <w:commentReference w:id="21"/>
      </w:r>
    </w:p>
    <w:p w14:paraId="2EF6C291">
      <w:pPr>
        <w:pStyle w:val="5"/>
        <w:spacing w:line="360" w:lineRule="auto"/>
        <w:jc w:val="both"/>
      </w:pPr>
      <w:bookmarkStart w:id="11" w:name="奖励信号连续谱"/>
      <w:r>
        <w:rPr>
          <w:rFonts w:eastAsia="宋体"/>
        </w:rPr>
        <w:t xml:space="preserve">4.1 </w:t>
      </w:r>
      <w:r>
        <w:rPr>
          <w:rFonts w:hint="eastAsia" w:eastAsia="宋体"/>
        </w:rPr>
        <w:t>奖励信号连续谱</w:t>
      </w:r>
    </w:p>
    <w:p w14:paraId="4B93036D">
      <w:pPr>
        <w:pStyle w:val="26"/>
        <w:spacing w:line="360" w:lineRule="auto"/>
        <w:ind w:firstLine="480" w:firstLineChars="200"/>
        <w:jc w:val="both"/>
      </w:pPr>
      <w:r>
        <w:rPr>
          <w:rFonts w:hint="eastAsia"/>
          <w:color w:val="000000"/>
        </w:rPr>
        <w:t>3.4 节的三分法在描述上是方便的，但表 3 的粒度刻度揭示了一个更本质的事实：三类方法并非离散的类别，而是同一奖励设计空间中的连续谱。这一判断有数学层面的支撑：在 token 级策略梯度与单次更新的设定下，标准 GRPO 的目标与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粒度维度的刻度扩张：答案级（CR³）→结构级（SpatialThinker）→区域级（Ground-R1）→物体级（POLIA）→步骤级（H-GRPO），各刻度至今仍在并行发展。</w:t>
      </w:r>
    </w:p>
    <w:bookmarkEnd w:id="11"/>
    <w:p w14:paraId="61F742C3">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5C92EB2">
      <w:pPr>
        <w:pStyle w:val="26"/>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道题全部零人工标注、评分全可复现，最强模型也仅得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7211462B">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1BBDC1DB">
      <w:pPr>
        <w:pStyle w:val="26"/>
        <w:spacing w:line="360" w:lineRule="auto"/>
        <w:ind w:firstLine="480" w:firstLineChars="200"/>
        <w:jc w:val="both"/>
      </w:pPr>
      <w:r>
        <w:rPr>
          <w:rFonts w:hint="eastAsia"/>
          <w:color w:val="000000"/>
        </w:rPr>
        <w:t>三类方法在评测上各行其是：CR³ 报告 MMVP、Winoground、Cola，SpatialThinker 横跨 14 个基准，SVQA-R1 聚焦 Q-Spatial++，Ground-R1 在通用与高分辨率基准上验证，POLIA 主要在通用 VQA 与空间问答上验证，H-GRPO 则依赖 A-OKVQA 与自建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59C2A721">
      <w:pPr>
        <w:pStyle w:val="5"/>
        <w:spacing w:line="360" w:lineRule="auto"/>
        <w:jc w:val="both"/>
      </w:pPr>
      <w:bookmarkStart w:id="14" w:name="开放问题"/>
      <w:r>
        <w:rPr>
          <w:rFonts w:eastAsia="宋体"/>
        </w:rPr>
        <w:t xml:space="preserve">4.4 </w:t>
      </w:r>
      <w:r>
        <w:rPr>
          <w:rFonts w:hint="eastAsia" w:eastAsia="宋体"/>
        </w:rPr>
        <w:t>开放问题</w:t>
      </w:r>
    </w:p>
    <w:p w14:paraId="1B927C26">
      <w:pPr>
        <w:pStyle w:val="26"/>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 7K 人工场景图标注，POLIA 需要数据集物体标注，Ground-R1 证明了无框监督的可行性，但代价是“看对地方”无法被直接验证。</w:t>
      </w:r>
    </w:p>
    <w:bookmarkEnd w:id="10"/>
    <w:bookmarkEnd w:id="14"/>
    <w:p w14:paraId="5DB18B81">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F41BB8F">
      <w:pPr>
        <w:pStyle w:val="26"/>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0BD2590E">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主要面向数学推理，是否具备判断组合绑定正确性所需的感知与对齐能力尚待验证；因此“将组合绑定纳入多模态 PRM 的步骤定义”本身是一个尚待验证的前提，而非现成的解决方案。</w:t>
      </w:r>
    </w:p>
    <w:p w14:paraId="1FAF1580">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1AD897CF">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02449E8B">
      <w:pPr>
        <w:pStyle w:val="26"/>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答案级→结构级→区域级→物体级→步骤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1D82F2C5">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43A832DB">
      <w:pPr>
        <w:pStyle w:val="4"/>
        <w:spacing w:line="360" w:lineRule="auto"/>
        <w:jc w:val="both"/>
      </w:pPr>
      <w:r>
        <w:rPr>
          <w:rFonts w:hint="eastAsia" w:ascii="Times New Roman" w:hAnsi="Times New Roman" w:eastAsia="宋体"/>
        </w:rPr>
        <w:t>参考文献</w:t>
      </w:r>
    </w:p>
    <w:p w14:paraId="26B3CA63">
      <w:pPr>
        <w:pStyle w:val="26"/>
        <w:spacing w:before="0" w:after="60" w:line="360" w:lineRule="auto"/>
        <w:ind w:left="480" w:hanging="480" w:hangingChars="200"/>
        <w:jc w:val="both"/>
      </w:pPr>
      <w:r>
        <w:t>[1] CREPE: Can Vision-Language Foundation Models Reason Compositionally? arXiv:2212.07796, CVPR 2023.</w:t>
      </w:r>
    </w:p>
    <w:p w14:paraId="5A67EEBC">
      <w:pPr>
        <w:pStyle w:val="3"/>
        <w:spacing w:before="0" w:after="60" w:line="360" w:lineRule="auto"/>
        <w:ind w:left="480" w:hanging="480" w:hangingChars="200"/>
        <w:jc w:val="both"/>
      </w:pPr>
      <w:r>
        <w:t>[2] When and Why Vision-Language Models Behave Like Bags-of-Words, and What to Do About It? arXiv:2210.01936, ICLR 2023.</w:t>
      </w:r>
    </w:p>
    <w:p w14:paraId="603E9A08">
      <w:pPr>
        <w:pStyle w:val="3"/>
        <w:spacing w:before="0" w:after="60" w:line="360" w:lineRule="auto"/>
        <w:ind w:left="480" w:hanging="480" w:hangingChars="200"/>
        <w:jc w:val="both"/>
      </w:pPr>
      <w:r>
        <w:t>[3] SugarCrepe: Fixing Hackable Benchmarks for Vision-Language Compositionality. arXiv:2306.14610, NeurIPS 2023.</w:t>
      </w:r>
    </w:p>
    <w:p w14:paraId="5CA808C9">
      <w:pPr>
        <w:pStyle w:val="3"/>
        <w:spacing w:before="0" w:after="60" w:line="360" w:lineRule="auto"/>
        <w:ind w:left="480" w:hanging="480" w:hangingChars="200"/>
        <w:jc w:val="both"/>
      </w:pPr>
      <w:r>
        <w:t>[4] CR³: Boosting Compositional Reasoning in MLLMs through Rule-based Reinforcement Learning. AAAI 2026, doi:10.1609/aaai.v40i29.39680.</w:t>
      </w:r>
    </w:p>
    <w:p w14:paraId="3565E5BB">
      <w:pPr>
        <w:pStyle w:val="3"/>
        <w:spacing w:before="0" w:after="60" w:line="360" w:lineRule="auto"/>
        <w:ind w:left="480" w:hanging="480" w:hangingChars="200"/>
        <w:jc w:val="both"/>
      </w:pPr>
      <w:r>
        <w:t>[5] VALSE: A Task-Independent Benchmark for Vision and Language Models Centered on Linguistic Phenomena. arXiv:2112.07566, ACL 2022.</w:t>
      </w:r>
    </w:p>
    <w:p w14:paraId="212B0131">
      <w:pPr>
        <w:pStyle w:val="3"/>
        <w:spacing w:before="0" w:after="60" w:line="360" w:lineRule="auto"/>
        <w:ind w:left="480" w:hanging="480" w:hangingChars="200"/>
        <w:jc w:val="both"/>
      </w:pPr>
      <w:r>
        <w:t>[6] Aligning Large Multimodal Models with Factually Augmented RLHF (LLaVA-RLHF). arXiv:2309.14525.</w:t>
      </w:r>
    </w:p>
    <w:p w14:paraId="09D96881">
      <w:pPr>
        <w:pStyle w:val="3"/>
        <w:spacing w:before="0" w:after="60" w:line="360" w:lineRule="auto"/>
        <w:ind w:left="480" w:hanging="480" w:hangingChars="200"/>
        <w:jc w:val="both"/>
      </w:pPr>
      <w:r>
        <w:t>[7] RLHF-V: Towards Trustworthy MLLMs via Behavior Alignment from Fine-grained Correctional Human Feedback. arXiv:2312.00849, CVPR 2024.</w:t>
      </w:r>
    </w:p>
    <w:p w14:paraId="748ADD13">
      <w:pPr>
        <w:pStyle w:val="3"/>
        <w:spacing w:before="0" w:after="60" w:line="360" w:lineRule="auto"/>
        <w:ind w:left="480" w:hanging="480" w:hangingChars="200"/>
        <w:jc w:val="both"/>
      </w:pPr>
      <w:r>
        <w:t>[8] Aligning Large Vision-Language Models with AI Feedback (Silkie). arXiv:2410.09421.</w:t>
      </w:r>
    </w:p>
    <w:p w14:paraId="0E50154C">
      <w:pPr>
        <w:pStyle w:val="3"/>
        <w:spacing w:before="0" w:after="60" w:line="360" w:lineRule="auto"/>
        <w:ind w:left="480" w:hanging="480" w:hangingChars="200"/>
        <w:jc w:val="both"/>
      </w:pPr>
      <w:r>
        <w:t>[9] DeepSeekMath: Pushing the Limits of Mathematical Reasoning in Open Language Models. arXiv:2402.03300.</w:t>
      </w:r>
    </w:p>
    <w:p w14:paraId="66383157">
      <w:pPr>
        <w:pStyle w:val="3"/>
        <w:spacing w:before="0" w:after="60" w:line="360" w:lineRule="auto"/>
        <w:ind w:left="480" w:hanging="480" w:hangingChars="200"/>
        <w:jc w:val="both"/>
      </w:pPr>
      <w:r>
        <w:rPr>
          <w:rFonts w:ascii="Times New Roman" w:eastAsia="宋体"/>
          <w:color w:val="000000"/>
        </w:rPr>
        <w:t>[10] Direct Preference Optimization: Your Language Model is Secretly a Reward Model. arXiv:2305.18290, NeurIPS 2023.</w:t>
      </w:r>
    </w:p>
    <w:p w14:paraId="314DAD99">
      <w:pPr>
        <w:pStyle w:val="3"/>
        <w:spacing w:before="0" w:after="60" w:line="360" w:lineRule="auto"/>
        <w:ind w:left="480" w:hanging="480" w:hangingChars="200"/>
        <w:jc w:val="both"/>
      </w:pPr>
      <w:r>
        <w:t>[11] GRPO is Secretly a Process Reward Model. arXiv:2509.21154, 2025.</w:t>
      </w:r>
    </w:p>
    <w:p w14:paraId="0C0987C6">
      <w:pPr>
        <w:pStyle w:val="3"/>
        <w:spacing w:before="0" w:after="60" w:line="360" w:lineRule="auto"/>
        <w:ind w:left="480" w:hanging="480" w:hangingChars="200"/>
        <w:jc w:val="both"/>
      </w:pPr>
      <w:r>
        <w:t>[12] VisualPRM: An Effective Process Reward Model for Multimodal Reasoning. arXiv:2503.10291, 2025.</w:t>
      </w:r>
    </w:p>
    <w:p w14:paraId="64AA6B74">
      <w:pPr>
        <w:pStyle w:val="3"/>
        <w:spacing w:before="0" w:after="60" w:line="360" w:lineRule="auto"/>
        <w:ind w:left="480" w:hanging="480" w:hangingChars="200"/>
        <w:jc w:val="both"/>
      </w:pPr>
      <w:r>
        <w:t>[13] SpatialThinker: Reinforcing Scene Graph-Grounded Spatial Reasoning via Dense Rewards. arXiv:2511.07403, NeurIPS 2025.</w:t>
      </w:r>
    </w:p>
    <w:p w14:paraId="78E927A4">
      <w:pPr>
        <w:pStyle w:val="3"/>
        <w:spacing w:before="0" w:after="60" w:line="360" w:lineRule="auto"/>
        <w:ind w:left="480" w:hanging="480" w:hangingChars="200"/>
        <w:jc w:val="both"/>
      </w:pPr>
      <w:r>
        <w:t>[14] SVQA-R1: Reinforcing Spatial Reasoning in MLLMs via View-Consistent Reward Optimization. arXiv:2506.01371, ICLR 2026.</w:t>
      </w:r>
    </w:p>
    <w:p w14:paraId="23A2AB00">
      <w:pPr>
        <w:pStyle w:val="3"/>
        <w:spacing w:before="0" w:after="60" w:line="360" w:lineRule="auto"/>
        <w:ind w:left="480" w:hanging="480" w:hangingChars="200"/>
        <w:jc w:val="both"/>
      </w:pPr>
      <w:r>
        <w:t>[15] Ground-R1: Thinking with Images via Scale Relative Policy Optimization. arXiv:2505.20272 (v3), 2026.</w:t>
      </w:r>
    </w:p>
    <w:p w14:paraId="3286F28C">
      <w:pPr>
        <w:pStyle w:val="3"/>
        <w:spacing w:before="0" w:after="60" w:line="360" w:lineRule="auto"/>
        <w:ind w:left="480" w:hanging="480" w:hangingChars="200"/>
        <w:jc w:val="both"/>
      </w:pPr>
      <w:r>
        <w:t>[16] GRIT: Teaching MLLMs to Think with Images. arXiv:2505.15879, 2025.</w:t>
      </w:r>
    </w:p>
    <w:p w14:paraId="7E13ACA3">
      <w:pPr>
        <w:pStyle w:val="3"/>
        <w:spacing w:before="0" w:after="60" w:line="360" w:lineRule="auto"/>
        <w:ind w:left="480" w:hanging="480" w:hangingChars="200"/>
        <w:jc w:val="both"/>
      </w:pPr>
      <w:r>
        <w:t>[17] POLIA: Policy Optimization with Visual-Object-Level Intrinsic Advantage for Multimodal Reasoning. ICML 2026.</w:t>
      </w:r>
    </w:p>
    <w:p w14:paraId="1923CFD9">
      <w:pPr>
        <w:pStyle w:val="3"/>
        <w:spacing w:before="0" w:after="60" w:line="360" w:lineRule="auto"/>
        <w:ind w:left="480" w:hanging="480" w:hangingChars="200"/>
        <w:jc w:val="both"/>
      </w:pPr>
      <w:r>
        <w:rPr>
          <w:rFonts w:ascii="Times New Roman" w:eastAsia="宋体"/>
          <w:color w:val="000000"/>
        </w:rPr>
        <w:t>[18] Do MLLMs Really See It: Reinforcing Visual Attention in Multimodal LLMs (SAYO). arXiv:2602.08241, 2026.</w:t>
      </w:r>
    </w:p>
    <w:p w14:paraId="5D62BED7">
      <w:pPr>
        <w:pStyle w:val="3"/>
        <w:spacing w:before="0" w:after="60" w:line="360" w:lineRule="auto"/>
        <w:ind w:left="480" w:hanging="480" w:hangingChars="200"/>
        <w:jc w:val="both"/>
      </w:pPr>
      <w:r>
        <w:rPr>
          <w:rFonts w:ascii="Times New Roman" w:eastAsia="宋体"/>
          <w:color w:val="000000"/>
        </w:rPr>
        <w:t>[19] Self-Questioning Vision-Language Models: Reinforcement Learning for Compositional Visual Reasoning. arXiv:2606.15651, 2026.</w:t>
      </w:r>
    </w:p>
    <w:p w14:paraId="30402C1A">
      <w:pPr>
        <w:pStyle w:val="3"/>
        <w:spacing w:before="0" w:after="60" w:line="360" w:lineRule="auto"/>
        <w:ind w:left="480" w:hanging="480" w:hangingChars="200"/>
        <w:jc w:val="both"/>
      </w:pPr>
      <w:r>
        <w:rPr>
          <w:rFonts w:ascii="Times New Roman" w:eastAsia="宋体"/>
          <w:color w:val="000000"/>
        </w:rPr>
        <w:t>[20] H-GRPO: Permutation-Invariant Reinforcement Learning for Grounded Visual Reasoning. arXiv:2606.29915, 2026.</w:t>
      </w:r>
    </w:p>
    <w:p w14:paraId="01604879">
      <w:pPr>
        <w:pStyle w:val="3"/>
        <w:spacing w:before="0" w:after="60" w:line="360" w:lineRule="auto"/>
        <w:ind w:left="480" w:hanging="480" w:hangingChars="200"/>
        <w:jc w:val="both"/>
      </w:pPr>
      <w:r>
        <w:rPr>
          <w:rFonts w:ascii="Times New Roman" w:eastAsia="宋体"/>
          <w:color w:val="000000"/>
        </w:rPr>
        <w:t>[21] MM-CondChain: A Programmatically Verified Benchmark for Visually Grounded Deep Compositional Reasoning. arXiv:2603.12266, 2026.</w:t>
      </w:r>
    </w:p>
    <w:p w14:paraId="65C909DE">
      <w:pPr>
        <w:pStyle w:val="3"/>
        <w:spacing w:before="0" w:after="60" w:line="360" w:lineRule="auto"/>
        <w:ind w:left="480" w:hanging="480" w:hangingChars="200"/>
        <w:jc w:val="both"/>
      </w:pPr>
      <w:r>
        <w:rPr>
          <w:rFonts w:ascii="Times New Roman" w:eastAsia="宋体"/>
          <w:color w:val="000000"/>
        </w:rPr>
        <w:t>[22] AlphaGRPO: Unlocking Self-Reflective Multimodal Generation in UMMs via Decompositional Verifiable Reward. arXiv:2605.12495, ICML 2026.</w:t>
      </w:r>
    </w:p>
    <w:p w14:paraId="4E9E492E">
      <w:pPr>
        <w:pStyle w:val="3"/>
        <w:spacing w:before="0" w:after="60" w:line="360" w:lineRule="auto"/>
        <w:ind w:left="480" w:hanging="480" w:hangingChars="200"/>
        <w:jc w:val="both"/>
      </w:pPr>
      <w:r>
        <w:rPr>
          <w:rFonts w:ascii="Times New Roman" w:eastAsia="宋体"/>
          <w:color w:val="000000"/>
        </w:rPr>
        <w:t>[23]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张老师" w:date="2026-08-14T13:53:00Z" w:initials="G">
    <w:p w14:paraId="07EA310E">
      <w:pPr>
        <w:pStyle w:val="13"/>
        <w:rPr>
          <w:rFonts w:hint="eastAsia"/>
        </w:rPr>
      </w:pPr>
      <w:r>
        <w:rPr>
          <w:rFonts w:hint="eastAsia"/>
        </w:rPr>
        <w:t>当前整体文章的篇幅是过长了，会议论文要求尽可能精简，不像毕业论文或期刊那样，英文整体字数通常在3000words左右，对应的中文字数建议是写到5000-7000字就可以了，因此需要对文章各部分的内容再描述的时候更加概括一些</w:t>
      </w:r>
    </w:p>
  </w:comment>
  <w:comment w:id="1" w:author="张老师" w:date="2026-08-14T13:56:00Z" w:initials="G">
    <w:p w14:paraId="09E70FCB">
      <w:pPr>
        <w:pStyle w:val="13"/>
        <w:rPr>
          <w:rFonts w:hint="eastAsia"/>
        </w:rPr>
      </w:pPr>
      <w:r>
        <w:rPr>
          <w:rFonts w:hint="eastAsia"/>
        </w:rPr>
        <w:t>摘要字数建议控制在250-350字中文之间，前面的背景意义用一句话带过即可，然后后面主要说本文做了什么发现了什么就可以，不用有太多详细的解释，比如对演进的一些解释等可以概括精简</w:t>
      </w:r>
    </w:p>
  </w:comment>
  <w:comment w:id="2" w:author="张老师" w:date="2026-08-14T13:58:00Z" w:initials="G">
    <w:p w14:paraId="6FF9C1B3">
      <w:pPr>
        <w:pStyle w:val="13"/>
        <w:rPr>
          <w:rFonts w:hint="eastAsia"/>
        </w:rPr>
      </w:pPr>
      <w:r>
        <w:rPr>
          <w:rFonts w:hint="eastAsia"/>
        </w:rPr>
        <w:t>全文尽量不要使用横线或者破折号来连接句子，可以换一种表达方式组织成连贯的句子</w:t>
      </w:r>
    </w:p>
  </w:comment>
  <w:comment w:id="3" w:author="张老师" w:date="2026-08-14T14:00:00Z" w:initials="G">
    <w:p w14:paraId="5622FC14">
      <w:pPr>
        <w:pStyle w:val="13"/>
        <w:rPr>
          <w:rFonts w:hint="eastAsia"/>
        </w:rPr>
      </w:pPr>
      <w:r>
        <w:rPr>
          <w:rFonts w:hint="eastAsia"/>
        </w:rPr>
        <w:t>第一章引言的字数通常在800-1000字左右；比如可以删减一些例子介绍像“给定“左边的橙子发霉了，右边的橙子是新鲜的”这样一句描述，模型必须准确地把“左边”与“发霉”、把“右边”与“新鲜”绑定到正确的对象上“</w:t>
      </w:r>
    </w:p>
  </w:comment>
  <w:comment w:id="4" w:author="张老师" w:date="2026-08-14T13:59:00Z" w:initials="G">
    <w:p w14:paraId="4BE3AD31">
      <w:pPr>
        <w:pStyle w:val="13"/>
        <w:rPr>
          <w:rFonts w:hint="eastAsia"/>
        </w:rPr>
      </w:pPr>
      <w:r>
        <w:rPr>
          <w:rFonts w:hint="eastAsia"/>
        </w:rPr>
        <w:t>当前全文一共引用了30篇参考文献，正常建议引用的数量是10-20篇即可，因此需要删减一些非必要的文献引用，同时调整删减正文对应引用的内容</w:t>
      </w:r>
    </w:p>
  </w:comment>
  <w:comment w:id="5" w:author="张老师" w:date="2026-08-14T14:01:00Z" w:initials="G">
    <w:p w14:paraId="4D211838">
      <w:pPr>
        <w:pStyle w:val="13"/>
      </w:pPr>
      <w:r>
        <w:rPr>
          <w:rFonts w:hint="eastAsia"/>
        </w:rPr>
        <w:t>对应这个问题</w:t>
      </w:r>
      <w:r>
        <w:t>5.参考文献数量有点多，主要是先前不太全面，做了一些补充，如果太多我可以删一些非必要或不完全切题仅用作补充和引入的</w:t>
      </w:r>
    </w:p>
  </w:comment>
  <w:comment w:id="6" w:author="张老师" w:date="2026-08-14T14:22:00Z" w:initials="G">
    <w:p w14:paraId="02901EE4">
      <w:pPr>
        <w:pStyle w:val="13"/>
      </w:pPr>
      <w:r>
        <w:rPr>
          <w:rFonts w:ascii="Cambria Math" w:hAnsi="Cambria Math" w:cs="Cambria Math"/>
        </w:rPr>
        <w:t>①</w:t>
      </w:r>
      <w:r>
        <w:t>在介绍当前的研究现状或者相关工作时，可以展开介绍一下其他研究做了什么，每篇文章大概两句话简单概括提出的方法得到的结果可以分析出什么，当前描述地较为概括——这个我没太理解，因为相关研究很多，第三部分主要讲，如果在引言中提到我不知道提哪些；</w:t>
      </w:r>
    </w:p>
  </w:comment>
  <w:comment w:id="7" w:author="张老师" w:date="2026-08-14T14:22:00Z" w:initials="G">
    <w:p w14:paraId="05066EB9">
      <w:pPr>
        <w:pStyle w:val="13"/>
        <w:rPr>
          <w:rFonts w:hint="eastAsia"/>
        </w:rPr>
      </w:pPr>
      <w:r>
        <w:rPr>
          <w:rFonts w:hint="eastAsia"/>
        </w:rPr>
        <w:t>这个建议主要指的是在你的引言中介绍背景的时候是可以通过引用介绍几个其他研究者做的工作辅助证明当前存在的一些问题或者研究空白，比如可以明确提到研究者xxx提出或者使用了xx模型，然后通过做了什么得出什么结果，然后发现了什么这样来介绍，当前没有太明确是哪些研究者做了什么直接说xxx证明了xxx会显得比较概括</w:t>
      </w:r>
    </w:p>
  </w:comment>
  <w:comment w:id="8" w:author="张老师" w:date="2026-08-14T14:03:00Z" w:initials="G">
    <w:p w14:paraId="2973CA84">
      <w:pPr>
        <w:pStyle w:val="13"/>
        <w:rPr>
          <w:rFonts w:hint="eastAsia"/>
        </w:rPr>
      </w:pPr>
      <w:r>
        <w:rPr>
          <w:rFonts w:hint="eastAsia"/>
        </w:rPr>
        <w:t>避免主观性表达 我，我们等，可以替换成本文，本综述</w:t>
      </w:r>
    </w:p>
  </w:comment>
  <w:comment w:id="9" w:author="张老师" w:date="2026-08-14T14:08:00Z" w:initials="G">
    <w:p w14:paraId="3DD76018">
      <w:pPr>
        <w:pStyle w:val="13"/>
        <w:rPr>
          <w:rFonts w:hint="eastAsia"/>
        </w:rPr>
      </w:pPr>
      <w:r>
        <w:rPr>
          <w:rFonts w:hint="eastAsia"/>
        </w:rPr>
        <w:t>不要在正文里出现1，2，3等表示，需要替换成首先，其次，然后或者第一，第二，第三等来代替</w:t>
      </w:r>
    </w:p>
  </w:comment>
  <w:comment w:id="10" w:author="张老师" w:date="2026-08-14T14:06:00Z" w:initials="G">
    <w:p w14:paraId="2A29AE9F">
      <w:pPr>
        <w:pStyle w:val="13"/>
        <w:rPr>
          <w:rFonts w:hint="eastAsia"/>
        </w:rPr>
      </w:pPr>
      <w:r>
        <w:t>将每个基准的描述压缩至一句话概括关键发现</w:t>
      </w:r>
      <w:r>
        <w:rPr>
          <w:rFonts w:hint="eastAsia"/>
        </w:rPr>
        <w:t>然后再说说</w:t>
      </w:r>
      <w:r>
        <w:t>与本文的直接关联</w:t>
      </w:r>
      <w:r>
        <w:rPr>
          <w:rFonts w:hint="eastAsia"/>
        </w:rPr>
        <w:t>就可以，因为下面有一个表格直观地进行展示，所以文字尽量避免出现重复性地介绍，只需要在表格的基础上简单描述分析即可</w:t>
      </w:r>
    </w:p>
  </w:comment>
  <w:comment w:id="11" w:author="张老师" w:date="2026-08-14T14:08:00Z" w:initials="G">
    <w:p w14:paraId="596C1904">
      <w:pPr>
        <w:pStyle w:val="13"/>
      </w:pPr>
      <w:r>
        <w:t>3.期刊投稿对ai率有要求吗？初稿放paperpass查了一下，aigc炸了</w:t>
      </w:r>
    </w:p>
  </w:comment>
  <w:comment w:id="12" w:author="张老师" w:date="2026-08-14T14:08:00Z" w:initials="G">
    <w:p w14:paraId="38D83161">
      <w:pPr>
        <w:pStyle w:val="13"/>
        <w:rPr>
          <w:rFonts w:hint="eastAsia"/>
        </w:rPr>
      </w:pPr>
      <w:r>
        <w:rPr>
          <w:rFonts w:hint="eastAsia"/>
        </w:rPr>
        <w:t>因为不同的网站检索ai率的检索方式都不同，同学只需要确保内容不是由ai撰写生成即可，包括后续翻译的过程中也不要借助ai翻译，对于ai率和重复率的检测等论文全部完成后再联系你的学管老师进行后续的工作即可，当前无需检测；且最后通常也只查英文版的重复率和ai率</w:t>
      </w:r>
    </w:p>
  </w:comment>
  <w:comment w:id="13" w:author="张老师" w:date="2026-08-14T14:13:00Z" w:initials="G">
    <w:p w14:paraId="6AC078CA">
      <w:pPr>
        <w:pStyle w:val="13"/>
      </w:pPr>
      <w:r>
        <w:rPr>
          <w:rFonts w:hint="eastAsia"/>
        </w:rPr>
        <w:t>可以</w:t>
      </w:r>
      <w:r>
        <w:t>将LLaVA-RLHF、RLHF-V、Silkie三项早期RLHF工作合并为一句话</w:t>
      </w:r>
      <w:r>
        <w:rPr>
          <w:rFonts w:hint="eastAsia"/>
        </w:rPr>
        <w:t>一起介绍</w:t>
      </w:r>
    </w:p>
  </w:comment>
  <w:comment w:id="14" w:author="张老师" w:date="2026-08-14T14:11:00Z" w:initials="G">
    <w:p w14:paraId="4EA9AF60">
      <w:pPr>
        <w:pStyle w:val="13"/>
      </w:pPr>
      <w:r>
        <w:t>1.参考文献pdf和一些杂七杂八的东西我放到https://github.com/xzy06/mllm-rl-survey了，不过价值不大</w:t>
      </w:r>
    </w:p>
  </w:comment>
  <w:comment w:id="15" w:author="张老师" w:date="2026-08-14T14:11:00Z" w:initials="G">
    <w:p w14:paraId="4EF2929B">
      <w:pPr>
        <w:pStyle w:val="13"/>
        <w:rPr>
          <w:rFonts w:hint="eastAsia"/>
        </w:rPr>
      </w:pPr>
      <w:r>
        <w:rPr>
          <w:rFonts w:hint="eastAsia"/>
        </w:rPr>
        <w:t>论文中不需要将文献的pdf等资料展示，因此上传github并不做要求，通常一些研究型论文上传代码结果实验环境等才需上传github公开</w:t>
      </w:r>
    </w:p>
  </w:comment>
  <w:comment w:id="16" w:author="张老师" w:date="2026-08-14T14:14:00Z" w:initials="G">
    <w:p w14:paraId="446D5A5E">
      <w:pPr>
        <w:pStyle w:val="13"/>
        <w:rPr>
          <w:rFonts w:hint="eastAsia"/>
        </w:rPr>
      </w:pPr>
      <w:r>
        <w:rPr>
          <w:rFonts w:hint="eastAsia"/>
        </w:rPr>
        <w:t>后面内容主要存在的问题都是对于文献的工作陈述介绍地过于详细，对于每篇文献工作可以</w:t>
      </w:r>
      <w:r>
        <w:t>保留核心公式（1</w:t>
      </w:r>
      <w:r>
        <w:rPr>
          <w:rFonts w:hint="eastAsia"/>
        </w:rPr>
        <w:t>个</w:t>
      </w:r>
      <w:r>
        <w:t>）</w:t>
      </w:r>
      <w:r>
        <w:rPr>
          <w:rFonts w:hint="eastAsia"/>
        </w:rPr>
        <w:t>也可以不展示公式</w:t>
      </w:r>
      <w:r>
        <w:t>、关键</w:t>
      </w:r>
      <w:r>
        <w:rPr>
          <w:rFonts w:hint="eastAsia"/>
        </w:rPr>
        <w:t>地结果</w:t>
      </w:r>
      <w:r>
        <w:t>数据（1-2个）和核心结论（1句</w:t>
      </w:r>
      <w:r>
        <w:rPr>
          <w:rFonts w:hint="eastAsia"/>
        </w:rPr>
        <w:t>话左右</w:t>
      </w:r>
      <w:r>
        <w:t>）</w:t>
      </w:r>
      <w:r>
        <w:rPr>
          <w:rFonts w:hint="eastAsia"/>
        </w:rPr>
        <w:t>就可以了，减少一些过多的背景铺垫和基础概念介绍，根据这些修改方式来改第三章的内容可以缩减很多字数</w:t>
      </w:r>
    </w:p>
  </w:comment>
  <w:comment w:id="17" w:author="张老师" w:date="2026-08-14T14:17:00Z" w:initials="G">
    <w:p w14:paraId="29C1A9F4">
      <w:pPr>
        <w:pStyle w:val="13"/>
      </w:pPr>
      <w:r>
        <w:t>4.文中数据和表格准确性还没有核对，先看看初稿大方向行不行</w:t>
      </w:r>
    </w:p>
  </w:comment>
  <w:comment w:id="18" w:author="张老师" w:date="2026-08-14T14:18:00Z" w:initials="G">
    <w:p w14:paraId="534663F0">
      <w:pPr>
        <w:pStyle w:val="13"/>
        <w:rPr>
          <w:rFonts w:hint="eastAsia"/>
        </w:rPr>
      </w:pPr>
      <w:r>
        <w:rPr>
          <w:rFonts w:hint="eastAsia"/>
        </w:rPr>
        <w:t>方向可以，对于表格的内容可以在对应的文献内容或资料核实是否正确，表格的标题注意只从表1 2 3开始标起就可以，不需要划分成表3A，表3B这样；</w:t>
      </w:r>
    </w:p>
  </w:comment>
  <w:comment w:id="19" w:author="张老师" w:date="2026-08-14T14:20:00Z" w:initials="G">
    <w:p w14:paraId="30B551B7">
      <w:pPr>
        <w:pStyle w:val="13"/>
      </w:pPr>
      <w:r>
        <w:rPr>
          <w:rFonts w:ascii="Cambria Math" w:hAnsi="Cambria Math" w:cs="Cambria Math"/>
        </w:rPr>
        <w:t>②</w:t>
      </w:r>
      <w:r>
        <w:t>表格引用对模型添加参考文献——这个在初稿中有点多，初稿是按方法分类，一目了然，不确定还要不要加</w:t>
      </w:r>
    </w:p>
  </w:comment>
  <w:comment w:id="20" w:author="张老师" w:date="2026-08-14T14:20:00Z" w:initials="G">
    <w:p w14:paraId="23B78C39">
      <w:pPr>
        <w:pStyle w:val="13"/>
        <w:rPr>
          <w:rFonts w:hint="eastAsia"/>
        </w:rPr>
      </w:pPr>
      <w:r>
        <w:rPr>
          <w:rFonts w:hint="eastAsia"/>
        </w:rPr>
        <w:t>可以不在表格中每个模型标注文献引用，但是在对应小节正文分析介绍表格的时候，一些对应的文字介绍建议标注文献引用</w:t>
      </w:r>
    </w:p>
  </w:comment>
  <w:comment w:id="21" w:author="张老师" w:date="2026-08-14T14:16:00Z" w:initials="G">
    <w:p w14:paraId="21A097D5">
      <w:pPr>
        <w:pStyle w:val="13"/>
      </w:pPr>
      <w:r>
        <w:rPr>
          <w:rFonts w:hint="eastAsia"/>
        </w:rPr>
        <w:t>对于讨论部分同理，只需要保留一些核心的建议，对于背景性的描述需要尽可能减少概括</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EA310E" w15:done="1"/>
  <w15:commentEx w15:paraId="09E70FCB" w15:done="1"/>
  <w15:commentEx w15:paraId="6FF9C1B3" w15:done="1"/>
  <w15:commentEx w15:paraId="5622FC14" w15:done="1"/>
  <w15:commentEx w15:paraId="4BE3AD31" w15:done="0"/>
  <w15:commentEx w15:paraId="4D211838" w15:done="0" w15:paraIdParent="4BE3AD31"/>
  <w15:commentEx w15:paraId="02901EE4" w15:done="1"/>
  <w15:commentEx w15:paraId="05066EB9" w15:done="1" w15:paraIdParent="02901EE4"/>
  <w15:commentEx w15:paraId="2973CA84" w15:done="1"/>
  <w15:commentEx w15:paraId="3DD76018" w15:done="1"/>
  <w15:commentEx w15:paraId="2A29AE9F" w15:done="1"/>
  <w15:commentEx w15:paraId="596C1904" w15:done="1"/>
  <w15:commentEx w15:paraId="38D83161" w15:done="1" w15:paraIdParent="596C1904"/>
  <w15:commentEx w15:paraId="6AC078CA" w15:done="1"/>
  <w15:commentEx w15:paraId="4EA9AF60" w15:done="1"/>
  <w15:commentEx w15:paraId="4EF2929B" w15:done="1" w15:paraIdParent="4EA9AF60"/>
  <w15:commentEx w15:paraId="446D5A5E" w15:done="0"/>
  <w15:commentEx w15:paraId="29C1A9F4" w15:done="1"/>
  <w15:commentEx w15:paraId="534663F0" w15:done="1" w15:paraIdParent="29C1A9F4"/>
  <w15:commentEx w15:paraId="30B551B7" w15:done="1"/>
  <w15:commentEx w15:paraId="23B78C39" w15:done="1" w15:paraIdParent="30B551B7"/>
  <w15:commentEx w15:paraId="21A097D5"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 w:name="MS Mincho">
    <w:altName w:val="Segoe Print"/>
    <w:panose1 w:val="00000000000000000000"/>
    <w:charset w:val="00"/>
    <w:family w:val="auto"/>
    <w:pitch w:val="default"/>
    <w:sig w:usb0="00000000" w:usb1="00000000" w:usb2="00000000" w:usb3="00000000" w:csb0="00000000" w:csb1="00000000"/>
  </w:font>
  <w:font w:name="Noto Sans SC">
    <w:panose1 w:val="020B0200000000000000"/>
    <w:charset w:val="86"/>
    <w:family w:val="auto"/>
    <w:pitch w:val="default"/>
    <w:sig w:usb0="20000083" w:usb1="2ADF3C10" w:usb2="00000016" w:usb3="00000000" w:csb0="60060107"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张老师">
    <w15:presenceInfo w15:providerId="None" w15:userId="张老师"/>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C313AC"/>
    <w:rsid w:val="07F27D26"/>
    <w:rsid w:val="0B963653"/>
    <w:rsid w:val="0E4F1A2E"/>
    <w:rsid w:val="1AEF1EA3"/>
    <w:rsid w:val="2B3B6E60"/>
    <w:rsid w:val="42B90F27"/>
    <w:rsid w:val="58DE2AF2"/>
    <w:rsid w:val="59070080"/>
    <w:rsid w:val="5CAD44AB"/>
    <w:rsid w:val="5CF40AB7"/>
    <w:rsid w:val="5F015635"/>
    <w:rsid w:val="60B66CA1"/>
    <w:rsid w:val="624C13D9"/>
    <w:rsid w:val="656658CC"/>
    <w:rsid w:val="6B3709F5"/>
    <w:rsid w:val="6E396833"/>
    <w:rsid w:val="72D40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pPr>
    <w:rPr>
      <w:i/>
    </w:rPr>
  </w:style>
  <w:style w:type="paragraph" w:styleId="13">
    <w:name w:val="annotation text"/>
    <w:basedOn w:val="1"/>
    <w:link w:val="86"/>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29"/>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87"/>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1"/>
    <w:link w:val="16"/>
    <w:qFormat/>
    <w:uiPriority w:val="10"/>
    <w:rPr>
      <w:rFonts w:asciiTheme="majorHAnsi" w:hAnsiTheme="majorHAnsi" w:eastAsiaTheme="majorEastAsia" w:cstheme="majorBidi"/>
      <w:sz w:val="56"/>
      <w:szCs w:val="56"/>
    </w:rPr>
  </w:style>
  <w:style w:type="character" w:customStyle="1" w:styleId="29">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1"/>
    <w:link w:val="6"/>
    <w:semiHidden/>
    <w:qFormat/>
    <w:uiPriority w:val="9"/>
    <w:rPr>
      <w:rFonts w:eastAsiaTheme="majorEastAsia" w:cstheme="majorBidi"/>
      <w:i/>
      <w:iCs/>
      <w:color w:val="104862" w:themeColor="accent1" w:themeShade="BF"/>
    </w:rPr>
  </w:style>
  <w:style w:type="character" w:customStyle="1" w:styleId="38">
    <w:name w:val="标题 5 字符"/>
    <w:basedOn w:val="21"/>
    <w:link w:val="7"/>
    <w:semiHidden/>
    <w:qFormat/>
    <w:uiPriority w:val="9"/>
    <w:rPr>
      <w:rFonts w:eastAsiaTheme="majorEastAsia" w:cstheme="majorBidi"/>
      <w:color w:val="104862" w:themeColor="accent1" w:themeShade="BF"/>
    </w:rPr>
  </w:style>
  <w:style w:type="character" w:customStyle="1" w:styleId="39">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8"/>
    <w:next w:val="18"/>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 w:type="character" w:customStyle="1" w:styleId="86">
    <w:name w:val="批注文字 字符"/>
    <w:basedOn w:val="21"/>
    <w:link w:val="13"/>
    <w:qFormat/>
    <w:uiPriority w:val="0"/>
    <w:rPr>
      <w:rFonts w:ascii="Times New Roman" w:hAnsi="Times New Roman" w:eastAsia="宋体"/>
      <w:color w:val="000000"/>
      <w:sz w:val="24"/>
      <w:szCs w:val="24"/>
    </w:rPr>
  </w:style>
  <w:style w:type="character" w:customStyle="1" w:styleId="87">
    <w:name w:val="批注主题 字符"/>
    <w:basedOn w:val="86"/>
    <w:link w:val="19"/>
    <w:qFormat/>
    <w:uiPriority w:val="0"/>
    <w:rPr>
      <w:rFonts w:ascii="Times New Roman" w:hAnsi="Times New Roman" w:eastAsia="宋体"/>
      <w:b/>
      <w:bCs/>
      <w:color w:val="000000"/>
      <w:sz w:val="24"/>
      <w:szCs w:val="24"/>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7008</Words>
  <Characters>8602</Characters>
  <Lines>502</Lines>
  <Paragraphs>510</Paragraphs>
  <TotalTime>7</TotalTime>
  <ScaleCrop>false</ScaleCrop>
  <LinksUpToDate>false</LinksUpToDate>
  <CharactersWithSpaces>8993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2026-08-14T06:24:00Z</dcterms:created>
  <dc:creator>席致远</dc:creator>
  <cp:lastModifiedBy>席致远</cp:lastModifiedBy>
  <dcterms:modified xsi:type="dcterms:W3CDTF">2026-08-18T02:33:06Z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99EDE39D38274646BCF541428837DFE2_13</vt:lpwstr>
  </property>
</Properties>
</file>